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October 24,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2260" w:type="dxa"/>
            <w:vAlign w:val="bottom"/>
          </w:tcPr>
          <w:p>
            <w:pPr>
              <w:jc w:val="center"/>
              <w:ind w:right="48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gridSpan w:val="2"/>
          </w:tcPr>
          <w:p>
            <w:pPr>
              <w:jc w:val="right"/>
              <w:ind w:right="597"/>
              <w:spacing w:after="0"/>
              <w:rPr>
                <w:sz w:val="20"/>
                <w:szCs w:val="20"/>
                <w:color w:val="auto"/>
              </w:rPr>
            </w:pPr>
            <w:r>
              <w:rPr>
                <w:rFonts w:ascii="Arial" w:cs="Arial" w:eastAsia="Arial" w:hAnsi="Arial"/>
                <w:sz w:val="18"/>
                <w:szCs w:val="18"/>
                <w:b w:val="1"/>
                <w:bCs w:val="1"/>
                <w:color w:val="auto"/>
              </w:rPr>
              <w:t>000-30939</w:t>
            </w:r>
          </w:p>
        </w:tc>
        <w:tc>
          <w:tcPr>
            <w:tcW w:w="1380" w:type="dxa"/>
            <w:vAlign w:val="bottom"/>
          </w:tcPr>
          <w:p>
            <w:pPr>
              <w:spacing w:after="0"/>
              <w:rPr>
                <w:sz w:val="18"/>
                <w:szCs w:val="18"/>
                <w:color w:val="auto"/>
              </w:rPr>
            </w:pPr>
          </w:p>
        </w:tc>
        <w:tc>
          <w:tcPr>
            <w:tcW w:w="1840" w:type="dxa"/>
            <w:vAlign w:val="bottom"/>
          </w:tcPr>
          <w:p>
            <w:pPr>
              <w:jc w:val="center"/>
              <w:ind w:left="72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226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60" w:type="dxa"/>
            <w:vAlign w:val="bottom"/>
          </w:tcPr>
          <w:p>
            <w:pPr>
              <w:spacing w:after="0"/>
              <w:rPr>
                <w:sz w:val="12"/>
                <w:szCs w:val="12"/>
                <w:color w:val="auto"/>
              </w:rPr>
            </w:pPr>
          </w:p>
        </w:tc>
        <w:tc>
          <w:tcPr>
            <w:tcW w:w="37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1840" w:type="dxa"/>
            <w:vAlign w:val="bottom"/>
          </w:tcPr>
          <w:p>
            <w:pPr>
              <w:jc w:val="center"/>
              <w:ind w:left="7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260" w:type="dxa"/>
            <w:vAlign w:val="bottom"/>
          </w:tcPr>
          <w:p>
            <w:pPr>
              <w:jc w:val="center"/>
              <w:ind w:right="466"/>
              <w:spacing w:after="0"/>
              <w:rPr>
                <w:sz w:val="20"/>
                <w:szCs w:val="20"/>
                <w:color w:val="auto"/>
              </w:rPr>
            </w:pPr>
            <w:r>
              <w:rPr>
                <w:rFonts w:ascii="Arial" w:cs="Arial" w:eastAsia="Arial" w:hAnsi="Arial"/>
                <w:sz w:val="14"/>
                <w:szCs w:val="14"/>
                <w:b w:val="1"/>
                <w:bCs w:val="1"/>
                <w:color w:val="auto"/>
                <w:w w:val="88"/>
              </w:rPr>
              <w:t>incorporation)</w:t>
            </w: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706"/>
              <w:spacing w:after="0"/>
              <w:rPr>
                <w:sz w:val="20"/>
                <w:szCs w:val="20"/>
                <w:color w:val="auto"/>
              </w:rPr>
            </w:pPr>
            <w:r>
              <w:rPr>
                <w:rFonts w:ascii="Arial" w:cs="Arial" w:eastAsia="Arial" w:hAnsi="Arial"/>
                <w:sz w:val="14"/>
                <w:szCs w:val="14"/>
                <w:b w:val="1"/>
                <w:bCs w:val="1"/>
                <w:color w:val="auto"/>
                <w:w w:val="89"/>
              </w:rPr>
              <w:t>Identification No.)</w:t>
            </w:r>
          </w:p>
        </w:tc>
      </w:tr>
      <w:tr>
        <w:trPr>
          <w:trHeight w:val="284"/>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57"/>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2128 W. Braker Lane, BK12</w:t>
            </w:r>
          </w:p>
        </w:tc>
        <w:tc>
          <w:tcPr>
            <w:tcW w:w="1840" w:type="dxa"/>
            <w:vAlign w:val="bottom"/>
          </w:tcPr>
          <w:p>
            <w:pPr>
              <w:spacing w:after="0"/>
              <w:rPr>
                <w:sz w:val="24"/>
                <w:szCs w:val="24"/>
                <w:color w:val="auto"/>
              </w:rPr>
            </w:pPr>
          </w:p>
        </w:tc>
      </w:tr>
      <w:tr>
        <w:trPr>
          <w:trHeight w:val="218"/>
        </w:trPr>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Austin, Texas 78758</w:t>
            </w:r>
          </w:p>
        </w:tc>
        <w:tc>
          <w:tcPr>
            <w:tcW w:w="1840" w:type="dxa"/>
            <w:vAlign w:val="bottom"/>
          </w:tcPr>
          <w:p>
            <w:pPr>
              <w:spacing w:after="0"/>
              <w:rPr>
                <w:sz w:val="18"/>
                <w:szCs w:val="18"/>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3540" w:type="dxa"/>
            <w:vAlign w:val="bottom"/>
            <w:gridSpan w:val="2"/>
          </w:tcPr>
          <w:p>
            <w:pPr>
              <w:jc w:val="center"/>
              <w:ind w:left="1084"/>
              <w:spacing w:after="0"/>
              <w:rPr>
                <w:sz w:val="20"/>
                <w:szCs w:val="20"/>
                <w:color w:val="auto"/>
              </w:rPr>
            </w:pPr>
            <w:r>
              <w:rPr>
                <w:rFonts w:ascii="Arial" w:cs="Arial" w:eastAsia="Arial" w:hAnsi="Arial"/>
                <w:sz w:val="18"/>
                <w:szCs w:val="18"/>
                <w:b w:val="1"/>
                <w:bCs w:val="1"/>
                <w:color w:val="auto"/>
                <w:w w:val="89"/>
              </w:rPr>
              <w:t>(512) 836-6464</w:t>
            </w: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8"/>
              </w:rPr>
              <w:t>Not Applicable</w:t>
            </w: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840" w:type="dxa"/>
            <w:vAlign w:val="bottom"/>
          </w:tcPr>
          <w:p>
            <w:pPr>
              <w:spacing w:after="0"/>
              <w:rPr>
                <w:sz w:val="15"/>
                <w:szCs w:val="15"/>
                <w:color w:val="auto"/>
              </w:rPr>
            </w:pPr>
          </w:p>
        </w:tc>
      </w:tr>
    </w:tbl>
    <w:p>
      <w:pPr>
        <w:spacing w:after="0" w:line="14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October 24, 2008, Active Power, Inc. issued a press release reporting its results of operations for its fiscal quarter ended September 30, 2008. A copy of the press release is furnished herewith as Exhibit 99.1.</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information furnished in this Current Report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4" w:lineRule="exact"/>
        <w:rPr>
          <w:sz w:val="20"/>
          <w:szCs w:val="20"/>
          <w:color w:val="auto"/>
        </w:rPr>
      </w:pPr>
    </w:p>
    <w:p>
      <w:pPr>
        <w:ind w:left="60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October 24, 2008.</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7480" w:type="dxa"/>
            <w:vAlign w:val="bottom"/>
            <w:gridSpan w:val="2"/>
          </w:tcPr>
          <w:p>
            <w:pPr>
              <w:ind w:left="2300"/>
              <w:spacing w:after="0"/>
              <w:rPr>
                <w:sz w:val="20"/>
                <w:szCs w:val="20"/>
                <w:color w:val="auto"/>
              </w:rPr>
            </w:pPr>
            <w:r>
              <w:rPr>
                <w:rFonts w:ascii="Arial" w:cs="Arial" w:eastAsia="Arial" w:hAnsi="Arial"/>
                <w:sz w:val="18"/>
                <w:szCs w:val="18"/>
                <w:color w:val="auto"/>
              </w:rPr>
              <w:t>ACTIVE POWER, INC.</w:t>
            </w:r>
          </w:p>
        </w:tc>
      </w:tr>
      <w:tr>
        <w:trPr>
          <w:trHeight w:val="433"/>
        </w:trPr>
        <w:tc>
          <w:tcPr>
            <w:tcW w:w="3940" w:type="dxa"/>
            <w:vAlign w:val="bottom"/>
          </w:tcPr>
          <w:p>
            <w:pPr>
              <w:spacing w:after="0"/>
              <w:rPr>
                <w:sz w:val="20"/>
                <w:szCs w:val="20"/>
                <w:color w:val="auto"/>
              </w:rPr>
            </w:pPr>
            <w:r>
              <w:rPr>
                <w:rFonts w:ascii="Arial" w:cs="Arial" w:eastAsia="Arial" w:hAnsi="Arial"/>
                <w:sz w:val="18"/>
                <w:szCs w:val="18"/>
                <w:color w:val="auto"/>
              </w:rPr>
              <w:t>Date: October 24, 2008</w:t>
            </w:r>
          </w:p>
        </w:tc>
        <w:tc>
          <w:tcPr>
            <w:tcW w:w="7480" w:type="dxa"/>
            <w:vAlign w:val="bottom"/>
            <w:gridSpan w:val="2"/>
          </w:tcPr>
          <w:p>
            <w:pPr>
              <w:ind w:left="2300"/>
              <w:spacing w:after="0"/>
              <w:rPr>
                <w:sz w:val="20"/>
                <w:szCs w:val="20"/>
                <w:color w:val="auto"/>
              </w:rPr>
            </w:pPr>
            <w:r>
              <w:rPr>
                <w:rFonts w:ascii="Arial" w:cs="Arial" w:eastAsia="Arial" w:hAnsi="Arial"/>
                <w:sz w:val="18"/>
                <w:szCs w:val="18"/>
                <w:color w:val="auto"/>
              </w:rPr>
              <w:t>By: /s/ JOHN PENVER</w:t>
            </w:r>
          </w:p>
        </w:tc>
      </w:tr>
      <w:tr>
        <w:trPr>
          <w:trHeight w:val="202"/>
        </w:trPr>
        <w:tc>
          <w:tcPr>
            <w:tcW w:w="3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9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Penver</w:t>
            </w:r>
          </w:p>
        </w:tc>
      </w:tr>
      <w:tr>
        <w:trPr>
          <w:trHeight w:val="222"/>
        </w:trPr>
        <w:tc>
          <w:tcPr>
            <w:tcW w:w="39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Press Release of Active Power, Inc. dated October 24, 2008.</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5831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8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Strong Third Quarter 2008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Revenues Grow 83 Percent from Prior Quarter; Reduced Operating Losses</w:t>
      </w:r>
    </w:p>
    <w:p>
      <w:pPr>
        <w:spacing w:after="0" w:line="16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AUSTIN, Texas (Oct. 24, 2008) </w:t>
      </w:r>
      <w:r>
        <w:rPr>
          <w:rFonts w:ascii="Arial" w:cs="Arial" w:eastAsia="Arial" w:hAnsi="Arial"/>
          <w:sz w:val="16"/>
          <w:szCs w:val="16"/>
          <w:color w:val="auto"/>
        </w:rPr>
        <w:t>– Active Power, Inc. (NASDAQ: ACPW) today announced results for its third quarter ended Sept. 30, 2008. Revenue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was $12.4 million representing the highest quarterly revenue recognized in the company’s history. The $12.4 million in revenue for the third quarter was an 83 percent increase from the previous quarter and an increase of 51 percent from the same period last year. For the nine months ended Sept. 30, 2008, revenues were $26.8 million, compared to $23.4 million in 2007, an increase of 14 percent.</w:t>
      </w:r>
    </w:p>
    <w:p>
      <w:pPr>
        <w:spacing w:after="0" w:line="10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net loss for the quarter was $4.1 million, or 7 cents per share, which included $1.5 million, or 2 cents per share, for an inventory impairment charge relating to the CoolAir product. This compared to a net loss of $4.4 million or 7 cents per share in the prior quarter, and a loss of $3.5 million, or 6 cents per share, for the same period last year. For the quarter, Active Power reported a gross profit margin of 9 percent and non-GAAP gross profit margin of 21 percent, compared to 14 percent in the previous quarter and 19 percent in the same period last year.</w:t>
      </w:r>
    </w:p>
    <w:p>
      <w:pPr>
        <w:spacing w:after="0" w:line="11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decrease in cash and investments during the quarter was $2.4 million compared to a decrease of $3.2 million in the previous quarter and a decrease of $2.8 million in the same period last year. Of the cash and investments used during the third quarter, $1.4 million funded operating losses and the remaining $1 million was used to fund working capital to fulfill orders as the business continues to grow. Cash and investments at Sept. 30, 2008, were $11.8 million.</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strong performance this quarter is attributable to the order growth we have seen since the beginning of our second quarter,” said Jim Clishem, president and CEO of Active Power. “As previously indicated, we expected and are achieving strong revenue growth in the second half of this year. The improved performance was across all of our major markets and all of our sales channels. We expect to significantly build upon this momentum into the current quarter as well. The increasing market acceptance of our products is driven by our key solution differentiators of efficient, reliable and green. Our brand is becoming more recognizable as we are taking share from several competitors. With the prospect of continued economic uncertainty, increasing energy demand and client operating cost sensitivities, our solutions are simply more compelling to major data center operators or consumers of electricity to support mission critical operations.”</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Highlights</w:t>
      </w:r>
    </w:p>
    <w:p>
      <w:pPr>
        <w:spacing w:after="0" w:line="96" w:lineRule="exact"/>
        <w:rPr>
          <w:sz w:val="20"/>
          <w:szCs w:val="20"/>
          <w:color w:val="auto"/>
        </w:rPr>
      </w:pPr>
    </w:p>
    <w:p>
      <w:pPr>
        <w:ind w:left="9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Experienced substantial growth in revenues across all geographies with EMEA revenues increasing by 302 percent and Americas’ revenue increasing by 20 percent from the prior quarter.</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Service revenues for 2008 were 40 percent higher compared to 2007 levels, which continue to reflect benefits of having a direct sales model in place and selling full turnkey solutions.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2,000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flywheel, representing more than 500 megawatts of delivered power to customers.</w:t>
      </w:r>
    </w:p>
    <w:p>
      <w:pPr>
        <w:spacing w:after="0" w:line="44"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more than $20 million in new customer orders during the third quarter and to date.</w:t>
      </w:r>
    </w:p>
    <w:p>
      <w:pPr>
        <w:spacing w:after="0" w:line="76" w:lineRule="exact"/>
        <w:rPr>
          <w:rFonts w:ascii="Arial" w:cs="Arial" w:eastAsia="Arial" w:hAnsi="Arial"/>
          <w:sz w:val="18"/>
          <w:szCs w:val="18"/>
          <w:color w:val="auto"/>
        </w:rPr>
      </w:pPr>
    </w:p>
    <w:p>
      <w:pPr>
        <w:jc w:val="both"/>
        <w:ind w:left="900" w:right="360" w:hanging="325"/>
        <w:spacing w:after="0" w:line="23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multiple sales orders for Megawatt Class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UPS (uninterruptible power supply) systems and PowerHouse containerized solutions from global customers including a large U.S. based global Internet search provider, Sun Microsystems, Star Technology Services and a European based health care facility.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sales accounted for 57 percent of total third quarter sales while indirect channels contributed 43 percent.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Active Power expects fourth quarter 2008 revenues to be between $12 and $15 million. We also expect our fourth quarter operating profit, excluding depreciation and stock-based compensation, to be positive for the first time in the company’s 16-year history. Fourth quarter earnings per share are expected to be a loss of approximately 2 to 4 cents. Active Power expects its cash and investments balance to decrease in the fourth quarter by up to $3 million primarily to meet is working capital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Active Power will host a conference call today, Friday, Oct. 24, 2008, at 11:00 a.m. (ET), to further review third quarter 2008 results. Interested parties can listen via Web cast at </w:t>
      </w:r>
      <w:r>
        <w:rPr>
          <w:rFonts w:ascii="Arial" w:cs="Arial" w:eastAsia="Arial" w:hAnsi="Arial"/>
          <w:sz w:val="18"/>
          <w:szCs w:val="18"/>
          <w:u w:val="single" w:color="auto"/>
          <w:color w:val="auto"/>
        </w:rPr>
        <w:t>http://www.videonewswire.com/event.asp?id=52363</w:t>
      </w:r>
      <w:r>
        <w:rPr>
          <w:rFonts w:ascii="Arial" w:cs="Arial" w:eastAsia="Arial" w:hAnsi="Arial"/>
          <w:sz w:val="18"/>
          <w:szCs w:val="18"/>
          <w:color w:val="auto"/>
        </w:rPr>
        <w:t xml:space="preserve">. A replay of the Web cast will be available until Nov. 7, 2008. Investors may access the live broadcast and replay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w:t>
      </w:r>
    </w:p>
    <w:p>
      <w:pPr>
        <w:sectPr>
          <w:pgSz w:w="11900" w:h="16838" w:orient="portrait"/>
          <w:cols w:equalWidth="0" w:num="1">
            <w:col w:w="11420"/>
          </w:cols>
          <w:pgMar w:left="240" w:top="274" w:right="239" w:bottom="1440" w:gutter="0" w:footer="0" w:header="0"/>
        </w:sectPr>
      </w:pPr>
    </w:p>
    <w:bookmarkStart w:id="6" w:name="page7"/>
    <w:bookmarkEnd w:id="6"/>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is a trademark of Active Power, Inc. All other trademarks are the properties of their respective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Gross Profit Margin</w:t>
      </w:r>
    </w:p>
    <w:p>
      <w:pPr>
        <w:spacing w:after="0" w:line="9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company’s non-GAAP gross profit margin is its gross profit margin determined under GAAP adjusted to exclude the $1.5 million inventory impairment charge. Management believes the non-GAAP gross profit margin for third quarter 2008 represents a more meaningful number when comparing its gross profit margin against prior periods because of the non-recurring nature of the inventory impairment charge.</w:t>
      </w:r>
    </w:p>
    <w:p>
      <w:pPr>
        <w:sectPr>
          <w:pgSz w:w="11900" w:h="16838" w:orient="portrait"/>
          <w:cols w:equalWidth="0" w:num="1">
            <w:col w:w="11380"/>
          </w:cols>
          <w:pgMar w:left="240" w:top="280" w:right="27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340" w:space="720"/>
            <w:col w:w="5320"/>
          </w:cols>
          <w:pgMar w:left="240" w:top="280" w:right="2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89"/>
              </w:rPr>
              <w:t>Three</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80" w:type="dxa"/>
            <w:vAlign w:val="bottom"/>
          </w:tcPr>
          <w:p>
            <w:pPr>
              <w:spacing w:after="0"/>
              <w:rPr>
                <w:sz w:val="12"/>
                <w:szCs w:val="12"/>
                <w:color w:val="auto"/>
              </w:rPr>
            </w:pPr>
          </w:p>
        </w:tc>
        <w:tc>
          <w:tcPr>
            <w:tcW w:w="15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Sept. 30,</w:t>
            </w:r>
          </w:p>
        </w:tc>
        <w:tc>
          <w:tcPr>
            <w:tcW w:w="80" w:type="dxa"/>
            <w:vAlign w:val="bottom"/>
          </w:tcPr>
          <w:p>
            <w:pPr>
              <w:spacing w:after="0"/>
              <w:rPr>
                <w:sz w:val="14"/>
                <w:szCs w:val="14"/>
                <w:color w:val="auto"/>
              </w:rPr>
            </w:pPr>
          </w:p>
        </w:tc>
        <w:tc>
          <w:tcPr>
            <w:tcW w:w="94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83"/>
              </w:rPr>
              <w:t>Sept. 30,</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8"/>
              </w:rPr>
              <w:t>22,033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8"/>
                <w:szCs w:val="18"/>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12,448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8,234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8"/>
              </w:rPr>
              <w:t>26,774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9,515</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5,675</w:t>
            </w:r>
          </w:p>
        </w:tc>
        <w:tc>
          <w:tcPr>
            <w:tcW w:w="80" w:type="dxa"/>
            <w:vAlign w:val="bottom"/>
          </w:tcPr>
          <w:p>
            <w:pPr>
              <w:spacing w:after="0"/>
              <w:rPr>
                <w:sz w:val="24"/>
                <w:szCs w:val="24"/>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w w:val="98"/>
              </w:rPr>
              <w:t>19,937</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11,325</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6,649</w:t>
            </w:r>
          </w:p>
        </w:tc>
        <w:tc>
          <w:tcPr>
            <w:tcW w:w="80" w:type="dxa"/>
            <w:vAlign w:val="bottom"/>
          </w:tcPr>
          <w:p>
            <w:pPr>
              <w:spacing w:after="0"/>
              <w:rPr>
                <w:sz w:val="19"/>
                <w:szCs w:val="19"/>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w w:val="98"/>
              </w:rPr>
              <w:t>23,926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18"/>
                <w:szCs w:val="18"/>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19"/>
                <w:szCs w:val="19"/>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w w:val="98"/>
              </w:rPr>
              <w:t>16,388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(4,186)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(3,725)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(13,540)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(15,204)</w:t>
            </w:r>
          </w:p>
        </w:tc>
        <w:tc>
          <w:tcPr>
            <w:tcW w:w="0" w:type="dxa"/>
            <w:vAlign w:val="bottom"/>
          </w:tcPr>
          <w:p>
            <w:pPr>
              <w:spacing w:after="0"/>
              <w:rPr>
                <w:sz w:val="1"/>
                <w:szCs w:val="1"/>
                <w:color w:val="auto"/>
              </w:rPr>
            </w:pPr>
          </w:p>
        </w:tc>
      </w:tr>
      <w:tr>
        <w:trPr>
          <w:trHeight w:val="322"/>
        </w:trPr>
        <w:tc>
          <w:tcPr>
            <w:tcW w:w="6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4"/>
                <w:szCs w:val="24"/>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(3,512)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(13,011)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60,124</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55,210</w:t>
            </w:r>
          </w:p>
        </w:tc>
        <w:tc>
          <w:tcPr>
            <w:tcW w:w="80" w:type="dxa"/>
            <w:vAlign w:val="bottom"/>
          </w:tcPr>
          <w:p>
            <w:pPr>
              <w:spacing w:after="0"/>
              <w:rPr>
                <w:sz w:val="19"/>
                <w:szCs w:val="19"/>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8"/>
                <w:szCs w:val="18"/>
                <w:color w:val="auto"/>
                <w:w w:val="98"/>
              </w:rPr>
              <w:t>60,124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(3,512)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(13,011)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(13,196)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29,076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35,218</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259,910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(238,412)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(225,401)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35,218</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2019-12-11T15:15:24Z</dcterms:created>
  <dcterms:modified xsi:type="dcterms:W3CDTF">2019-12-11T15:15:24Z</dcterms:modified>
</cp:coreProperties>
</file>