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9425305"/>
                    </a:xfrm>
                    <a:prstGeom prst="rect">
                      <a:avLst/>
                    </a:prstGeom>
                    <a:noFill/>
                  </pic:spPr>
                </pic:pic>
              </a:graphicData>
            </a:graphic>
          </wp:anchor>
        </w:drawing>
      </w:r>
    </w:p>
    <w:p>
      <w:pPr>
        <w:spacing w:after="0" w:line="97" w:lineRule="exact"/>
        <w:rPr>
          <w:sz w:val="24"/>
          <w:szCs w:val="24"/>
          <w:color w:val="auto"/>
        </w:rPr>
      </w:pPr>
    </w:p>
    <w:p>
      <w:pPr>
        <w:sectPr>
          <w:pgSz w:w="11900" w:h="16887" w:orient="portrait"/>
          <w:cols w:equalWidth="0" w:num="2">
            <w:col w:w="2200" w:space="42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210 Capital, LLC</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11/18/2021</w:t>
      </w:r>
    </w:p>
    <w:p>
      <w:pPr>
        <w:spacing w:after="0" w:line="20" w:lineRule="exact"/>
        <w:rPr>
          <w:sz w:val="24"/>
          <w:szCs w:val="24"/>
          <w:color w:val="auto"/>
        </w:rPr>
      </w:pPr>
      <w:r>
        <w:rPr>
          <w:sz w:val="24"/>
          <w:szCs w:val="24"/>
          <w:color w:val="auto"/>
        </w:rPr>
        <w:br w:type="column"/>
      </w:r>
    </w:p>
    <w:p>
      <w:pPr>
        <w:ind w:right="680"/>
        <w:spacing w:after="0" w:line="23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0"/>
        <w:spacing w:after="0"/>
        <w:tabs>
          <w:tab w:leader="none" w:pos="1740" w:val="left"/>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2" w:lineRule="exact"/>
        <w:rPr>
          <w:sz w:val="24"/>
          <w:szCs w:val="24"/>
          <w:color w:val="auto"/>
        </w:rPr>
      </w:pPr>
    </w:p>
    <w:p>
      <w:pPr>
        <w:sectPr>
          <w:pgSz w:w="11900" w:h="16887" w:orient="portrait"/>
          <w:cols w:equalWidth="0" w:num="3">
            <w:col w:w="3180" w:space="720"/>
            <w:col w:w="3120" w:space="720"/>
            <w:col w:w="3340"/>
          </w:cols>
          <w:pgMar w:left="460" w:top="219" w:right="359" w:bottom="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tcPr>
          <w:p>
            <w:pPr>
              <w:ind w:left="30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75205</w:t>
            </w:r>
          </w:p>
        </w:tc>
      </w:tr>
      <w:tr>
        <w:trPr>
          <w:trHeight w:val="146"/>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40" w:hanging="3831"/>
        <w:spacing w:after="0" w:line="23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300" w:type="dxa"/>
            <w:vAlign w:val="bottom"/>
          </w:tcPr>
          <w:p>
            <w:pPr>
              <w:ind w:left="10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3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87"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22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ind w:left="160"/>
              <w:spacing w:after="0" w:line="123" w:lineRule="exact"/>
              <w:rPr>
                <w:sz w:val="20"/>
                <w:szCs w:val="20"/>
                <w:color w:val="auto"/>
              </w:rPr>
            </w:pPr>
            <w:r>
              <w:rPr>
                <w:rFonts w:ascii="Arial" w:cs="Arial" w:eastAsia="Arial" w:hAnsi="Arial"/>
                <w:sz w:val="11"/>
                <w:szCs w:val="11"/>
                <w:b w:val="1"/>
                <w:bCs w:val="1"/>
                <w:color w:val="auto"/>
                <w:w w:val="92"/>
              </w:rPr>
              <w:t>Date</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gridSpan w:val="3"/>
          </w:tcPr>
          <w:p>
            <w:pPr>
              <w:jc w:val="center"/>
              <w:spacing w:after="0"/>
              <w:rPr>
                <w:sz w:val="20"/>
                <w:szCs w:val="20"/>
                <w:color w:val="auto"/>
              </w:rPr>
            </w:pPr>
            <w:r>
              <w:rPr>
                <w:rFonts w:ascii="Arial" w:cs="Arial" w:eastAsia="Arial" w:hAnsi="Arial"/>
                <w:sz w:val="11"/>
                <w:szCs w:val="11"/>
                <w:b w:val="1"/>
                <w:bCs w:val="1"/>
                <w:color w:val="auto"/>
              </w:rPr>
              <w:t>(Month/Day/Year)</w:t>
            </w:r>
          </w:p>
        </w:tc>
        <w:tc>
          <w:tcPr>
            <w:tcW w:w="8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tcPr>
          <w:p>
            <w:pPr>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200"/>
              <w:spacing w:after="0"/>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w:t>
            </w:r>
          </w:p>
        </w:tc>
        <w:tc>
          <w:tcPr>
            <w:tcW w:w="1740" w:type="dxa"/>
            <w:vAlign w:val="bottom"/>
            <w:gridSpan w:val="3"/>
            <w:vMerge w:val="restart"/>
          </w:tcPr>
          <w:p>
            <w:pPr>
              <w:jc w:val="center"/>
              <w:ind w:left="691"/>
              <w:spacing w:after="0"/>
              <w:rPr>
                <w:sz w:val="20"/>
                <w:szCs w:val="20"/>
                <w:color w:val="auto"/>
              </w:rPr>
            </w:pPr>
            <w:r>
              <w:rPr>
                <w:rFonts w:ascii="Arial" w:cs="Arial" w:eastAsia="Arial" w:hAnsi="Arial"/>
                <w:sz w:val="16"/>
                <w:szCs w:val="16"/>
                <w:color w:val="0000FF"/>
                <w:w w:val="92"/>
              </w:rPr>
              <w:t>11/18/2021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vMerge w:val="restart"/>
          </w:tcPr>
          <w:p>
            <w:pPr>
              <w:jc w:val="center"/>
              <w:ind w:right="141"/>
              <w:spacing w:after="0"/>
              <w:rPr>
                <w:sz w:val="20"/>
                <w:szCs w:val="20"/>
                <w:color w:val="auto"/>
              </w:rPr>
            </w:pPr>
            <w:r>
              <w:rPr>
                <w:rFonts w:ascii="Arial" w:cs="Arial" w:eastAsia="Arial" w:hAnsi="Arial"/>
                <w:sz w:val="13"/>
                <w:szCs w:val="13"/>
                <w:color w:val="0000FF"/>
                <w:w w:val="84"/>
              </w:rPr>
              <w:t>C</w:t>
            </w:r>
          </w:p>
        </w:tc>
        <w:tc>
          <w:tcPr>
            <w:tcW w:w="200" w:type="dxa"/>
            <w:vAlign w:val="bottom"/>
          </w:tcPr>
          <w:p>
            <w:pPr>
              <w:spacing w:after="0"/>
              <w:rPr>
                <w:sz w:val="21"/>
                <w:szCs w:val="21"/>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521,498</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320"/>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21"/>
                <w:szCs w:val="21"/>
                <w:color w:val="auto"/>
              </w:rPr>
            </w:pPr>
          </w:p>
        </w:tc>
        <w:tc>
          <w:tcPr>
            <w:tcW w:w="1180" w:type="dxa"/>
            <w:vAlign w:val="bottom"/>
            <w:gridSpan w:val="2"/>
            <w:vMerge w:val="restart"/>
          </w:tcPr>
          <w:p>
            <w:pPr>
              <w:jc w:val="right"/>
              <w:ind w:right="283"/>
              <w:spacing w:after="0"/>
              <w:rPr>
                <w:sz w:val="20"/>
                <w:szCs w:val="20"/>
                <w:color w:val="auto"/>
              </w:rPr>
            </w:pPr>
            <w:r>
              <w:rPr>
                <w:rFonts w:ascii="Arial" w:cs="Arial" w:eastAsia="Arial" w:hAnsi="Arial"/>
                <w:sz w:val="16"/>
                <w:szCs w:val="16"/>
                <w:color w:val="0000FF"/>
              </w:rPr>
              <w:t>521,498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gridSpan w:val="7"/>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w:t>
            </w:r>
          </w:p>
        </w:tc>
        <w:tc>
          <w:tcPr>
            <w:tcW w:w="1740" w:type="dxa"/>
            <w:vAlign w:val="bottom"/>
            <w:gridSpan w:val="3"/>
            <w:vMerge w:val="restart"/>
          </w:tcPr>
          <w:p>
            <w:pPr>
              <w:jc w:val="center"/>
              <w:ind w:left="691"/>
              <w:spacing w:after="0"/>
              <w:rPr>
                <w:sz w:val="20"/>
                <w:szCs w:val="20"/>
                <w:color w:val="auto"/>
              </w:rPr>
            </w:pPr>
            <w:r>
              <w:rPr>
                <w:rFonts w:ascii="Arial" w:cs="Arial" w:eastAsia="Arial" w:hAnsi="Arial"/>
                <w:sz w:val="16"/>
                <w:szCs w:val="16"/>
                <w:color w:val="0000FF"/>
                <w:w w:val="92"/>
              </w:rPr>
              <w:t>11/18/2021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vMerge w:val="restart"/>
          </w:tcPr>
          <w:p>
            <w:pPr>
              <w:jc w:val="center"/>
              <w:ind w:right="141"/>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21"/>
                <w:szCs w:val="21"/>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521,498</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20" w:type="dxa"/>
            <w:vAlign w:val="bottom"/>
          </w:tcPr>
          <w:p>
            <w:pPr>
              <w:spacing w:after="0"/>
              <w:rPr>
                <w:sz w:val="21"/>
                <w:szCs w:val="21"/>
                <w:color w:val="auto"/>
              </w:rPr>
            </w:pPr>
          </w:p>
        </w:tc>
        <w:tc>
          <w:tcPr>
            <w:tcW w:w="700" w:type="dxa"/>
            <w:vAlign w:val="bottom"/>
            <w:vMerge w:val="restart"/>
          </w:tcPr>
          <w:p>
            <w:pPr>
              <w:jc w:val="right"/>
              <w:ind w:right="40"/>
              <w:spacing w:after="0"/>
              <w:rPr>
                <w:sz w:val="20"/>
                <w:szCs w:val="20"/>
                <w:color w:val="auto"/>
              </w:rPr>
            </w:pPr>
            <w:r>
              <w:rPr>
                <w:rFonts w:ascii="Arial" w:cs="Arial" w:eastAsia="Arial" w:hAnsi="Arial"/>
                <w:sz w:val="16"/>
                <w:szCs w:val="16"/>
                <w:color w:val="0000FF"/>
              </w:rPr>
              <w:t>0</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10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gridSpan w:val="7"/>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900" w:type="dxa"/>
            <w:vAlign w:val="bottom"/>
            <w:gridSpan w:val="12"/>
          </w:tcPr>
          <w:p>
            <w:pPr>
              <w:ind w:left="1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98"/>
              </w:rPr>
              <w:t>1,172,884</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5"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260"/>
              <w:spacing w:after="0"/>
              <w:rPr>
                <w:sz w:val="20"/>
                <w:szCs w:val="20"/>
                <w:color w:val="auto"/>
              </w:rPr>
            </w:pPr>
            <w:r>
              <w:rPr>
                <w:rFonts w:ascii="Arial" w:cs="Arial" w:eastAsia="Arial" w:hAnsi="Arial"/>
                <w:sz w:val="10"/>
                <w:szCs w:val="10"/>
                <w:color w:val="008000"/>
              </w:rPr>
              <w:t>(2)(3)</w:t>
            </w:r>
          </w:p>
        </w:tc>
        <w:tc>
          <w:tcPr>
            <w:tcW w:w="900" w:type="dxa"/>
            <w:vAlign w:val="bottom"/>
            <w:gridSpan w:val="2"/>
            <w:vMerge w:val="restart"/>
          </w:tcPr>
          <w:p>
            <w:pPr>
              <w:ind w:left="260"/>
              <w:spacing w:after="0" w:line="135" w:lineRule="exact"/>
              <w:rPr>
                <w:sz w:val="20"/>
                <w:szCs w:val="20"/>
                <w:color w:val="auto"/>
              </w:rPr>
            </w:pPr>
            <w:r>
              <w:rPr>
                <w:rFonts w:ascii="Arial" w:cs="Arial" w:eastAsia="Arial" w:hAnsi="Arial"/>
                <w:sz w:val="13"/>
                <w:szCs w:val="13"/>
                <w:color w:val="0000FF"/>
                <w:w w:val="95"/>
              </w:rPr>
              <w:t>11/18/2021</w:t>
            </w: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gridSpan w:val="2"/>
            <w:vMerge w:val="restart"/>
          </w:tcPr>
          <w:p>
            <w:pPr>
              <w:jc w:val="center"/>
              <w:ind w:right="380"/>
              <w:spacing w:after="0" w:line="135" w:lineRule="exact"/>
              <w:rPr>
                <w:sz w:val="20"/>
                <w:szCs w:val="20"/>
                <w:color w:val="auto"/>
              </w:rPr>
            </w:pPr>
            <w:r>
              <w:rPr>
                <w:rFonts w:ascii="Arial" w:cs="Arial" w:eastAsia="Arial" w:hAnsi="Arial"/>
                <w:sz w:val="13"/>
                <w:szCs w:val="13"/>
                <w:color w:val="0000FF"/>
                <w:w w:val="84"/>
              </w:rPr>
              <w:t>C</w:t>
            </w:r>
          </w:p>
        </w:tc>
        <w:tc>
          <w:tcPr>
            <w:tcW w:w="860" w:type="dxa"/>
            <w:vAlign w:val="bottom"/>
            <w:vMerge w:val="restart"/>
          </w:tcPr>
          <w:p>
            <w:pPr>
              <w:ind w:left="340"/>
              <w:spacing w:after="0" w:line="135" w:lineRule="exact"/>
              <w:rPr>
                <w:sz w:val="20"/>
                <w:szCs w:val="20"/>
                <w:color w:val="auto"/>
              </w:rPr>
            </w:pPr>
            <w:r>
              <w:rPr>
                <w:rFonts w:ascii="Arial" w:cs="Arial" w:eastAsia="Arial" w:hAnsi="Arial"/>
                <w:sz w:val="13"/>
                <w:szCs w:val="13"/>
                <w:color w:val="0000FF"/>
              </w:rPr>
              <w:t>521,498</w:t>
            </w:r>
          </w:p>
        </w:tc>
        <w:tc>
          <w:tcPr>
            <w:tcW w:w="74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w w:val="97"/>
              </w:rPr>
              <w:t>(2)(3)</w:t>
            </w:r>
          </w:p>
        </w:tc>
        <w:tc>
          <w:tcPr>
            <w:tcW w:w="200" w:type="dxa"/>
            <w:vAlign w:val="bottom"/>
          </w:tcPr>
          <w:p>
            <w:pPr>
              <w:spacing w:after="0"/>
              <w:rPr>
                <w:sz w:val="5"/>
                <w:szCs w:val="5"/>
                <w:color w:val="auto"/>
              </w:rPr>
            </w:pPr>
          </w:p>
        </w:tc>
        <w:tc>
          <w:tcPr>
            <w:tcW w:w="480" w:type="dxa"/>
            <w:vAlign w:val="bottom"/>
            <w:vMerge w:val="restart"/>
          </w:tcPr>
          <w:p>
            <w:pPr>
              <w:spacing w:after="0"/>
              <w:rPr>
                <w:sz w:val="20"/>
                <w:szCs w:val="20"/>
                <w:color w:val="auto"/>
              </w:rPr>
            </w:pPr>
            <w:r>
              <w:rPr>
                <w:rFonts w:ascii="Arial" w:cs="Arial" w:eastAsia="Arial" w:hAnsi="Arial"/>
                <w:sz w:val="10"/>
                <w:szCs w:val="10"/>
                <w:color w:val="008000"/>
              </w:rPr>
              <w:t>(2)(3)</w:t>
            </w:r>
          </w:p>
        </w:tc>
        <w:tc>
          <w:tcPr>
            <w:tcW w:w="660" w:type="dxa"/>
            <w:vAlign w:val="bottom"/>
            <w:gridSpan w:val="2"/>
            <w:vMerge w:val="restart"/>
          </w:tcPr>
          <w:p>
            <w:pPr>
              <w:ind w:left="60"/>
              <w:spacing w:after="0" w:line="135" w:lineRule="exact"/>
              <w:rPr>
                <w:sz w:val="20"/>
                <w:szCs w:val="20"/>
                <w:color w:val="auto"/>
              </w:rPr>
            </w:pPr>
            <w:r>
              <w:rPr>
                <w:rFonts w:ascii="Arial" w:cs="Arial" w:eastAsia="Arial" w:hAnsi="Arial"/>
                <w:sz w:val="13"/>
                <w:szCs w:val="13"/>
                <w:color w:val="0000FF"/>
              </w:rPr>
              <w:t>Common</w:t>
            </w: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200"/>
              <w:spacing w:after="0"/>
              <w:rPr>
                <w:sz w:val="20"/>
                <w:szCs w:val="20"/>
                <w:color w:val="auto"/>
              </w:rPr>
            </w:pPr>
            <w:r>
              <w:rPr>
                <w:rFonts w:ascii="Arial" w:cs="Arial" w:eastAsia="Arial" w:hAnsi="Arial"/>
                <w:sz w:val="10"/>
                <w:szCs w:val="10"/>
                <w:color w:val="008000"/>
              </w:rPr>
              <w:t>(2)(3)</w:t>
            </w:r>
          </w:p>
        </w:tc>
        <w:tc>
          <w:tcPr>
            <w:tcW w:w="840" w:type="dxa"/>
            <w:vAlign w:val="bottom"/>
            <w:gridSpan w:val="2"/>
            <w:vMerge w:val="restart"/>
          </w:tcPr>
          <w:p>
            <w:pPr>
              <w:ind w:left="140"/>
              <w:spacing w:after="0" w:line="135" w:lineRule="exact"/>
              <w:rPr>
                <w:sz w:val="20"/>
                <w:szCs w:val="20"/>
                <w:color w:val="auto"/>
              </w:rPr>
            </w:pPr>
            <w:r>
              <w:rPr>
                <w:rFonts w:ascii="Arial" w:cs="Arial" w:eastAsia="Arial" w:hAnsi="Arial"/>
                <w:sz w:val="13"/>
                <w:szCs w:val="13"/>
                <w:color w:val="0000FF"/>
              </w:rPr>
              <w:t>13,167,397</w:t>
            </w:r>
          </w:p>
        </w:tc>
        <w:tc>
          <w:tcPr>
            <w:tcW w:w="500" w:type="dxa"/>
            <w:vAlign w:val="bottom"/>
            <w:vMerge w:val="restart"/>
          </w:tcPr>
          <w:p>
            <w:pPr>
              <w:ind w:left="360"/>
              <w:spacing w:after="0" w:line="135"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Borders>
              <w:right w:val="single" w:sz="8" w:color="2C2C2C"/>
            </w:tcBorders>
            <w:gridSpan w:val="3"/>
          </w:tcPr>
          <w:p>
            <w:pPr>
              <w:ind w:left="520"/>
              <w:spacing w:after="0" w:line="77" w:lineRule="exact"/>
              <w:rPr>
                <w:sz w:val="20"/>
                <w:szCs w:val="20"/>
                <w:color w:val="auto"/>
              </w:rPr>
            </w:pPr>
            <w:r>
              <w:rPr>
                <w:rFonts w:ascii="Arial" w:cs="Arial" w:eastAsia="Arial" w:hAnsi="Arial"/>
                <w:sz w:val="8"/>
                <w:szCs w:val="8"/>
                <w:color w:val="008000"/>
              </w:rPr>
              <w:t>(4)</w:t>
            </w:r>
          </w:p>
        </w:tc>
        <w:tc>
          <w:tcPr>
            <w:tcW w:w="0" w:type="dxa"/>
            <w:vAlign w:val="bottom"/>
          </w:tcPr>
          <w:p>
            <w:pPr>
              <w:spacing w:after="0"/>
              <w:rPr>
                <w:sz w:val="1"/>
                <w:szCs w:val="1"/>
                <w:color w:val="auto"/>
              </w:rPr>
            </w:pPr>
          </w:p>
        </w:tc>
      </w:tr>
      <w:tr>
        <w:trPr>
          <w:trHeight w:val="272"/>
        </w:trPr>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Arial" w:cs="Arial" w:eastAsia="Arial" w:hAnsi="Arial"/>
                <w:sz w:val="13"/>
                <w:szCs w:val="13"/>
                <w:color w:val="0000FF"/>
              </w:rPr>
              <w:t>Stock</w:t>
            </w:r>
            <w:r>
              <w:rPr>
                <w:rFonts w:ascii="Arial" w:cs="Arial" w:eastAsia="Arial" w:hAnsi="Arial"/>
                <w:sz w:val="20"/>
                <w:szCs w:val="20"/>
                <w:color w:val="008000"/>
                <w:vertAlign w:val="superscript"/>
              </w:rPr>
              <w:t>(1)</w:t>
            </w:r>
          </w:p>
        </w:tc>
        <w:tc>
          <w:tcPr>
            <w:tcW w:w="7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Stock</w:t>
            </w:r>
          </w:p>
        </w:tc>
        <w:tc>
          <w:tcPr>
            <w:tcW w:w="7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right w:val="single" w:sz="8" w:color="2C2C2C"/>
            </w:tcBorders>
            <w:gridSpan w:val="3"/>
          </w:tcPr>
          <w:p>
            <w:pPr>
              <w:ind w:left="80"/>
              <w:spacing w:after="0"/>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9"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6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210 Capital, LLC</w:t>
              </w:r>
            </w:hyperlink>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Arial" w:cs="Arial" w:eastAsia="Arial" w:hAnsi="Arial"/>
                <w:sz w:val="16"/>
                <w:szCs w:val="16"/>
                <w:color w:val="0000FF"/>
                <w:w w:val="96"/>
              </w:rPr>
              <w:t>4514 COLE AVENUE, SUITE 1600</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gridSpan w:val="2"/>
          </w:tcPr>
          <w:p>
            <w:pPr>
              <w:ind w:left="380"/>
              <w:spacing w:after="0"/>
              <w:rPr>
                <w:sz w:val="20"/>
                <w:szCs w:val="20"/>
                <w:color w:val="auto"/>
              </w:rPr>
            </w:pPr>
            <w:r>
              <w:rPr>
                <w:rFonts w:ascii="Arial" w:cs="Arial" w:eastAsia="Arial" w:hAnsi="Arial"/>
                <w:sz w:val="16"/>
                <w:szCs w:val="16"/>
                <w:color w:val="0000FF"/>
              </w:rPr>
              <w:t>75205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COVENANT RHA PARTNERS,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Arial" w:cs="Arial" w:eastAsia="Arial" w:hAnsi="Arial"/>
                <w:sz w:val="16"/>
                <w:szCs w:val="16"/>
                <w:color w:val="0000FF"/>
                <w:w w:val="96"/>
              </w:rPr>
              <w:t>4514 COLE AVENUE, SUITE 1600</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gridSpan w:val="2"/>
          </w:tcPr>
          <w:p>
            <w:pPr>
              <w:ind w:left="380"/>
              <w:spacing w:after="0"/>
              <w:rPr>
                <w:sz w:val="20"/>
                <w:szCs w:val="20"/>
                <w:color w:val="auto"/>
              </w:rPr>
            </w:pPr>
            <w:r>
              <w:rPr>
                <w:rFonts w:ascii="Arial" w:cs="Arial" w:eastAsia="Arial" w:hAnsi="Arial"/>
                <w:sz w:val="16"/>
                <w:szCs w:val="16"/>
                <w:color w:val="0000FF"/>
              </w:rPr>
              <w:t>75205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0" w:lineRule="exact"/>
              <w:rPr>
                <w:rFonts w:ascii="Arial" w:cs="Arial" w:eastAsia="Arial" w:hAnsi="Arial"/>
                <w:sz w:val="20"/>
                <w:szCs w:val="20"/>
                <w:color w:val="0000EE"/>
              </w:rPr>
            </w:pPr>
            <w:hyperlink r:id="rId15">
              <w:r>
                <w:rPr>
                  <w:rFonts w:ascii="Arial" w:cs="Arial" w:eastAsia="Arial" w:hAnsi="Arial"/>
                  <w:sz w:val="20"/>
                  <w:szCs w:val="20"/>
                  <w:color w:val="0000EE"/>
                </w:rPr>
                <w:t>CCW/LAW Holdings, LLC</w:t>
              </w:r>
            </w:hyperlink>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Arial" w:cs="Arial" w:eastAsia="Arial" w:hAnsi="Arial"/>
                <w:sz w:val="16"/>
                <w:szCs w:val="16"/>
                <w:color w:val="0000FF"/>
                <w:w w:val="96"/>
              </w:rPr>
              <w:t>4514 COLE AVENUE, SUITE 1600</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gridSpan w:val="2"/>
          </w:tcPr>
          <w:p>
            <w:pPr>
              <w:ind w:left="380"/>
              <w:spacing w:after="0"/>
              <w:rPr>
                <w:sz w:val="20"/>
                <w:szCs w:val="20"/>
                <w:color w:val="auto"/>
              </w:rPr>
            </w:pPr>
            <w:r>
              <w:rPr>
                <w:rFonts w:ascii="Arial" w:cs="Arial" w:eastAsia="Arial" w:hAnsi="Arial"/>
                <w:sz w:val="16"/>
                <w:szCs w:val="16"/>
                <w:color w:val="0000FF"/>
              </w:rPr>
              <w:t>75205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-6005195</wp:posOffset>
            </wp:positionV>
            <wp:extent cx="28575" cy="1666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666240"/>
                    </a:xfrm>
                    <a:prstGeom prst="rect">
                      <a:avLst/>
                    </a:prstGeom>
                    <a:noFill/>
                  </pic:spPr>
                </pic:pic>
              </a:graphicData>
            </a:graphic>
          </wp:anchor>
        </w:drawing>
      </w:r>
    </w:p>
    <w:p>
      <w:pPr>
        <w:sectPr>
          <w:pgSz w:w="11900" w:h="16887" w:orient="portrait"/>
          <w:cols w:equalWidth="0" w:num="1">
            <w:col w:w="11080"/>
          </w:cols>
          <w:pgMar w:left="460" w:top="219" w:right="359" w:bottom="0" w:gutter="0" w:footer="0" w:header="0"/>
          <w:type w:val="continuous"/>
        </w:sectPr>
      </w:pPr>
    </w:p>
    <w:p>
      <w:pPr>
        <w:spacing w:after="0" w:line="304"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87"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4742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0510" cy="474281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RHA Investments, Inc.</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0" w:type="dxa"/>
            <w:vAlign w:val="bottom"/>
          </w:tcPr>
          <w:p>
            <w:pPr>
              <w:spacing w:after="0"/>
              <w:rPr>
                <w:sz w:val="13"/>
                <w:szCs w:val="13"/>
                <w:color w:val="auto"/>
              </w:rPr>
            </w:pPr>
          </w:p>
        </w:tc>
        <w:tc>
          <w:tcPr>
            <w:tcW w:w="136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color w:val="0000FF"/>
              </w:rPr>
              <w:t>4514 COLE AVENUE, SUITE 1600</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Arial" w:cs="Arial" w:eastAsia="Arial" w:hAnsi="Arial"/>
                <w:sz w:val="16"/>
                <w:szCs w:val="16"/>
                <w:color w:val="0000FF"/>
              </w:rPr>
              <w:t>DALLAS</w:t>
            </w:r>
          </w:p>
        </w:tc>
        <w:tc>
          <w:tcPr>
            <w:tcW w:w="1260" w:type="dxa"/>
            <w:vAlign w:val="bottom"/>
          </w:tcPr>
          <w:p>
            <w:pPr>
              <w:ind w:left="60"/>
              <w:spacing w:after="0"/>
              <w:rPr>
                <w:sz w:val="20"/>
                <w:szCs w:val="20"/>
                <w:color w:val="auto"/>
              </w:rPr>
            </w:pPr>
            <w:r>
              <w:rPr>
                <w:rFonts w:ascii="Arial" w:cs="Arial" w:eastAsia="Arial" w:hAnsi="Arial"/>
                <w:sz w:val="16"/>
                <w:szCs w:val="16"/>
                <w:color w:val="0000FF"/>
              </w:rPr>
              <w:t>TX</w:t>
            </w:r>
          </w:p>
        </w:tc>
        <w:tc>
          <w:tcPr>
            <w:tcW w:w="1560" w:type="dxa"/>
            <w:vAlign w:val="bottom"/>
          </w:tcPr>
          <w:p>
            <w:pPr>
              <w:ind w:left="20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36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80" w:type="dxa"/>
            <w:vAlign w:val="bottom"/>
          </w:tcPr>
          <w:p>
            <w:pPr>
              <w:spacing w:after="0"/>
              <w:rPr>
                <w:sz w:val="18"/>
                <w:szCs w:val="18"/>
                <w:color w:val="auto"/>
              </w:rPr>
            </w:pPr>
          </w:p>
        </w:tc>
        <w:tc>
          <w:tcPr>
            <w:tcW w:w="1360" w:type="dxa"/>
            <w:vAlign w:val="bottom"/>
            <w:gridSpan w:val="4"/>
          </w:tcPr>
          <w:p>
            <w:pPr>
              <w:ind w:left="20"/>
              <w:spacing w:after="0" w:line="210" w:lineRule="exact"/>
              <w:rPr>
                <w:rFonts w:ascii="Arial" w:cs="Arial" w:eastAsia="Arial" w:hAnsi="Arial"/>
                <w:sz w:val="20"/>
                <w:szCs w:val="20"/>
                <w:color w:val="0000EE"/>
                <w:w w:val="95"/>
              </w:rPr>
            </w:pPr>
            <w:hyperlink r:id="rId19">
              <w:r>
                <w:rPr>
                  <w:rFonts w:ascii="Arial" w:cs="Arial" w:eastAsia="Arial" w:hAnsi="Arial"/>
                  <w:sz w:val="20"/>
                  <w:szCs w:val="20"/>
                  <w:color w:val="0000EE"/>
                  <w:w w:val="95"/>
                </w:rPr>
                <w:t>Alpert Robert H</w:t>
              </w:r>
            </w:hyperlink>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0"/>
        </w:trPr>
        <w:tc>
          <w:tcPr>
            <w:tcW w:w="80" w:type="dxa"/>
            <w:vAlign w:val="bottom"/>
          </w:tcPr>
          <w:p>
            <w:pPr>
              <w:spacing w:after="0"/>
              <w:rPr>
                <w:sz w:val="24"/>
                <w:szCs w:val="24"/>
                <w:color w:val="auto"/>
              </w:rPr>
            </w:pPr>
          </w:p>
        </w:tc>
        <w:tc>
          <w:tcPr>
            <w:tcW w:w="136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color w:val="0000FF"/>
              </w:rPr>
              <w:t>4514 COLE AVENUE, SUITE 1600</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Arial" w:cs="Arial" w:eastAsia="Arial" w:hAnsi="Arial"/>
                <w:sz w:val="16"/>
                <w:szCs w:val="16"/>
                <w:color w:val="0000FF"/>
              </w:rPr>
              <w:t>DALLAS</w:t>
            </w:r>
          </w:p>
        </w:tc>
        <w:tc>
          <w:tcPr>
            <w:tcW w:w="1260" w:type="dxa"/>
            <w:vAlign w:val="bottom"/>
          </w:tcPr>
          <w:p>
            <w:pPr>
              <w:ind w:left="60"/>
              <w:spacing w:after="0"/>
              <w:rPr>
                <w:sz w:val="20"/>
                <w:szCs w:val="20"/>
                <w:color w:val="auto"/>
              </w:rPr>
            </w:pPr>
            <w:r>
              <w:rPr>
                <w:rFonts w:ascii="Arial" w:cs="Arial" w:eastAsia="Arial" w:hAnsi="Arial"/>
                <w:sz w:val="16"/>
                <w:szCs w:val="16"/>
                <w:color w:val="0000FF"/>
              </w:rPr>
              <w:t>TX</w:t>
            </w:r>
          </w:p>
        </w:tc>
        <w:tc>
          <w:tcPr>
            <w:tcW w:w="1560" w:type="dxa"/>
            <w:vAlign w:val="bottom"/>
          </w:tcPr>
          <w:p>
            <w:pPr>
              <w:ind w:left="20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36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80" w:type="dxa"/>
            <w:vAlign w:val="bottom"/>
          </w:tcPr>
          <w:p>
            <w:pPr>
              <w:spacing w:after="0"/>
              <w:rPr>
                <w:sz w:val="18"/>
                <w:szCs w:val="18"/>
                <w:color w:val="auto"/>
              </w:rPr>
            </w:pPr>
          </w:p>
        </w:tc>
        <w:tc>
          <w:tcPr>
            <w:tcW w:w="1360" w:type="dxa"/>
            <w:vAlign w:val="bottom"/>
            <w:gridSpan w:val="4"/>
          </w:tcPr>
          <w:p>
            <w:pPr>
              <w:ind w:left="20"/>
              <w:spacing w:after="0" w:line="210" w:lineRule="exact"/>
              <w:rPr>
                <w:rFonts w:ascii="Arial" w:cs="Arial" w:eastAsia="Arial" w:hAnsi="Arial"/>
                <w:sz w:val="20"/>
                <w:szCs w:val="20"/>
                <w:color w:val="0000EE"/>
              </w:rPr>
            </w:pPr>
            <w:hyperlink r:id="rId20">
              <w:r>
                <w:rPr>
                  <w:rFonts w:ascii="Arial" w:cs="Arial" w:eastAsia="Arial" w:hAnsi="Arial"/>
                  <w:sz w:val="20"/>
                  <w:szCs w:val="20"/>
                  <w:color w:val="0000EE"/>
                </w:rPr>
                <w:t>Webb C Clark</w:t>
              </w:r>
            </w:hyperlink>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0"/>
        </w:trPr>
        <w:tc>
          <w:tcPr>
            <w:tcW w:w="80" w:type="dxa"/>
            <w:vAlign w:val="bottom"/>
          </w:tcPr>
          <w:p>
            <w:pPr>
              <w:spacing w:after="0"/>
              <w:rPr>
                <w:sz w:val="24"/>
                <w:szCs w:val="24"/>
                <w:color w:val="auto"/>
              </w:rPr>
            </w:pPr>
          </w:p>
        </w:tc>
        <w:tc>
          <w:tcPr>
            <w:tcW w:w="136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color w:val="0000FF"/>
              </w:rPr>
              <w:t>4514 COLE AVENUE, SUITE 1600</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Arial" w:cs="Arial" w:eastAsia="Arial" w:hAnsi="Arial"/>
                <w:sz w:val="16"/>
                <w:szCs w:val="16"/>
                <w:color w:val="0000FF"/>
              </w:rPr>
              <w:t>DALLAS</w:t>
            </w:r>
          </w:p>
        </w:tc>
        <w:tc>
          <w:tcPr>
            <w:tcW w:w="1260" w:type="dxa"/>
            <w:vAlign w:val="bottom"/>
          </w:tcPr>
          <w:p>
            <w:pPr>
              <w:ind w:left="60"/>
              <w:spacing w:after="0"/>
              <w:rPr>
                <w:sz w:val="20"/>
                <w:szCs w:val="20"/>
                <w:color w:val="auto"/>
              </w:rPr>
            </w:pPr>
            <w:r>
              <w:rPr>
                <w:rFonts w:ascii="Arial" w:cs="Arial" w:eastAsia="Arial" w:hAnsi="Arial"/>
                <w:sz w:val="16"/>
                <w:szCs w:val="16"/>
                <w:color w:val="0000FF"/>
              </w:rPr>
              <w:t>TX</w:t>
            </w:r>
          </w:p>
        </w:tc>
        <w:tc>
          <w:tcPr>
            <w:tcW w:w="1560" w:type="dxa"/>
            <w:vAlign w:val="bottom"/>
          </w:tcPr>
          <w:p>
            <w:pPr>
              <w:ind w:left="20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36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hanging="1"/>
        <w:spacing w:after="0" w:line="250" w:lineRule="auto"/>
        <w:tabs>
          <w:tab w:leader="none" w:pos="14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being filed by 210/P10 Acquisition Partners, LLC ("210/P10"), in its capacity as direct holder of shares of Class B Common Stock, 210 Capital, LLC ("210 Capital"), in its capacity as sole member of 210/P10, Covenant RHA Partners, L.P. ("RHA Partners"), in its capacity as member of 210 Capital, CCW/LAW Holdings, LLC ("CCW Holdings"), in its capacity as member of 210 Capital, Mr. Webb, in his capacity as sole member of CCW Holdings, RHA Investments, Inc. ("RHA Investments"), in its capacity as general partner of RHA Partners, and Mr. Alpert, in his capacity as President and sole shareholder of RHA Investments (collectively, the "Reporting Persons").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24" w:lineRule="exact"/>
        <w:rPr>
          <w:rFonts w:ascii="Arial" w:cs="Arial" w:eastAsia="Arial" w:hAnsi="Arial"/>
          <w:sz w:val="12"/>
          <w:szCs w:val="12"/>
          <w:color w:val="008000"/>
        </w:rPr>
      </w:pPr>
    </w:p>
    <w:p>
      <w:pPr>
        <w:ind w:left="20" w:right="260" w:hanging="1"/>
        <w:spacing w:after="0" w:line="239"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9" w:lineRule="exact"/>
        <w:rPr>
          <w:rFonts w:ascii="Arial" w:cs="Arial" w:eastAsia="Arial" w:hAnsi="Arial"/>
          <w:sz w:val="13"/>
          <w:szCs w:val="13"/>
          <w:color w:val="008000"/>
        </w:rPr>
      </w:pPr>
    </w:p>
    <w:p>
      <w:pPr>
        <w:ind w:left="20" w:right="40" w:hanging="1"/>
        <w:spacing w:after="0" w:line="229"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18, 2021, each Reporting Person directed the sale of shares of Class B Common Stock, as reported herein, resulting in the automatic conversion of the shares into Class A Common Stock upon execution of the sale.</w:t>
      </w:r>
    </w:p>
    <w:p>
      <w:pPr>
        <w:spacing w:after="0" w:line="30" w:lineRule="exact"/>
        <w:rPr>
          <w:rFonts w:ascii="Arial" w:cs="Arial" w:eastAsia="Arial" w:hAnsi="Arial"/>
          <w:sz w:val="13"/>
          <w:szCs w:val="13"/>
          <w:color w:val="008000"/>
        </w:rPr>
      </w:pPr>
    </w:p>
    <w:p>
      <w:pPr>
        <w:ind w:left="20" w:right="20" w:hanging="1"/>
        <w:spacing w:after="0" w:line="239"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210/P10. By virtue of their relationship with 210/P10 described in Footnote 1, each of 210 Capital, RHA Partners, CCW/Law Holdings, RHA Investments, Mr. Webb and Mr. Alpert may be deemed to beneficially own the securities of the Issuer owned directly by 210/P10.</w:t>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034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spacing w:after="0" w:line="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11/22/2021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870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765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spacing w:after="0" w:line="5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600" w:hanging="1"/>
        <w:spacing w:after="0" w:line="325"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4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274195" TargetMode="External"/><Relationship Id="rId15" Type="http://schemas.openxmlformats.org/officeDocument/2006/relationships/hyperlink" Target="http://www.sec.gov/cgi-bin/browse-edgar?action=getcompany&amp;CIK=0001694778" TargetMode="External"/><Relationship Id="rId18" Type="http://schemas.openxmlformats.org/officeDocument/2006/relationships/hyperlink" Target="http://www.sec.gov/cgi-bin/browse-edgar?action=getcompany&amp;CIK=0001694781" TargetMode="External"/><Relationship Id="rId19" Type="http://schemas.openxmlformats.org/officeDocument/2006/relationships/hyperlink" Target="http://www.sec.gov/cgi-bin/browse-edgar?action=getcompany&amp;CIK=0001694574" TargetMode="External"/><Relationship Id="rId20" Type="http://schemas.openxmlformats.org/officeDocument/2006/relationships/hyperlink" Target="http://www.sec.gov/cgi-bin/browse-edgar?action=getcompany&amp;CIK=00016945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2021-11-22T18:12:37Z</dcterms:created>
  <dcterms:modified xsi:type="dcterms:W3CDTF">2021-11-22T18:12:37Z</dcterms:modified>
</cp:coreProperties>
</file>