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Jensen Richard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420" w:type="dxa"/>
            <w:vAlign w:val="bottom"/>
          </w:tcPr>
          <w:p>
            <w:pPr>
              <w:ind w:left="16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03/27/2024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EVP, Head of Strategy and M&amp;A</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03/27/2024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55,000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55,000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weighted average price of the aggregate number of shares purchased in multiple open market transactions. The shares were purchased at prices between $8.11 to $8.41, inclusive. The reporting person undertakes to provide to P10, Inc., any security holder of P10, Inc. or the staff of the Securities and Exchange Commission, upon request, full information regarding the number of shares purchased at each separate price.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Richard</w:t>
        <w:tab/>
        <w:t>03/28/2024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Jensen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28252"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2024-03-28T17:25:58Z</dcterms:created>
  <dcterms:modified xsi:type="dcterms:W3CDTF">2024-03-28T17:25:58Z</dcterms:modified>
</cp:coreProperties>
</file>