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9"/>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7"/>
          </w:tcPr>
          <w:p>
            <w:pPr>
              <w:ind w:left="160"/>
              <w:spacing w:after="0"/>
              <w:rPr>
                <w:sz w:val="20"/>
                <w:szCs w:val="20"/>
                <w:color w:val="auto"/>
              </w:rPr>
            </w:pPr>
            <w:r>
              <w:rPr>
                <w:rFonts w:ascii="Arial" w:cs="Arial" w:eastAsia="Arial" w:hAnsi="Arial"/>
                <w:sz w:val="18"/>
                <w:szCs w:val="18"/>
                <w:color w:val="0000FF"/>
              </w:rPr>
              <w:t>11/23/2011</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gridSpan w:val="10"/>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tcPr>
          <w:p>
            <w:pPr>
              <w:ind w:left="80"/>
              <w:spacing w:after="0" w:line="121" w:lineRule="exact"/>
              <w:rPr>
                <w:sz w:val="20"/>
                <w:szCs w:val="20"/>
                <w:color w:val="auto"/>
              </w:rPr>
            </w:pPr>
            <w:r>
              <w:rPr>
                <w:rFonts w:ascii="Arial" w:cs="Arial" w:eastAsia="Arial" w:hAnsi="Arial"/>
                <w:sz w:val="14"/>
                <w:szCs w:val="14"/>
                <w:color w:val="auto"/>
              </w:rPr>
              <w:t>Line)</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40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7"/>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00"/>
              <w:spacing w:after="0"/>
              <w:rPr>
                <w:sz w:val="20"/>
                <w:szCs w:val="20"/>
                <w:color w:val="auto"/>
              </w:rPr>
            </w:pPr>
            <w:r>
              <w:rPr>
                <w:rFonts w:ascii="Arial" w:cs="Arial" w:eastAsia="Arial" w:hAnsi="Arial"/>
                <w:sz w:val="18"/>
                <w:szCs w:val="18"/>
                <w:color w:val="0000FF"/>
              </w:rPr>
              <w:t>11/23/2011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6"/>
              </w:rPr>
              <w:t>279,809</w:t>
            </w:r>
          </w:p>
        </w:tc>
        <w:tc>
          <w:tcPr>
            <w:tcW w:w="2600" w:type="dxa"/>
            <w:vAlign w:val="bottom"/>
            <w:tcBorders>
              <w:bottom w:val="single" w:sz="8" w:color="2C2C2C"/>
            </w:tcBorders>
            <w:gridSpan w:val="7"/>
          </w:tcPr>
          <w:p>
            <w:pPr>
              <w:ind w:left="32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0.6595   8,409,916</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gridSpan w:val="17"/>
          </w:tcPr>
          <w:p>
            <w:pPr>
              <w:jc w:val="center"/>
              <w:ind w:left="15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KINDERHOOK GP LLC</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ONE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SUITE 160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spacing w:after="0" w:line="224" w:lineRule="exact"/>
              <w:rPr>
                <w:rFonts w:ascii="Arial" w:cs="Arial" w:eastAsia="Arial" w:hAnsi="Arial"/>
                <w:sz w:val="22"/>
                <w:szCs w:val="22"/>
                <w:color w:val="0000EE"/>
                <w:w w:val="96"/>
              </w:rPr>
            </w:pPr>
            <w:hyperlink r:id="rId15">
              <w:r>
                <w:rPr>
                  <w:rFonts w:ascii="Arial" w:cs="Arial" w:eastAsia="Arial" w:hAnsi="Arial"/>
                  <w:sz w:val="22"/>
                  <w:szCs w:val="22"/>
                  <w:color w:val="0000EE"/>
                  <w:w w:val="96"/>
                </w:rPr>
                <w:t>Shah Tushar</w:t>
              </w:r>
            </w:hyperlink>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ONE EXECUTIVE DRIVE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SUITE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CLEARMAN STEPHEN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ONE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160</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November 22, 2011, Kinderhook Partners, purchased 155,775 shares of common stock on the open market at $0.7061 per hare, which raised Kinderhook Partners' ownership as of such date to a total of 8,130,107 shares of common stock of Active Power Inc., for which a Form 3 was filed as of the date hereof. The purchase made on November 22, 2011 raised Kinderhook Partners, LP's ownership in Active Power Inc. above the 10% threshold for the first time.</w:t>
      </w:r>
    </w:p>
    <w:p>
      <w:pPr>
        <w:spacing w:after="0" w:line="30"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Tushar Shah and Mr. Stephen J. Clearman are the co-managing members of the Kinderhook GP, LLC (the "General Partner") responsible for making investment decisions with respect to the Partnership and, as a result, Mr. Shah and Mr. Clearman may be deemed to control such entities. Accordingly, Mr. Shah and Mr. Clearman may be deemed to have a beneficial interest in the shares of Common Stock by virtue of their indirect control of the Partnership's, the General Partner's and Kinderhook Capital's power to vote and/or dispose of the shares of Common Stock. Mr. Shah and Mr. Clearman disclaim beneficial ownership of the shares of Common Stock except to the extent of their respective pecuniary interest, if any, therein.</w:t>
      </w:r>
    </w:p>
    <w:p>
      <w:pPr>
        <w:spacing w:after="0" w:line="15"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4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11/28/2011</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Kinderhook Partners, L.P.</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11/28/2011</w:t>
            </w:r>
          </w:p>
        </w:tc>
      </w:tr>
      <w:tr>
        <w:trPr>
          <w:trHeight w:val="196"/>
        </w:trPr>
        <w:tc>
          <w:tcPr>
            <w:tcW w:w="1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Kinderhook GP, LLC</w:t>
            </w: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0000FF"/>
                <w:w w:val="84"/>
              </w:rPr>
              <w:t>/s/ Tushar Shah</w:t>
            </w:r>
          </w:p>
        </w:tc>
        <w:tc>
          <w:tcPr>
            <w:tcW w:w="1020" w:type="dxa"/>
            <w:vAlign w:val="bottom"/>
            <w:gridSpan w:val="5"/>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11/28/2011</w:t>
            </w:r>
          </w:p>
        </w:tc>
      </w:tr>
      <w:tr>
        <w:trPr>
          <w:trHeight w:val="20"/>
        </w:trPr>
        <w:tc>
          <w:tcPr>
            <w:tcW w:w="11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6"/>
          </w:tcPr>
          <w:p>
            <w:pPr>
              <w:spacing w:after="0"/>
              <w:rPr>
                <w:sz w:val="20"/>
                <w:szCs w:val="20"/>
                <w:color w:val="auto"/>
              </w:rPr>
            </w:pPr>
            <w:r>
              <w:rPr>
                <w:rFonts w:ascii="Arial" w:cs="Arial" w:eastAsia="Arial" w:hAnsi="Arial"/>
                <w:sz w:val="18"/>
                <w:szCs w:val="18"/>
                <w:color w:val="0000FF"/>
              </w:rPr>
              <w:t>/s/ Stephen J. Clearman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11/28/2011</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220338"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266402" TargetMode="External"/><Relationship Id="rId15" Type="http://schemas.openxmlformats.org/officeDocument/2006/relationships/hyperlink" Target="http://www.sec.gov/cgi-bin/browse-edgar?action=getcompany&amp;CIK=0001487632" TargetMode="External"/><Relationship Id="rId17"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2019-12-17T06:48:46Z</dcterms:created>
  <dcterms:modified xsi:type="dcterms:W3CDTF">2019-12-17T06:48:46Z</dcterms:modified>
</cp:coreProperties>
</file>