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420" w:right="187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September 30, 2000</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TRANSITION REPORT PURSUANT TO SECTION 13 OR 15(d) OF THE SECURITIES EXCHANGE ACT OF 1934</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 to ________________________</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________________________________________________________</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148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74-2961657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420" w:right="2519" w:hanging="104"/>
        <w:spacing w:after="0"/>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(I.R.S. Employer incorporation or organization) Identification No.)</w:t>
      </w:r>
    </w:p>
    <w:p>
      <w:pPr>
        <w:spacing w:after="0" w:line="398"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11525 Stonehollow Dr., Suite 110, Austin, Texas</w:t>
      </w:r>
      <w:r>
        <w:rPr>
          <w:sz w:val="20"/>
          <w:szCs w:val="20"/>
          <w:color w:val="auto"/>
        </w:rPr>
        <w:tab/>
      </w:r>
      <w:r>
        <w:rPr>
          <w:rFonts w:ascii="Courier New" w:cs="Courier New" w:eastAsia="Courier New" w:hAnsi="Courier New"/>
          <w:sz w:val="16"/>
          <w:szCs w:val="16"/>
          <w:color w:val="auto"/>
        </w:rPr>
        <w:t>78758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4020" w:hanging="641"/>
        <w:spacing w:after="0"/>
        <w:tabs>
          <w:tab w:leader="none" w:pos="4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836-6464</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 if changed since last</w:t>
      </w:r>
    </w:p>
    <w:p>
      <w:pPr>
        <w:jc w:val="center"/>
        <w:ind w:right="1879"/>
        <w:spacing w:after="0"/>
        <w:rPr>
          <w:sz w:val="20"/>
          <w:szCs w:val="20"/>
          <w:color w:val="auto"/>
        </w:rPr>
      </w:pPr>
      <w:r>
        <w:rPr>
          <w:rFonts w:ascii="Courier New" w:cs="Courier New" w:eastAsia="Courier New" w:hAnsi="Courier New"/>
          <w:sz w:val="18"/>
          <w:szCs w:val="18"/>
          <w:color w:val="auto"/>
        </w:rPr>
        <w:t>report)</w:t>
      </w:r>
    </w:p>
    <w:p>
      <w:pPr>
        <w:spacing w:after="0" w:line="206" w:lineRule="exact"/>
        <w:rPr>
          <w:sz w:val="24"/>
          <w:szCs w:val="24"/>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[X] Yes [_] No</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Indicate the number of shares outstanding of each of the issuer's classes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common stock, as of the latest practicable date.</w:t>
      </w:r>
    </w:p>
    <w:p>
      <w:pPr>
        <w:spacing w:after="0" w:line="5" w:lineRule="exact"/>
        <w:rPr>
          <w:sz w:val="24"/>
          <w:szCs w:val="24"/>
          <w:color w:val="auto"/>
        </w:rPr>
      </w:pPr>
    </w:p>
    <w:p>
      <w:pPr>
        <w:jc w:val="center"/>
        <w:ind w:right="1659"/>
        <w:spacing w:after="0" w:line="235" w:lineRule="auto"/>
        <w:rPr>
          <w:sz w:val="20"/>
          <w:szCs w:val="20"/>
          <w:color w:val="auto"/>
        </w:rPr>
      </w:pPr>
      <w:r>
        <w:rPr>
          <w:rFonts w:ascii="Courier New" w:cs="Courier New" w:eastAsia="Courier New" w:hAnsi="Courier New"/>
          <w:sz w:val="18"/>
          <w:szCs w:val="18"/>
          <w:color w:val="auto"/>
        </w:rPr>
        <w:t>The number of shares of common stock as of October 31, 2000 was 38,808,844 with a par value of $.001 per share.</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ectPr>
          <w:pgSz w:w="11900" w:h="16838" w:orient="portrait"/>
          <w:cols w:equalWidth="0" w:num="1">
            <w:col w:w="10219"/>
          </w:cols>
          <w:pgMar w:left="240" w:top="649" w:right="1440" w:bottom="144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ACTIVE POWER, INC.</w:t>
      </w:r>
    </w:p>
    <w:p>
      <w:pPr>
        <w:ind w:left="3900"/>
        <w:spacing w:after="0" w:line="238" w:lineRule="auto"/>
        <w:rPr>
          <w:sz w:val="20"/>
          <w:szCs w:val="20"/>
          <w:color w:val="auto"/>
        </w:rPr>
      </w:pPr>
      <w:r>
        <w:rPr>
          <w:rFonts w:ascii="Courier New" w:cs="Courier New" w:eastAsia="Courier New" w:hAnsi="Courier New"/>
          <w:sz w:val="18"/>
          <w:szCs w:val="18"/>
          <w:color w:val="auto"/>
        </w:rPr>
        <w:t>INDEX</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Balance Sheet as of September 30, 2000 (unaudited) and</w:t>
      </w:r>
    </w:p>
    <w:p>
      <w:pPr>
        <w:jc w:val="right"/>
        <w:ind w:right="2319"/>
        <w:spacing w:after="0"/>
        <w:tabs>
          <w:tab w:leader="dot" w:pos="80" w:val="left"/>
        </w:tabs>
        <w:rPr>
          <w:sz w:val="20"/>
          <w:szCs w:val="20"/>
          <w:color w:val="auto"/>
        </w:rPr>
      </w:pPr>
      <w:r>
        <w:rPr>
          <w:rFonts w:ascii="Courier New" w:cs="Courier New" w:eastAsia="Courier New" w:hAnsi="Courier New"/>
          <w:sz w:val="18"/>
          <w:szCs w:val="18"/>
          <w:color w:val="auto"/>
        </w:rPr>
        <w:t>December 31, 1999</w:t>
      </w:r>
      <w:r>
        <w:rPr>
          <w:sz w:val="20"/>
          <w:szCs w:val="20"/>
          <w:color w:val="auto"/>
        </w:rPr>
        <w:tab/>
      </w:r>
      <w:r>
        <w:rPr>
          <w:rFonts w:ascii="Courier New" w:cs="Courier New" w:eastAsia="Courier New" w:hAnsi="Courier New"/>
          <w:sz w:val="16"/>
          <w:szCs w:val="16"/>
          <w:color w:val="auto"/>
        </w:rPr>
        <w:t>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Statements of Operations for the Three Months Ended</w:t>
      </w:r>
    </w:p>
    <w:p>
      <w:pPr>
        <w:ind w:left="1060"/>
        <w:spacing w:after="0" w:line="238" w:lineRule="auto"/>
        <w:rPr>
          <w:sz w:val="20"/>
          <w:szCs w:val="20"/>
          <w:color w:val="auto"/>
        </w:rPr>
      </w:pPr>
      <w:r>
        <w:rPr>
          <w:rFonts w:ascii="Courier New" w:cs="Courier New" w:eastAsia="Courier New" w:hAnsi="Courier New"/>
          <w:sz w:val="18"/>
          <w:szCs w:val="18"/>
          <w:color w:val="auto"/>
        </w:rPr>
        <w:t>September 30, 2000 and September 30, 1999 and for the</w:t>
      </w:r>
    </w:p>
    <w:p>
      <w:pPr>
        <w:ind w:left="1060"/>
        <w:spacing w:after="0"/>
        <w:rPr>
          <w:sz w:val="20"/>
          <w:szCs w:val="20"/>
          <w:color w:val="auto"/>
        </w:rPr>
      </w:pPr>
      <w:r>
        <w:rPr>
          <w:rFonts w:ascii="Courier New" w:cs="Courier New" w:eastAsia="Courier New" w:hAnsi="Courier New"/>
          <w:sz w:val="18"/>
          <w:szCs w:val="18"/>
          <w:color w:val="auto"/>
        </w:rPr>
        <w:t>Nine Months Ended September 30, 2000 and September 30,</w:t>
      </w:r>
    </w:p>
    <w:p>
      <w:pPr>
        <w:jc w:val="right"/>
        <w:ind w:right="2319"/>
        <w:spacing w:after="0"/>
        <w:tabs>
          <w:tab w:leader="dot" w:pos="80" w:val="left"/>
        </w:tabs>
        <w:rPr>
          <w:sz w:val="20"/>
          <w:szCs w:val="20"/>
          <w:color w:val="auto"/>
        </w:rPr>
      </w:pPr>
      <w:r>
        <w:rPr>
          <w:rFonts w:ascii="Courier New" w:cs="Courier New" w:eastAsia="Courier New" w:hAnsi="Courier New"/>
          <w:sz w:val="18"/>
          <w:szCs w:val="18"/>
          <w:color w:val="auto"/>
        </w:rPr>
        <w:t>1999 (unaudited)</w:t>
      </w:r>
      <w:r>
        <w:rPr>
          <w:sz w:val="20"/>
          <w:szCs w:val="20"/>
          <w:color w:val="auto"/>
        </w:rPr>
        <w:tab/>
      </w:r>
      <w:r>
        <w:rPr>
          <w:rFonts w:ascii="Courier New" w:cs="Courier New" w:eastAsia="Courier New" w:hAnsi="Courier New"/>
          <w:sz w:val="16"/>
          <w:szCs w:val="16"/>
          <w:color w:val="auto"/>
        </w:rPr>
        <w:t>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Statement of Cash Flows for the Nine Months Ended</w:t>
      </w:r>
    </w:p>
    <w:p>
      <w:pPr>
        <w:jc w:val="right"/>
        <w:ind w:right="2319"/>
        <w:spacing w:after="0"/>
        <w:tabs>
          <w:tab w:leader="dot" w:pos="80" w:val="left"/>
        </w:tabs>
        <w:rPr>
          <w:sz w:val="20"/>
          <w:szCs w:val="20"/>
          <w:color w:val="auto"/>
        </w:rPr>
      </w:pPr>
      <w:r>
        <w:rPr>
          <w:rFonts w:ascii="Courier New" w:cs="Courier New" w:eastAsia="Courier New" w:hAnsi="Courier New"/>
          <w:sz w:val="18"/>
          <w:szCs w:val="18"/>
          <w:color w:val="auto"/>
        </w:rPr>
        <w:t>September 30, 2000 and September 30, 1999 (unaudited)</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jc w:val="right"/>
        <w:ind w:right="2319"/>
        <w:spacing w:after="0"/>
        <w:tabs>
          <w:tab w:leader="dot" w:pos="80" w:val="left"/>
        </w:tabs>
        <w:rPr>
          <w:sz w:val="20"/>
          <w:szCs w:val="20"/>
          <w:color w:val="auto"/>
        </w:rPr>
      </w:pPr>
      <w:r>
        <w:rPr>
          <w:rFonts w:ascii="Courier New" w:cs="Courier New" w:eastAsia="Courier New" w:hAnsi="Courier New"/>
          <w:sz w:val="18"/>
          <w:szCs w:val="18"/>
          <w:color w:val="auto"/>
        </w:rPr>
        <w:t>Notes to Financial Statements</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Item 2. Management's Discussion and Analysis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Liquidity and Capital Resources</w:t>
      </w:r>
      <w:r>
        <w:rPr>
          <w:sz w:val="20"/>
          <w:szCs w:val="20"/>
          <w:color w:val="auto"/>
        </w:rPr>
        <w:tab/>
      </w:r>
      <w:r>
        <w:rPr>
          <w:rFonts w:ascii="Courier New" w:cs="Courier New" w:eastAsia="Courier New" w:hAnsi="Courier New"/>
          <w:sz w:val="16"/>
          <w:szCs w:val="16"/>
          <w:color w:val="auto"/>
        </w:rPr>
        <w:t>11</w:t>
      </w:r>
    </w:p>
    <w:p>
      <w:pPr>
        <w:spacing w:after="0" w:line="201" w:lineRule="exact"/>
        <w:rPr>
          <w:sz w:val="20"/>
          <w:szCs w:val="20"/>
          <w:color w:val="auto"/>
        </w:rPr>
      </w:pPr>
    </w:p>
    <w:p>
      <w:pPr>
        <w:jc w:val="right"/>
        <w:ind w:right="2319"/>
        <w:spacing w:after="0"/>
        <w:tabs>
          <w:tab w:leader="none" w:pos="180" w:val="left"/>
        </w:tabs>
        <w:rPr>
          <w:sz w:val="20"/>
          <w:szCs w:val="20"/>
          <w:color w:val="auto"/>
        </w:rPr>
      </w:pPr>
      <w:r>
        <w:rPr>
          <w:rFonts w:ascii="Courier New" w:cs="Courier New" w:eastAsia="Courier New" w:hAnsi="Courier New"/>
          <w:sz w:val="18"/>
          <w:szCs w:val="18"/>
          <w:color w:val="auto"/>
        </w:rPr>
        <w:t>Qualitative and Quantitative Disclosures about Market Risk ..</w:t>
      </w:r>
      <w:r>
        <w:rPr>
          <w:sz w:val="20"/>
          <w:szCs w:val="20"/>
          <w:color w:val="auto"/>
        </w:rPr>
        <w:tab/>
      </w:r>
      <w:r>
        <w:rPr>
          <w:rFonts w:ascii="Courier New" w:cs="Courier New" w:eastAsia="Courier New" w:hAnsi="Courier New"/>
          <w:sz w:val="16"/>
          <w:szCs w:val="16"/>
          <w:color w:val="auto"/>
        </w:rPr>
        <w:t>12</w:t>
      </w:r>
    </w:p>
    <w:p>
      <w:pPr>
        <w:spacing w:after="0" w:line="201" w:lineRule="exact"/>
        <w:rPr>
          <w:sz w:val="20"/>
          <w:szCs w:val="20"/>
          <w:color w:val="auto"/>
        </w:rPr>
      </w:pP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 and Use of Proceeds.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38" w:lineRule="auto"/>
        <w:rPr>
          <w:sz w:val="20"/>
          <w:szCs w:val="20"/>
          <w:color w:val="auto"/>
        </w:rPr>
      </w:pPr>
      <w:r>
        <w:rPr>
          <w:rFonts w:ascii="Courier New" w:cs="Courier New" w:eastAsia="Courier New" w:hAnsi="Courier New"/>
          <w:sz w:val="18"/>
          <w:szCs w:val="18"/>
          <w:color w:val="auto"/>
        </w:rPr>
        <w:t>Item 1. Financial Statements</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ACTIVE POWER, INC.</w:t>
      </w:r>
    </w:p>
    <w:p>
      <w:pPr>
        <w:ind w:left="3380"/>
        <w:spacing w:after="0" w:line="238" w:lineRule="auto"/>
        <w:rPr>
          <w:sz w:val="20"/>
          <w:szCs w:val="20"/>
          <w:color w:val="auto"/>
        </w:rPr>
      </w:pPr>
      <w:r>
        <w:rPr>
          <w:rFonts w:ascii="Courier New" w:cs="Courier New" w:eastAsia="Courier New" w:hAnsi="Courier New"/>
          <w:sz w:val="18"/>
          <w:szCs w:val="18"/>
          <w:color w:val="auto"/>
        </w:rPr>
        <w:t>BALANCE SHEETS</w:t>
      </w:r>
    </w:p>
    <w:p>
      <w:pPr>
        <w:ind w:left="33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September 30,</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14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$134,732</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$ 24,856</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12,015</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1,409</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918</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net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2,016</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934</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1,031</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150,712</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27,242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5,006</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3,934</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1,124</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Total assets</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$159,652</w:t>
            </w:r>
          </w:p>
        </w:tc>
        <w:tc>
          <w:tcPr>
            <w:tcW w:w="1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$ 28,366</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1,643</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828</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notes payable</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2,471</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848</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Non-current Liabilities:</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Warrants with redemption rights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3,614</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Redeemable convertible preferred stock</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54,235</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Stockholders' (deficit) equity</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1992 preferred stock</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stock compensation</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(9,191)</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(5,430)</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212,815</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(46,480)</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(25,720)</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120"/>
              <w:spacing w:after="0"/>
              <w:rPr>
                <w:sz w:val="20"/>
                <w:szCs w:val="20"/>
                <w:color w:val="auto"/>
              </w:rPr>
            </w:pPr>
            <w:r>
              <w:rPr>
                <w:rFonts w:ascii="Courier New" w:cs="Courier New" w:eastAsia="Courier New" w:hAnsi="Courier New"/>
                <w:sz w:val="18"/>
                <w:szCs w:val="18"/>
                <w:color w:val="auto"/>
              </w:rPr>
              <w:t>Stockholders' (deficit) equity</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157,181</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(30,338)</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$159,652</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$ 28,366</w:t>
            </w:r>
          </w:p>
        </w:tc>
      </w:tr>
      <w:tr>
        <w:trPr>
          <w:trHeight w:val="203"/>
        </w:trPr>
        <w:tc>
          <w:tcPr>
            <w:tcW w:w="4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717"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ACTIVE POWER, INC.</w:t>
      </w:r>
    </w:p>
    <w:p>
      <w:pPr>
        <w:ind w:left="2960"/>
        <w:spacing w:after="0" w:line="238" w:lineRule="auto"/>
        <w:rPr>
          <w:sz w:val="20"/>
          <w:szCs w:val="20"/>
          <w:color w:val="auto"/>
        </w:rPr>
      </w:pPr>
      <w:r>
        <w:rPr>
          <w:rFonts w:ascii="Courier New" w:cs="Courier New" w:eastAsia="Courier New" w:hAnsi="Courier New"/>
          <w:sz w:val="18"/>
          <w:szCs w:val="18"/>
          <w:color w:val="auto"/>
        </w:rPr>
        <w:t>STATEMENT OF OPERATIONS</w:t>
      </w:r>
    </w:p>
    <w:tbl>
      <w:tblPr>
        <w:tblLayout w:type="fixed"/>
        <w:tblInd w:w="0" w:type="dxa"/>
        <w:tblCellMar>
          <w:top w:w="0" w:type="dxa"/>
          <w:left w:w="0" w:type="dxa"/>
          <w:bottom w:w="0" w:type="dxa"/>
          <w:right w:w="0" w:type="dxa"/>
        </w:tblCellMar>
      </w:tblPr>
      <w:tr>
        <w:trPr>
          <w:trHeight w:val="203"/>
        </w:trPr>
        <w:tc>
          <w:tcPr>
            <w:tcW w:w="7180" w:type="dxa"/>
            <w:vAlign w:val="bottom"/>
            <w:gridSpan w:val="5"/>
          </w:tcPr>
          <w:p>
            <w:pPr>
              <w:jc w:val="right"/>
              <w:ind w:right="452"/>
              <w:spacing w:after="0"/>
              <w:rPr>
                <w:sz w:val="20"/>
                <w:szCs w:val="20"/>
                <w:color w:val="auto"/>
              </w:rPr>
            </w:pPr>
            <w:r>
              <w:rPr>
                <w:rFonts w:ascii="Courier New" w:cs="Courier New" w:eastAsia="Courier New" w:hAnsi="Courier New"/>
                <w:sz w:val="18"/>
                <w:szCs w:val="18"/>
                <w:color w:val="auto"/>
              </w:rPr>
              <w:t>(in thousands, except shares and per share data)</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Nine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Months Ended</w:t>
            </w:r>
          </w:p>
        </w:tc>
        <w:tc>
          <w:tcPr>
            <w:tcW w:w="200" w:type="dxa"/>
            <w:vAlign w:val="bottom"/>
          </w:tcPr>
          <w:p>
            <w:pPr>
              <w:spacing w:after="0"/>
              <w:rPr>
                <w:sz w:val="17"/>
                <w:szCs w:val="17"/>
                <w:color w:val="auto"/>
              </w:rPr>
            </w:pP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Months Ended</w:t>
            </w:r>
          </w:p>
        </w:tc>
        <w:tc>
          <w:tcPr>
            <w:tcW w:w="7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September 30,</w:t>
            </w:r>
          </w:p>
        </w:tc>
        <w:tc>
          <w:tcPr>
            <w:tcW w:w="20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7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c>
          <w:tcPr>
            <w:tcW w:w="12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120" w:type="dxa"/>
            <w:vAlign w:val="bottom"/>
          </w:tcPr>
          <w:p>
            <w:pPr>
              <w:spacing w:after="0"/>
              <w:rPr>
                <w:sz w:val="17"/>
                <w:szCs w:val="17"/>
                <w:color w:val="auto"/>
              </w:rPr>
            </w:pPr>
          </w:p>
        </w:tc>
        <w:tc>
          <w:tcPr>
            <w:tcW w:w="30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7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Product revenue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1,343</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103</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2,204</w:t>
            </w:r>
          </w:p>
        </w:tc>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2,085</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682</w:t>
            </w: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3,782</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2,042</w:t>
            </w:r>
          </w:p>
        </w:tc>
      </w:tr>
      <w:tr>
        <w:trPr>
          <w:trHeight w:val="203"/>
        </w:trPr>
        <w:tc>
          <w:tcPr>
            <w:tcW w:w="41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margin</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(579)</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(1,578)</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(1,465)</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Development funding</w:t>
            </w:r>
          </w:p>
        </w:tc>
        <w:tc>
          <w:tcPr>
            <w:tcW w:w="4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c>
          <w:tcPr>
            <w:tcW w:w="2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3,060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1,091</w:t>
            </w: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6,718</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3,165</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1,578</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623</w:t>
            </w: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4,138</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1,672</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 deferred stock</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1,881</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971</w:t>
            </w: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5,021</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1,036</w:t>
            </w:r>
          </w:p>
        </w:tc>
      </w:tr>
      <w:tr>
        <w:trPr>
          <w:trHeight w:val="203"/>
        </w:trPr>
        <w:tc>
          <w:tcPr>
            <w:tcW w:w="41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6,519</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2,685</w:t>
            </w: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15,877</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5,873</w:t>
            </w:r>
          </w:p>
        </w:tc>
      </w:tr>
      <w:tr>
        <w:trPr>
          <w:trHeight w:val="203"/>
        </w:trPr>
        <w:tc>
          <w:tcPr>
            <w:tcW w:w="41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Operating loss</w:t>
            </w:r>
          </w:p>
        </w:tc>
        <w:tc>
          <w:tcPr>
            <w:tcW w:w="4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(7,261)</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(1,264)</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(17,455)</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(2,338)</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1,548</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w:t>
            </w:r>
          </w:p>
        </w:tc>
        <w:tc>
          <w:tcPr>
            <w:tcW w:w="2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2,243</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fair value of warrants</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(1,042)</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(1,562)</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(2,574)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1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other income / (expense)</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1,472</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(971)</w:t>
            </w: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601</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(2,336)</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Loss before income taxes</w:t>
            </w:r>
          </w:p>
        </w:tc>
        <w:tc>
          <w:tcPr>
            <w:tcW w:w="4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(5,789)</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(2,235)</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(16,854)</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(4,674)</w:t>
            </w:r>
          </w:p>
        </w:tc>
      </w:tr>
      <w:tr>
        <w:trPr>
          <w:trHeight w:val="203"/>
        </w:trPr>
        <w:tc>
          <w:tcPr>
            <w:tcW w:w="41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(5,789)</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(2,235)</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(16,854)</w:t>
            </w:r>
          </w:p>
        </w:tc>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(4,674)</w:t>
            </w:r>
          </w:p>
        </w:tc>
      </w:tr>
      <w:tr>
        <w:trPr>
          <w:trHeight w:val="203"/>
        </w:trPr>
        <w:tc>
          <w:tcPr>
            <w:tcW w:w="41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Preferred stock dividends,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accretion, &amp; conversion</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(3,669)</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(1,070)</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(19,079)</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(3,099)</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loss to common shareholders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(9,458)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(3,305)</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(35,933)</w:t>
            </w:r>
          </w:p>
        </w:tc>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(7,773)</w:t>
            </w:r>
          </w:p>
        </w:tc>
      </w:tr>
      <w:tr>
        <w:trPr>
          <w:trHeight w:val="203"/>
        </w:trPr>
        <w:tc>
          <w:tcPr>
            <w:tcW w:w="41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Weighted average common</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27,322,877</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9,948,722</w:t>
            </w: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16,467,498</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9,914,888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to common shareholders</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 basic &amp; diluted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(0.33)</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weighted average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 assuming</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of convertible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to common,</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4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34,535,394</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30,487,988</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loss per share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assuming conversion of</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preferred stock</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$(0.17)</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(0.55)</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717" w:right="1440" w:bottom="144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ACTIVE POWER, INC.</w:t>
      </w:r>
    </w:p>
    <w:p>
      <w:pPr>
        <w:ind w:left="2960"/>
        <w:spacing w:after="0" w:line="238" w:lineRule="auto"/>
        <w:rPr>
          <w:sz w:val="20"/>
          <w:szCs w:val="20"/>
          <w:color w:val="auto"/>
        </w:rPr>
      </w:pPr>
      <w:r>
        <w:rPr>
          <w:rFonts w:ascii="Courier New" w:cs="Courier New" w:eastAsia="Courier New" w:hAnsi="Courier New"/>
          <w:sz w:val="18"/>
          <w:szCs w:val="18"/>
          <w:color w:val="auto"/>
        </w:rPr>
        <w:t>STATEMENT OF CASH FLOWS</w:t>
      </w:r>
    </w:p>
    <w:tbl>
      <w:tblPr>
        <w:tblLayout w:type="fixed"/>
        <w:tblInd w:w="0" w:type="dxa"/>
        <w:tblCellMar>
          <w:top w:w="0" w:type="dxa"/>
          <w:left w:w="0" w:type="dxa"/>
          <w:bottom w:w="0" w:type="dxa"/>
          <w:right w:w="0" w:type="dxa"/>
        </w:tblCellMar>
      </w:tblPr>
      <w:tr>
        <w:trPr>
          <w:trHeight w:val="203"/>
        </w:trPr>
        <w:tc>
          <w:tcPr>
            <w:tcW w:w="5600" w:type="dxa"/>
            <w:vAlign w:val="bottom"/>
          </w:tcPr>
          <w:p>
            <w:pPr>
              <w:ind w:left="3380"/>
              <w:spacing w:after="0"/>
              <w:rPr>
                <w:sz w:val="20"/>
                <w:szCs w:val="20"/>
                <w:color w:val="auto"/>
              </w:rPr>
            </w:pPr>
            <w:r>
              <w:rPr>
                <w:rFonts w:ascii="Courier New" w:cs="Courier New" w:eastAsia="Courier New" w:hAnsi="Courier New"/>
                <w:sz w:val="18"/>
                <w:szCs w:val="18"/>
                <w:color w:val="auto"/>
              </w:rPr>
              <w:t>(in thousands)</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810"/>
        </w:trPr>
        <w:tc>
          <w:tcPr>
            <w:tcW w:w="5600" w:type="dxa"/>
            <w:vAlign w:val="bottom"/>
          </w:tcPr>
          <w:p>
            <w:pPr>
              <w:spacing w:after="0"/>
              <w:rPr>
                <w:sz w:val="24"/>
                <w:szCs w:val="24"/>
                <w:color w:val="auto"/>
              </w:rPr>
            </w:pPr>
          </w:p>
        </w:tc>
        <w:tc>
          <w:tcPr>
            <w:tcW w:w="17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Nine</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Nine</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Months Ended</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Months Ended</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September 30,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$(16,854)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$(4,674)</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 stock compensation</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5,021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1,036</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fair value of put warrant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2,574</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expense</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operating assets and liabilities:</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(836)</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 net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 current liabilities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(10,880)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(1,759)</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maturity (purchase) of investments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(15,612)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3,611</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(19,130)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3,128</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of issuance costs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139,911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 issuance costs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on notes payable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exercise of warrants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139,886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Increase in cash and cash equivalents</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$109,876</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$ 1,245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period</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$ 24,856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$ 2,800</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$134,732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$ 4,045</w:t>
            </w:r>
          </w:p>
        </w:tc>
      </w:tr>
      <w:tr>
        <w:trPr>
          <w:trHeight w:val="203"/>
        </w:trPr>
        <w:tc>
          <w:tcPr>
            <w:tcW w:w="56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717" w:right="1440" w:bottom="1440" w:gutter="0" w:footer="0" w:header="0"/>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ACTIVE POWER, INC.</w:t>
      </w:r>
    </w:p>
    <w:p>
      <w:pPr>
        <w:ind w:left="2640"/>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Active Power, Inc. was founded in 1992 for the purpose of developing and commercializing advances in the field of electromechanics. Since inception, Active Power has devoted its efforts principally to research and development and marketing of flywheel-based power-quality and storage products that provide the consistent, reliable electric power required by today's digital economy.</w:t>
      </w:r>
    </w:p>
    <w:p>
      <w:pPr>
        <w:spacing w:after="0" w:line="185"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In March 2000 we reincorporated as a Delaware corporation and on August 8, 2000, completed the process of becoming a publicly traded company (See Note 5).</w:t>
      </w:r>
    </w:p>
    <w:p>
      <w:pPr>
        <w:spacing w:after="0" w:line="164"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Registration Statement on Form S-1, File No. 333-36946.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Financial Accounting Standards Board recently issued Interpretation No. 44 "Accounting for Certain Transactions Involving Stock Compensation", an interpretation of APB Opinion No. 25. Interpretation No. 44 has an effective date of July 1, 2000. We do not believe Interpretation No. 44 will affect our accounting for transactions involving stock-based compensation.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December 1999, the Staff of the Securities and Exchange Commission released Staff Accounting Bulletin, or SAB, No. 101, entitled "Revenue Recognition in Financial Statements", which provides guidance on the recognition, presentation and disclosure of revenue in financial statements. We believe our current revenue recognition policies and practices are materially consistent with the statement, and do not expect this statement to have a material impact on our financial statements.</w:t>
      </w:r>
    </w:p>
    <w:p>
      <w:pPr>
        <w:spacing w:after="0" w:line="205"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Active Power states inventories at the lower of cost or replacement cost, with cost being determined on a standard cost basis which does not differ materially from actual cost.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before reserves, consist of the following:</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8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September 30,</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5"/>
              </w:rPr>
              <w:t>December 31,</w:t>
            </w:r>
          </w:p>
        </w:tc>
      </w:tr>
      <w:tr>
        <w:trPr>
          <w:trHeight w:val="203"/>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00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$2,120,109</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$1,287,031</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691,929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135,324</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101,559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295,315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Evaluation Units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27,771</w:t>
            </w:r>
          </w:p>
        </w:tc>
      </w:tr>
      <w:tr>
        <w:trPr>
          <w:trHeight w:val="203"/>
        </w:trPr>
        <w:tc>
          <w:tcPr>
            <w:tcW w:w="200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$2,913,597</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$1,745,441</w:t>
            </w:r>
          </w:p>
        </w:tc>
      </w:tr>
      <w:tr>
        <w:trPr>
          <w:trHeight w:val="203"/>
        </w:trPr>
        <w:tc>
          <w:tcPr>
            <w:tcW w:w="200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Structure and Stock Option Plans</w:t>
      </w:r>
    </w:p>
    <w:p>
      <w:pPr>
        <w:spacing w:after="0" w:line="207" w:lineRule="exact"/>
        <w:rPr>
          <w:sz w:val="20"/>
          <w:szCs w:val="20"/>
          <w:color w:val="auto"/>
        </w:rPr>
      </w:pPr>
    </w:p>
    <w:p>
      <w:pPr>
        <w:ind w:right="2120" w:firstLine="421"/>
        <w:spacing w:after="0" w:line="237" w:lineRule="auto"/>
        <w:rPr>
          <w:sz w:val="20"/>
          <w:szCs w:val="20"/>
          <w:color w:val="auto"/>
        </w:rPr>
      </w:pPr>
      <w:r>
        <w:rPr>
          <w:rFonts w:ascii="Courier New" w:cs="Courier New" w:eastAsia="Courier New" w:hAnsi="Courier New"/>
          <w:sz w:val="18"/>
          <w:szCs w:val="18"/>
          <w:color w:val="auto"/>
        </w:rPr>
        <w:t>In August 2000, the Company completed its initial public offering (the "Offering") of 9,200,000 shares of its common stock. Of these shares, the Company sold 8,900,000 shares (including 900,000 shares issued in connection with the exercise of the underwriters' overallotment option), and selling shareholders sold 300,000 shares, at a price of $17.00 per share. The Company received proceeds from the Offering of approximately $140 million in cash (net of underwriting discounts and commissions and estimated offering costs). Upon consummation of the Offering, all outstanding shares of the Company's convertible preferred stock were automatically converted into an aggregate of 17,461,883 shares of Common Stock.</w:t>
      </w:r>
    </w:p>
    <w:p>
      <w:pPr>
        <w:spacing w:after="0" w:line="215" w:lineRule="exact"/>
        <w:rPr>
          <w:sz w:val="20"/>
          <w:szCs w:val="20"/>
          <w:color w:val="auto"/>
        </w:rPr>
      </w:pPr>
    </w:p>
    <w:p>
      <w:pPr>
        <w:ind w:right="2320"/>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net loss per share:</w:t>
      </w:r>
    </w:p>
    <w:p>
      <w:pPr>
        <w:sectPr>
          <w:pgSz w:w="11900" w:h="16838" w:orient="portrait"/>
          <w:cols w:equalWidth="0" w:num="1">
            <w:col w:w="10340"/>
          </w:cols>
          <w:pgMar w:left="240" w:top="71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Three</w:t>
      </w:r>
    </w:p>
    <w:p>
      <w:pPr>
        <w:ind w:left="4960"/>
        <w:spacing w:after="0" w:line="238" w:lineRule="auto"/>
        <w:rPr>
          <w:sz w:val="20"/>
          <w:szCs w:val="20"/>
          <w:color w:val="auto"/>
        </w:rPr>
      </w:pPr>
      <w:r>
        <w:rPr>
          <w:rFonts w:ascii="Courier New" w:cs="Courier New" w:eastAsia="Courier New" w:hAnsi="Courier New"/>
          <w:sz w:val="18"/>
          <w:szCs w:val="18"/>
          <w:color w:val="auto"/>
        </w:rPr>
        <w:t>Months Ended</w:t>
      </w:r>
    </w:p>
    <w:p>
      <w:pPr>
        <w:ind w:left="4960"/>
        <w:spacing w:after="0"/>
        <w:rPr>
          <w:sz w:val="20"/>
          <w:szCs w:val="20"/>
          <w:color w:val="auto"/>
        </w:rPr>
      </w:pPr>
      <w:r>
        <w:rPr>
          <w:rFonts w:ascii="Courier New" w:cs="Courier New" w:eastAsia="Courier New" w:hAnsi="Courier New"/>
          <w:sz w:val="18"/>
          <w:szCs w:val="18"/>
          <w:color w:val="auto"/>
        </w:rPr>
        <w:t>September 30,</w:t>
      </w:r>
    </w:p>
    <w:p>
      <w:pPr>
        <w:ind w:left="4640"/>
        <w:spacing w:after="0" w:line="237" w:lineRule="auto"/>
        <w:tabs>
          <w:tab w:leader="none" w:pos="620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Nine</w:t>
      </w:r>
    </w:p>
    <w:p>
      <w:pPr>
        <w:ind w:left="740"/>
        <w:spacing w:after="0" w:line="238" w:lineRule="auto"/>
        <w:rPr>
          <w:sz w:val="20"/>
          <w:szCs w:val="20"/>
          <w:color w:val="auto"/>
        </w:rPr>
      </w:pPr>
      <w:r>
        <w:rPr>
          <w:rFonts w:ascii="Courier New" w:cs="Courier New" w:eastAsia="Courier New" w:hAnsi="Courier New"/>
          <w:sz w:val="18"/>
          <w:szCs w:val="18"/>
          <w:color w:val="auto"/>
        </w:rPr>
        <w:t>Months Ended</w:t>
      </w:r>
    </w:p>
    <w:p>
      <w:pPr>
        <w:ind w:left="740"/>
        <w:spacing w:after="0"/>
        <w:rPr>
          <w:sz w:val="20"/>
          <w:szCs w:val="20"/>
          <w:color w:val="auto"/>
        </w:rPr>
      </w:pPr>
      <w:r>
        <w:rPr>
          <w:rFonts w:ascii="Courier New" w:cs="Courier New" w:eastAsia="Courier New" w:hAnsi="Courier New"/>
          <w:sz w:val="18"/>
          <w:szCs w:val="18"/>
          <w:color w:val="auto"/>
        </w:rPr>
        <w:t>September 30,</w:t>
      </w:r>
    </w:p>
    <w:p>
      <w:pPr>
        <w:ind w:left="520"/>
        <w:spacing w:after="0" w:line="237" w:lineRule="auto"/>
        <w:tabs>
          <w:tab w:leader="none" w:pos="198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ectPr>
          <w:pgSz w:w="11900" w:h="16838" w:orient="portrait"/>
          <w:cols w:equalWidth="0" w:num="2">
            <w:col w:w="7060" w:space="320"/>
            <w:col w:w="2960"/>
          </w:cols>
          <w:pgMar w:left="240" w:top="717" w:right="13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to Common</w:t>
      </w:r>
    </w:p>
    <w:p>
      <w:pPr>
        <w:sectPr>
          <w:pgSz w:w="11900" w:h="16838" w:orient="portrait"/>
          <w:cols w:equalWidth="0" w:num="1">
            <w:col w:w="10340"/>
          </w:cols>
          <w:pgMar w:left="240" w:top="717" w:right="131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Shareholders (in thousands)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(9,458)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(3,305)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(35,933)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firstLine="211"/>
        <w:spacing w:after="0" w:line="235" w:lineRule="auto"/>
        <w:rPr>
          <w:sz w:val="20"/>
          <w:szCs w:val="20"/>
          <w:color w:val="auto"/>
        </w:rPr>
      </w:pPr>
      <w:r>
        <w:rPr>
          <w:rFonts w:ascii="Courier New" w:cs="Courier New" w:eastAsia="Courier New" w:hAnsi="Courier New"/>
          <w:sz w:val="18"/>
          <w:szCs w:val="18"/>
          <w:color w:val="auto"/>
        </w:rPr>
        <w:t>$ (7,773) =============</w:t>
      </w:r>
    </w:p>
    <w:p>
      <w:pPr>
        <w:spacing w:after="0" w:line="201" w:lineRule="exact"/>
        <w:rPr>
          <w:sz w:val="20"/>
          <w:szCs w:val="20"/>
          <w:color w:val="auto"/>
        </w:rPr>
      </w:pPr>
    </w:p>
    <w:p>
      <w:pPr>
        <w:sectPr>
          <w:pgSz w:w="11900" w:h="16838" w:orient="portrait"/>
          <w:cols w:equalWidth="0" w:num="5">
            <w:col w:w="3500" w:space="720"/>
            <w:col w:w="1260" w:space="420"/>
            <w:col w:w="1280" w:space="200"/>
            <w:col w:w="1260" w:space="220"/>
            <w:col w:w="1480"/>
          </w:cols>
          <w:pgMar w:left="240" w:top="717" w:right="131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and Diluted: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Common</w:t>
      </w:r>
    </w:p>
    <w:p>
      <w:pPr>
        <w:sectPr>
          <w:pgSz w:w="11900" w:h="16838" w:orient="portrait"/>
          <w:cols w:equalWidth="0" w:num="1">
            <w:col w:w="10340"/>
          </w:cols>
          <w:pgMar w:left="240" w:top="717" w:right="131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27,820,583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10,067,279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16,894,343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10,045,343</w:t>
      </w:r>
    </w:p>
    <w:p>
      <w:pPr>
        <w:spacing w:after="0" w:line="200" w:lineRule="exact"/>
        <w:rPr>
          <w:sz w:val="20"/>
          <w:szCs w:val="20"/>
          <w:color w:val="auto"/>
        </w:rPr>
      </w:pPr>
    </w:p>
    <w:p>
      <w:pPr>
        <w:sectPr>
          <w:pgSz w:w="11900" w:h="16838" w:orient="portrait"/>
          <w:cols w:equalWidth="0" w:num="5">
            <w:col w:w="3600" w:space="720"/>
            <w:col w:w="1060" w:space="640"/>
            <w:col w:w="1040" w:space="420"/>
            <w:col w:w="1060" w:space="640"/>
            <w:col w:w="1160"/>
          </w:cols>
          <w:pgMar w:left="240" w:top="717" w:right="1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Common</w:t>
      </w:r>
    </w:p>
    <w:p>
      <w:pPr>
        <w:sectPr>
          <w:pgSz w:w="11900" w:h="16838" w:orient="portrait"/>
          <w:cols w:equalWidth="0" w:num="1">
            <w:col w:w="10340"/>
          </w:cols>
          <w:pgMar w:left="240" w:top="717" w:right="131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Shares subject to repurchase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(497,706)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(118,557)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(426,846)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firstLine="527"/>
        <w:spacing w:after="0" w:line="290" w:lineRule="auto"/>
        <w:rPr>
          <w:sz w:val="20"/>
          <w:szCs w:val="20"/>
          <w:color w:val="auto"/>
        </w:rPr>
      </w:pPr>
      <w:r>
        <w:rPr>
          <w:rFonts w:ascii="Courier New" w:cs="Courier New" w:eastAsia="Courier New" w:hAnsi="Courier New"/>
          <w:sz w:val="16"/>
          <w:szCs w:val="16"/>
          <w:color w:val="auto"/>
        </w:rPr>
        <w:t>(130,455) -------------</w:t>
      </w:r>
    </w:p>
    <w:p>
      <w:pPr>
        <w:spacing w:after="0" w:line="170" w:lineRule="exact"/>
        <w:rPr>
          <w:sz w:val="20"/>
          <w:szCs w:val="20"/>
          <w:color w:val="auto"/>
        </w:rPr>
      </w:pPr>
    </w:p>
    <w:p>
      <w:pPr>
        <w:sectPr>
          <w:pgSz w:w="11900" w:h="16838" w:orient="portrait"/>
          <w:cols w:equalWidth="0" w:num="5">
            <w:col w:w="3500" w:space="720"/>
            <w:col w:w="1260" w:space="420"/>
            <w:col w:w="1280" w:space="200"/>
            <w:col w:w="1260" w:space="220"/>
            <w:col w:w="1480"/>
          </w:cols>
          <w:pgMar w:left="240" w:top="717" w:right="13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 used in computing basic</w:t>
      </w:r>
    </w:p>
    <w:p>
      <w:pPr>
        <w:sectPr>
          <w:pgSz w:w="11900" w:h="16838" w:orient="portrait"/>
          <w:cols w:equalWidth="0" w:num="1">
            <w:col w:w="10340"/>
          </w:cols>
          <w:pgMar w:left="240" w:top="717" w:right="131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and diluted net loss per share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27,322,877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firstLine="211"/>
        <w:spacing w:after="0" w:line="290" w:lineRule="auto"/>
        <w:rPr>
          <w:sz w:val="20"/>
          <w:szCs w:val="20"/>
          <w:color w:val="auto"/>
        </w:rPr>
      </w:pPr>
      <w:r>
        <w:rPr>
          <w:rFonts w:ascii="Courier New" w:cs="Courier New" w:eastAsia="Courier New" w:hAnsi="Courier New"/>
          <w:sz w:val="16"/>
          <w:szCs w:val="16"/>
          <w:color w:val="auto"/>
        </w:rPr>
        <w:t>9,948,722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firstLine="105"/>
        <w:spacing w:after="0" w:line="290" w:lineRule="auto"/>
        <w:rPr>
          <w:sz w:val="20"/>
          <w:szCs w:val="20"/>
          <w:color w:val="auto"/>
        </w:rPr>
      </w:pPr>
      <w:r>
        <w:rPr>
          <w:rFonts w:ascii="Courier New" w:cs="Courier New" w:eastAsia="Courier New" w:hAnsi="Courier New"/>
          <w:sz w:val="16"/>
          <w:szCs w:val="16"/>
          <w:color w:val="auto"/>
        </w:rPr>
        <w:t>16,467,498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120" w:firstLine="421"/>
        <w:spacing w:after="0" w:line="290" w:lineRule="auto"/>
        <w:rPr>
          <w:sz w:val="20"/>
          <w:szCs w:val="20"/>
          <w:color w:val="auto"/>
        </w:rPr>
      </w:pPr>
      <w:r>
        <w:rPr>
          <w:rFonts w:ascii="Courier New" w:cs="Courier New" w:eastAsia="Courier New" w:hAnsi="Courier New"/>
          <w:sz w:val="16"/>
          <w:szCs w:val="16"/>
          <w:color w:val="auto"/>
        </w:rPr>
        <w:t>9,914,888 =============</w:t>
      </w:r>
    </w:p>
    <w:p>
      <w:pPr>
        <w:spacing w:after="0" w:line="170" w:lineRule="exact"/>
        <w:rPr>
          <w:sz w:val="20"/>
          <w:szCs w:val="20"/>
          <w:color w:val="auto"/>
        </w:rPr>
      </w:pPr>
    </w:p>
    <w:p>
      <w:pPr>
        <w:sectPr>
          <w:pgSz w:w="11900" w:h="16838" w:orient="portrait"/>
          <w:cols w:equalWidth="0" w:num="5">
            <w:col w:w="3500" w:space="720"/>
            <w:col w:w="1160" w:space="520"/>
            <w:col w:w="1160" w:space="320"/>
            <w:col w:w="1160" w:space="320"/>
            <w:col w:w="1480"/>
          </w:cols>
          <w:pgMar w:left="240" w:top="717" w:right="13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Basic and diluted net loss per share</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(0.35)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(0.33)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(2.18)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firstLine="211"/>
        <w:spacing w:after="0" w:line="235" w:lineRule="auto"/>
        <w:rPr>
          <w:sz w:val="20"/>
          <w:szCs w:val="20"/>
          <w:color w:val="auto"/>
        </w:rPr>
      </w:pPr>
      <w:r>
        <w:rPr>
          <w:rFonts w:ascii="Courier New" w:cs="Courier New" w:eastAsia="Courier New" w:hAnsi="Courier New"/>
          <w:sz w:val="18"/>
          <w:szCs w:val="18"/>
          <w:color w:val="auto"/>
        </w:rPr>
        <w:t>$ (0.78) =============</w:t>
      </w:r>
    </w:p>
    <w:p>
      <w:pPr>
        <w:spacing w:after="0" w:line="201" w:lineRule="exact"/>
        <w:rPr>
          <w:sz w:val="20"/>
          <w:szCs w:val="20"/>
          <w:color w:val="auto"/>
        </w:rPr>
      </w:pPr>
    </w:p>
    <w:p>
      <w:pPr>
        <w:sectPr>
          <w:pgSz w:w="11900" w:h="16838" w:orient="portrait"/>
          <w:cols w:equalWidth="0" w:num="5">
            <w:col w:w="3800" w:space="420"/>
            <w:col w:w="1260" w:space="420"/>
            <w:col w:w="1280" w:space="200"/>
            <w:col w:w="1260" w:space="220"/>
            <w:col w:w="1480"/>
          </w:cols>
          <w:pgMar w:left="240" w:top="717" w:right="131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 forma: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340"/>
          </w:cols>
          <w:pgMar w:left="240" w:top="717" w:right="131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(in thousands)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used above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(5,789)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27,322,877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(16,854)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16,467,498</w:t>
      </w:r>
    </w:p>
    <w:p>
      <w:pPr>
        <w:spacing w:after="0" w:line="200" w:lineRule="exact"/>
        <w:rPr>
          <w:sz w:val="20"/>
          <w:szCs w:val="20"/>
          <w:color w:val="auto"/>
        </w:rPr>
      </w:pPr>
    </w:p>
    <w:p>
      <w:pPr>
        <w:sectPr>
          <w:pgSz w:w="11900" w:h="16838" w:orient="portrait"/>
          <w:cols w:equalWidth="0" w:num="5">
            <w:col w:w="3500" w:space="720"/>
            <w:col w:w="100" w:space="0"/>
            <w:col w:w="2340" w:space="720"/>
            <w:col w:w="100" w:space="0"/>
            <w:col w:w="2860"/>
          </w:cols>
          <w:pgMar w:left="240" w:top="717" w:right="13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 to reflect assumed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conversion of convertible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preferred stock at beginning</w:t>
      </w:r>
    </w:p>
    <w:p>
      <w:pPr>
        <w:sectPr>
          <w:pgSz w:w="11900" w:h="16838" w:orient="portrait"/>
          <w:cols w:equalWidth="0" w:num="1">
            <w:col w:w="10340"/>
          </w:cols>
          <w:pgMar w:left="240" w:top="717" w:right="131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of period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7,212,517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14,020,490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3500" w:space="720"/>
            <w:col w:w="2240" w:space="720"/>
            <w:col w:w="3160"/>
          </w:cols>
          <w:pgMar w:left="240" w:top="717" w:right="1319" w:bottom="1440" w:gutter="0" w:footer="0" w:header="0"/>
          <w:type w:val="continuous"/>
        </w:sectPr>
      </w:pPr>
    </w:p>
    <w:bookmarkStart w:id="7" w:name="page8"/>
    <w:bookmarkEnd w:id="7"/>
    <w:p>
      <w:pPr>
        <w:jc w:val="right"/>
        <w:ind w:right="5480"/>
        <w:spacing w:after="0"/>
        <w:rPr>
          <w:sz w:val="20"/>
          <w:szCs w:val="20"/>
          <w:color w:val="auto"/>
        </w:rPr>
      </w:pPr>
      <w:r>
        <w:rPr>
          <w:rFonts w:ascii="Courier New" w:cs="Courier New" w:eastAsia="Courier New" w:hAnsi="Courier New"/>
          <w:sz w:val="16"/>
          <w:szCs w:val="16"/>
          <w:color w:val="auto"/>
        </w:rPr>
        <w:t>Shares used in computing pro</w:t>
      </w:r>
    </w:p>
    <w:p>
      <w:pPr>
        <w:spacing w:after="0" w:line="16" w:lineRule="exact"/>
        <w:rPr>
          <w:sz w:val="20"/>
          <w:szCs w:val="20"/>
          <w:color w:val="auto"/>
        </w:rPr>
      </w:pPr>
    </w:p>
    <w:p>
      <w:pPr>
        <w:jc w:val="right"/>
        <w:ind w:right="5480"/>
        <w:spacing w:after="0"/>
        <w:rPr>
          <w:sz w:val="20"/>
          <w:szCs w:val="20"/>
          <w:color w:val="auto"/>
        </w:rPr>
      </w:pPr>
      <w:r>
        <w:rPr>
          <w:rFonts w:ascii="Courier New" w:cs="Courier New" w:eastAsia="Courier New" w:hAnsi="Courier New"/>
          <w:sz w:val="18"/>
          <w:szCs w:val="18"/>
          <w:color w:val="auto"/>
        </w:rPr>
        <w:t>forma basic and diluted net</w:t>
      </w:r>
    </w:p>
    <w:p>
      <w:pPr>
        <w:ind w:left="120"/>
        <w:spacing w:after="0"/>
        <w:tabs>
          <w:tab w:leader="none" w:pos="4300" w:val="left"/>
        </w:tabs>
        <w:rPr>
          <w:sz w:val="20"/>
          <w:szCs w:val="20"/>
          <w:color w:val="auto"/>
        </w:rPr>
      </w:pPr>
      <w:r>
        <w:rPr>
          <w:rFonts w:ascii="Courier New" w:cs="Courier New" w:eastAsia="Courier New" w:hAnsi="Courier New"/>
          <w:sz w:val="18"/>
          <w:szCs w:val="18"/>
          <w:color w:val="auto"/>
        </w:rPr>
        <w:t>loss per share</w:t>
      </w:r>
      <w:r>
        <w:rPr>
          <w:sz w:val="20"/>
          <w:szCs w:val="20"/>
          <w:color w:val="auto"/>
        </w:rPr>
        <w:tab/>
      </w:r>
      <w:r>
        <w:rPr>
          <w:rFonts w:ascii="Courier New" w:cs="Courier New" w:eastAsia="Courier New" w:hAnsi="Courier New"/>
          <w:sz w:val="16"/>
          <w:szCs w:val="16"/>
          <w:color w:val="auto"/>
        </w:rPr>
        <w:t>34,535,394</w:t>
      </w:r>
    </w:p>
    <w:p>
      <w:pPr>
        <w:ind w:left="4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 forma basic and diluted net</w:t>
      </w:r>
    </w:p>
    <w:p>
      <w:pPr>
        <w:ind w:left="120"/>
        <w:spacing w:after="0"/>
        <w:tabs>
          <w:tab w:leader="none" w:pos="4200" w:val="left"/>
          <w:tab w:leader="none" w:pos="4840" w:val="left"/>
        </w:tabs>
        <w:rPr>
          <w:sz w:val="20"/>
          <w:szCs w:val="20"/>
          <w:color w:val="auto"/>
        </w:rPr>
      </w:pPr>
      <w:r>
        <w:rPr>
          <w:rFonts w:ascii="Courier New" w:cs="Courier New" w:eastAsia="Courier New" w:hAnsi="Courier New"/>
          <w:sz w:val="18"/>
          <w:szCs w:val="18"/>
          <w:color w:val="auto"/>
        </w:rPr>
        <w:t>loss per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(0.17)</w:t>
      </w:r>
    </w:p>
    <w:p>
      <w:pPr>
        <w:ind w:left="4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960"/>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spacing w:after="0" w:line="270" w:lineRule="auto"/>
        <w:rPr>
          <w:sz w:val="20"/>
          <w:szCs w:val="20"/>
          <w:color w:val="auto"/>
        </w:rPr>
      </w:pPr>
      <w:r>
        <w:rPr>
          <w:rFonts w:ascii="Courier New" w:cs="Courier New" w:eastAsia="Courier New" w:hAnsi="Courier New"/>
          <w:sz w:val="16"/>
          <w:szCs w:val="16"/>
          <w:color w:val="auto"/>
        </w:rPr>
        <w:t>The following discussion should be read in conjunction with the financial statements appearing elsewhere in this Form 10-Q and within our Registration Statement on Form S-1, File No. 333-36946. This report contains forward-looking statements, within the meaning of Section 27A of the Securities Act of 1933 and Section 21E of the Securities Exchange Act of 1934, that involve risks and uncertainties. Among the important factors which could cause actual results to differ materially include: our ability to accurately forecast our revenue; inability to sufficiently increase manufacturing capacity and obtain key components from suppliers to meet rising demand; overall market performance and the performance of the market for power quality products; our dependence on one primary customer; delays in new product development; inventory risks; the ability to protect our intellectual property; concentration of ownership; and other factors detailed in the Company's filings with the Securities and Exchange Commission, specifically Form S-1, File No. 333-36946.</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firstLine="421"/>
        <w:spacing w:after="0" w:line="238" w:lineRule="auto"/>
        <w:rPr>
          <w:sz w:val="20"/>
          <w:szCs w:val="20"/>
          <w:color w:val="auto"/>
        </w:rPr>
      </w:pPr>
      <w:r>
        <w:rPr>
          <w:rFonts w:ascii="Courier New" w:cs="Courier New" w:eastAsia="Courier New" w:hAnsi="Courier New"/>
          <w:sz w:val="18"/>
          <w:szCs w:val="18"/>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Our products are sold for use in the facilities of companies in many different industries that all share a critical need for reliable, high-quality power, such as Internet service providers, semiconductor manufacturers, telecommunications providers, pharmaceutical manufacturers, hospitals, electric utilities and broadcasters. As an extension of these existing product lines, we are developing a fully integrated continuous power system. The initial target market for this product is the rapidly growing telecommunications industry.</w:t>
      </w:r>
    </w:p>
    <w:p>
      <w:pPr>
        <w:spacing w:after="0" w:line="208"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Since 1996, we have focused our efforts and financial resources primarily on the design and development of our CleanSource line of power quality products and on establishing effective OEM channels to market our products. As of September 30, 2000, we had generated an accumulated deficit of $46.5 million and expect to continue to sustain operating losses for the next several years. We have funded our operations primarily through sales of shares of our preferred stock, which have resulted in gross proceeds of approximately $42.8 million. We believe the proceeds from our August 2000 initial public offering, approximately $140 million net of</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30,487,988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840" w:hanging="633"/>
        <w:spacing w:after="0"/>
        <w:tabs>
          <w:tab w:leader="none" w:pos="8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(0.55)</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2">
            <w:col w:w="8440" w:space="420"/>
            <w:col w:w="1480"/>
          </w:cols>
          <w:pgMar w:left="240" w:top="1128" w:right="1319" w:bottom="1440" w:gutter="0" w:footer="0" w:header="0"/>
        </w:sectPr>
      </w:pPr>
    </w:p>
    <w:bookmarkStart w:id="8" w:name="page9"/>
    <w:bookmarkEnd w:id="8"/>
    <w:p>
      <w:pPr>
        <w:ind w:right="1779"/>
        <w:spacing w:after="0" w:line="236" w:lineRule="auto"/>
        <w:rPr>
          <w:sz w:val="20"/>
          <w:szCs w:val="20"/>
          <w:color w:val="auto"/>
        </w:rPr>
      </w:pPr>
      <w:r>
        <w:rPr>
          <w:rFonts w:ascii="Courier New" w:cs="Courier New" w:eastAsia="Courier New" w:hAnsi="Courier New"/>
          <w:sz w:val="18"/>
          <w:szCs w:val="18"/>
          <w:color w:val="auto"/>
        </w:rPr>
        <w:t>commissions and issuance costs, together with cash balances on hand prior to August 2000 will be sufficient to meet our capital requirements through at least the next 24 months.</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Since our inception, a small number of customers have accounted for the majority of our annual sales. During 1999, our four largest customers accounted for 89% of our sales, with our largest customer, Caterpillar, accounting for 39%. In the first nine months of 2000, Caterpillar accounted for 90% of our revenue as we shifted focus from our CleanSource DC product to our CleanSource UPS product. We expect to continue to be dependent on a few OEM customers, primarily Caterpillar, for the majority of our sales for the foreseeable future.</w:t>
      </w:r>
    </w:p>
    <w:p>
      <w:pPr>
        <w:spacing w:after="0" w:line="18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210" w:lineRule="exact"/>
        <w:rPr>
          <w:sz w:val="20"/>
          <w:szCs w:val="20"/>
          <w:color w:val="auto"/>
        </w:rPr>
      </w:pPr>
    </w:p>
    <w:p>
      <w:pPr>
        <w:ind w:left="1060" w:right="1779" w:hanging="63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 our manufacturing facilities and add manufacturing personnel to address anticipated increases in product demand;</w:t>
      </w:r>
    </w:p>
    <w:p>
      <w:pPr>
        <w:spacing w:after="0" w:line="208" w:lineRule="exact"/>
        <w:rPr>
          <w:sz w:val="20"/>
          <w:szCs w:val="20"/>
          <w:color w:val="auto"/>
        </w:rPr>
      </w:pPr>
    </w:p>
    <w:p>
      <w:pPr>
        <w:ind w:left="1060" w:right="1999" w:hanging="631"/>
        <w:spacing w:after="0" w:line="236"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our personnel levels in product development and engineering to accelerate time to market on new products and enhance existing product lines; and</w:t>
      </w:r>
    </w:p>
    <w:p>
      <w:pPr>
        <w:spacing w:after="0" w:line="203" w:lineRule="exact"/>
        <w:rPr>
          <w:sz w:val="20"/>
          <w:szCs w:val="20"/>
          <w:color w:val="auto"/>
        </w:rPr>
      </w:pPr>
    </w:p>
    <w:p>
      <w:pPr>
        <w:ind w:left="1060" w:hanging="631"/>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sales and marketing personnel to support our OEM customers.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believe that although these efforts will increase our operating expenses, they will also enable us to realize accelerated revenue growth.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Product Revenue. Product revenue primarily consists of sales of our CleanSource power quality products. Sales increased $1.2 million to $1.34 million for the three months ended September 30, 2000 from $103,000 for the three months ended September 30, 1999. Product revenue increased $1.6 million to $2.2 million for the nine months ended September 30, 2000 from $577,000 for the same period last year. Both the quarterly and nine month increases are attributable to a ramp up in the sales of our recently launched CleanSource UPS product line. For the nine month period we have sold 44 quarter-megawatt flywheel units. For the quarter we sold 25 quarter-megawatt flywheel units. The majority of these units were sold to our CleanSource UPS distribution partner, Caterpillar.</w:t>
      </w:r>
    </w:p>
    <w:p>
      <w:pPr>
        <w:spacing w:after="0" w:line="21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Cost of goods sold increased $1.4 million to $2.1 million for the three months ended September 30, 2000 from $682,000 for the three months ended September 30, 1999. For the nine months ended September 30, 2000 cost of goods sold increased $1.7 million to $3.8 million from $2.1 million for the same period last year. Both the quarterly and nine month increases were associated with an increase in sales.</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In anticipation of future demand for our products, we expect to continue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expand our manufacturing capacity which will increase our costs at existing and new facilities. Over time, we expect production volumes to increase which will tend to decrease our unit production costs as we achieve greater economies of scale in production and in purchasing component parts.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Development funding. Development funding consists of funds received from Caterpillar to support the development of the CleanSource UPS product. We received $2 million in development funding during the three months ended September 30, 1999 and $5 million for the full year of 1999. No development funding has been received in 2000 and we do not have any outstanding development funding contracts.</w:t>
      </w:r>
    </w:p>
    <w:p>
      <w:pPr>
        <w:spacing w:after="0" w:line="210"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Research and development. Research and development expense primarily consists of compensation and related costs of employees engaged in research, development and engineering activities, third party consulting and development activities, as well as an allocated portion of our occupancy costs. Research and development expense increased $2.0 million to $3.1 million for the three months ended September 30, 2000 from $1.1 million for the three months ended September 30, 1999. For the nine months ended September 30, 2000 research and development expense increased $3.6 million to $6.7 million from $3.1 million for the same period last year. The increase in research and development expense was primarily due to the increased product development of the CleanSource UPS and other products. We believe that research and development expense will continue to increase significantly in 2000 and thereafter as we continue to apply resources to new product development and to enhance existing product lines.</w:t>
      </w:r>
    </w:p>
    <w:p>
      <w:pPr>
        <w:spacing w:after="0" w:line="38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is primarily comprised of compensation and related costs for sales, marketing and administrative personnel, selling and marketing expenses, professional fees and reserves for bad debt. Selling, general and administrative expense increased approximately $955,000 to $1.6 million for the three months ended September 30, 2000 from $623,000 for the three months ended September 30, 1999. For the nine months ended September 30, 2000 selling, general and administrative expense increased approximately $2.4 million to $4.1 million from $1.7 million for the same period last year. The increase in selling, general and administrative expense was principally due to increased personnel in our sales organization in order to support our OEM channel partners and to address opportunities for sales of our CleanSource UPS product line. We believe that selling, general and administrative expense will increase in future periods as we add sales, marketing and administrative personnel and costs to position us for future sales growth and to assist in the administration of an expanding work force and the additional activities associated with becoming a public company.</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Amortization of deferred stock compensation. Deferred stock compensation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$1.9 and $5.0 million for the three months and nine months ended September 30, 2000. We expect amortization expense to decrease in the future as these options become fully vested.</w:t>
      </w:r>
    </w:p>
    <w:p>
      <w:pPr>
        <w:sectPr>
          <w:pgSz w:w="11900" w:h="16838" w:orient="portrait"/>
          <w:cols w:equalWidth="0" w:num="1">
            <w:col w:w="10219"/>
          </w:cols>
          <w:pgMar w:left="240" w:top="717" w:right="1440" w:bottom="1440" w:gutter="0" w:footer="0" w:header="0"/>
        </w:sectPr>
      </w:pPr>
    </w:p>
    <w:bookmarkStart w:id="10" w:name="page11"/>
    <w:bookmarkEnd w:id="10"/>
    <w:p>
      <w:pPr>
        <w:ind w:right="1779" w:firstLine="421"/>
        <w:spacing w:after="0" w:line="237" w:lineRule="auto"/>
        <w:rPr>
          <w:sz w:val="20"/>
          <w:szCs w:val="20"/>
          <w:color w:val="auto"/>
        </w:rPr>
      </w:pPr>
      <w:r>
        <w:rPr>
          <w:rFonts w:ascii="Courier New" w:cs="Courier New" w:eastAsia="Courier New" w:hAnsi="Courier New"/>
          <w:sz w:val="18"/>
          <w:szCs w:val="18"/>
          <w:color w:val="auto"/>
        </w:rPr>
        <w:t>Interest income. Interest income increased $1.5 million to $1.5 million for the three months ended September 30, 2000 from $72,000 for the three months ended September 30, 1999. For the nine months ended September 30, 2000 interest income increased $2.0 million to $2.2 million from $234,000 for the nine months ended September 30, 1999. This is primarily due to increases in our average cash balance for the third quarter and nine month period of $107.2 and $50.5 million compared to an average cash balances of $5.7 and $6.2 for the third quarter and nine months of 1999. The increase in our cash balances is primarily associated with the approximately $140 million raised as part of our August 2000 initial public offering.</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Change in fair value of warrants. Due to the redemption feature of our</w:t>
      </w:r>
    </w:p>
    <w:p>
      <w:pPr>
        <w:spacing w:after="0" w:line="238" w:lineRule="auto"/>
        <w:rPr>
          <w:sz w:val="20"/>
          <w:szCs w:val="20"/>
          <w:color w:val="auto"/>
        </w:rPr>
      </w:pPr>
      <w:r>
        <w:rPr>
          <w:rFonts w:ascii="Courier New" w:cs="Courier New" w:eastAsia="Courier New" w:hAnsi="Courier New"/>
          <w:sz w:val="18"/>
          <w:szCs w:val="18"/>
          <w:color w:val="auto"/>
        </w:rPr>
        <w:t>outstanding warrants, we record a liability associated with the fair value of</w:t>
      </w:r>
    </w:p>
    <w:p>
      <w:pPr>
        <w:spacing w:after="0"/>
        <w:rPr>
          <w:sz w:val="20"/>
          <w:szCs w:val="20"/>
          <w:color w:val="auto"/>
        </w:rPr>
      </w:pPr>
      <w:r>
        <w:rPr>
          <w:rFonts w:ascii="Courier New" w:cs="Courier New" w:eastAsia="Courier New" w:hAnsi="Courier New"/>
          <w:sz w:val="18"/>
          <w:szCs w:val="18"/>
          <w:color w:val="auto"/>
        </w:rPr>
        <w:t>the warrants on the balance sheet and record changes in fair value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in current periods. We calculate the fair value of the warrants using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Black-Scholes pricing model. In 1999 and 2000 the fair value of the underlying</w:t>
      </w:r>
    </w:p>
    <w:p>
      <w:pPr>
        <w:spacing w:after="0" w:line="238" w:lineRule="auto"/>
        <w:rPr>
          <w:sz w:val="20"/>
          <w:szCs w:val="20"/>
          <w:color w:val="auto"/>
        </w:rPr>
      </w:pPr>
      <w:r>
        <w:rPr>
          <w:rFonts w:ascii="Courier New" w:cs="Courier New" w:eastAsia="Courier New" w:hAnsi="Courier New"/>
          <w:sz w:val="18"/>
          <w:szCs w:val="18"/>
          <w:color w:val="auto"/>
        </w:rPr>
        <w:t>common stock increased substantially, resulting in an increase in the warrant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and corresponding expense. Expenses recorded for the three months and nine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ended September 30, 2000 was $0 and $1.6 million compared to $1.0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 million in the same periods the prior year. The primary reason for the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 year decreases was the conversion of the warrants to common stock as part</w:t>
      </w:r>
    </w:p>
    <w:p>
      <w:pPr>
        <w:spacing w:after="0" w:line="238" w:lineRule="auto"/>
        <w:rPr>
          <w:sz w:val="20"/>
          <w:szCs w:val="20"/>
          <w:color w:val="auto"/>
        </w:rPr>
      </w:pPr>
      <w:r>
        <w:rPr>
          <w:rFonts w:ascii="Courier New" w:cs="Courier New" w:eastAsia="Courier New" w:hAnsi="Courier New"/>
          <w:sz w:val="18"/>
          <w:szCs w:val="18"/>
          <w:color w:val="auto"/>
        </w:rPr>
        <w:t>of our initial public offering.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Our principal source of liquidity as of September 30, 2000 consisted of</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$151.8 million of cash, cash equivalents, short-term and long-term investments.</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August 2000, we completed a successful initial public offering, raising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$140 million, net of commissions and issuance expenses. This is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 to our private financing efforts in 1999, including the sale of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our preferred stock, which have resulted in gross proceeds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$42.8 million, and $5.0 million in development funding received from Caterpillar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1999. During 1999, cash used by operating activities was $1.8 million,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compares to $10.9 million of cash used by operating activities for the nine</w:t>
      </w:r>
    </w:p>
    <w:p>
      <w:pPr>
        <w:spacing w:after="0" w:line="238" w:lineRule="auto"/>
        <w:rPr>
          <w:sz w:val="20"/>
          <w:szCs w:val="20"/>
          <w:color w:val="auto"/>
        </w:rPr>
      </w:pPr>
      <w:r>
        <w:rPr>
          <w:rFonts w:ascii="Courier New" w:cs="Courier New" w:eastAsia="Courier New" w:hAnsi="Courier New"/>
          <w:sz w:val="18"/>
          <w:szCs w:val="18"/>
          <w:color w:val="auto"/>
        </w:rPr>
        <w:t>months ended September 30, 2000. The cash usage in each of these periods was</w:t>
      </w:r>
    </w:p>
    <w:p>
      <w:pPr>
        <w:spacing w:after="0"/>
        <w:rPr>
          <w:sz w:val="20"/>
          <w:szCs w:val="20"/>
          <w:color w:val="auto"/>
        </w:rPr>
      </w:pPr>
      <w:r>
        <w:rPr>
          <w:rFonts w:ascii="Courier New" w:cs="Courier New" w:eastAsia="Courier New" w:hAnsi="Courier New"/>
          <w:sz w:val="18"/>
          <w:szCs w:val="18"/>
          <w:color w:val="auto"/>
        </w:rPr>
        <w:t>primarily attributable to our focus on the development of products and the</w:t>
      </w:r>
    </w:p>
    <w:p>
      <w:pPr>
        <w:spacing w:after="0" w:line="237" w:lineRule="auto"/>
        <w:rPr>
          <w:sz w:val="20"/>
          <w:szCs w:val="20"/>
          <w:color w:val="auto"/>
        </w:rPr>
      </w:pPr>
      <w:r>
        <w:rPr>
          <w:rFonts w:ascii="Courier New" w:cs="Courier New" w:eastAsia="Courier New" w:hAnsi="Courier New"/>
          <w:sz w:val="18"/>
          <w:szCs w:val="18"/>
          <w:color w:val="auto"/>
        </w:rPr>
        <w:t>expansion of our manufacturing operations and sales activities.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Capital expenditures were $483,000 for the nine months ended September 30, 1999 and $3.5 million for the nine months ended September 30, 2000. We made these expenditures to acquire engineering test equipment, and to purchase manufacturing equipment to facilitate</w:t>
      </w:r>
    </w:p>
    <w:p>
      <w:pPr>
        <w:sectPr>
          <w:pgSz w:w="11900" w:h="16838" w:orient="portrait"/>
          <w:cols w:equalWidth="0" w:num="1">
            <w:col w:w="10219"/>
          </w:cols>
          <w:pgMar w:left="240" w:top="925" w:right="1440" w:bottom="1440"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production testing, as well as for general computer equipment and software for administrative purposes. We expect to incur approximately $1.5 million in additional costs in 2000 primarily on manufacturing facility improvements, including product test and assembly equipment, in both existing and new facilities to increase our manufacturing capacity.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our existing cash balances at September 30, 2000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Therefore, we have concluded that we do not have a material market risk exposure.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That May Affect Future Results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Numerous factors may affect our business and future operating results. These factors include, but are not limited to the potential for significant losses to continue; our ability to accurately forecast our revenue; inability to sufficiently increase manufacturing capacity and obtain key components from suppliers to meet rising demand; overall market performance and the performance of the market for power quality products; our dependence on one primary customer; delays in new product development; inventory risks; the ability to protect our intellectual property; concentration of ownership; and other factors detailed in the Company's Securities and Exchange Commission filings. For a more thorough discussion of these and other factors that may affect our business and future results, see the discussion under the caption "Additional Factors That May Affect Future Results" within our Registration Statement on Form S-1, File No. 333-36946.</w:t>
      </w:r>
    </w:p>
    <w:p>
      <w:pPr>
        <w:sectPr>
          <w:pgSz w:w="11900" w:h="16838" w:orient="portrait"/>
          <w:cols w:equalWidth="0" w:num="1">
            <w:col w:w="10219"/>
          </w:cols>
          <w:pgMar w:left="240" w:top="723" w:right="1440" w:bottom="1440" w:gutter="0" w:footer="0" w:header="0"/>
        </w:sectPr>
      </w:pPr>
    </w:p>
    <w:bookmarkStart w:id="12" w:name="page13"/>
    <w:bookmarkEnd w:id="12"/>
    <w:p>
      <w:pPr>
        <w:ind w:left="316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From July 1, 2000 through September 30, 2000, we issued approximately 211,846 shares of our common stock to employees pursuant to exercises of stock options (with exercise prices ranging from $0.07 to $6.94 per share) under our stock plans. These issuances were deemed exempt from registration under Section 5 of the Securities Act of 1933 in reliance upon Rule 701 thereunder. In addition, the recipients of securities in each such transaction represented their intentions to acquire the securities for investment only and not with a view to, or for sale in connection with, any distribution thereof and appropriate restrictive transfer legends were affixed to the share certificates issued in each such transaction.</w:t>
      </w:r>
    </w:p>
    <w:p>
      <w:pPr>
        <w:spacing w:after="0" w:line="215"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Our registration statement (Registration No. 333-36946) under the Securities Act of 1933, as amended, relating to our initial public offering of our common stock became effective on August 7, 2000. A total of 9,200,000 shares of common stock were registered. We sold a total of 8,900,000 shares of our common stock and a selling stockholder sold 300,000 shares to an underwriting syndicate. The managing underwriters were Goldman, Sachs &amp; Co., Merrill Lynch, Pierce, Fenner &amp; Smith Incorporation, Morgan Stanley &amp; Co. Incorporation and CIBC World Markets. The offering commenced and was completed on August 8, 2000, at a price to the public of $17.00 per share. The initial public offering resulted in net proceeds to us of approximately $140 million after deducting underwriting commissions of approximately $10.6 million and estimated offering expenses of approximately $1.2 million. As of September 30, 2000, these proceeds have been invested in government securities and other short-term investments.</w:t>
      </w:r>
    </w:p>
    <w:p>
      <w:pPr>
        <w:spacing w:after="0" w:line="38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During the quarter ended September 30, 2000, our stockholders took the following actions by written consent on August 4, 2000:</w:t>
      </w:r>
    </w:p>
    <w:p>
      <w:pPr>
        <w:spacing w:after="0" w:line="208" w:lineRule="exact"/>
        <w:rPr>
          <w:sz w:val="20"/>
          <w:szCs w:val="20"/>
          <w:color w:val="auto"/>
        </w:rPr>
      </w:pPr>
    </w:p>
    <w:p>
      <w:pPr>
        <w:ind w:left="960" w:right="2839" w:hanging="425"/>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approving the amendment and restatement of our certificate of incorporation;</w:t>
      </w:r>
    </w:p>
    <w:p>
      <w:pPr>
        <w:spacing w:after="0" w:line="203" w:lineRule="exact"/>
        <w:rPr>
          <w:sz w:val="20"/>
          <w:szCs w:val="20"/>
          <w:color w:val="auto"/>
        </w:rPr>
      </w:pPr>
    </w:p>
    <w:p>
      <w:pPr>
        <w:ind w:left="540"/>
        <w:spacing w:after="0"/>
        <w:tabs>
          <w:tab w:leader="none" w:pos="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approving the amendment and restatement of our bylaws;</w:t>
      </w:r>
    </w:p>
    <w:p>
      <w:pPr>
        <w:sectPr>
          <w:pgSz w:w="11900" w:h="16838" w:orient="portrait"/>
          <w:cols w:equalWidth="0" w:num="1">
            <w:col w:w="10219"/>
          </w:cols>
          <w:pgMar w:left="240" w:top="717" w:right="1440" w:bottom="1440" w:gutter="0" w:footer="0" w:header="0"/>
        </w:sectPr>
      </w:pPr>
    </w:p>
    <w:bookmarkStart w:id="13" w:name="page14"/>
    <w:bookmarkEnd w:id="13"/>
    <w:p>
      <w:pPr>
        <w:ind w:left="860" w:right="2199" w:hanging="325"/>
        <w:spacing w:after="0" w:line="290"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approving an increase in the number of shares of our common stock available for issuance under our 1993 Stock Option Plan, as amended;</w:t>
      </w:r>
    </w:p>
    <w:p>
      <w:pPr>
        <w:spacing w:after="0" w:line="170" w:lineRule="exact"/>
        <w:rPr>
          <w:sz w:val="20"/>
          <w:szCs w:val="20"/>
          <w:color w:val="auto"/>
        </w:rPr>
      </w:pPr>
    </w:p>
    <w:p>
      <w:pPr>
        <w:ind w:left="860" w:right="2319" w:hanging="325"/>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approving the 2000 Stock Incentive Plan and Employee Stock Purchase Plan;</w:t>
      </w:r>
    </w:p>
    <w:p>
      <w:pPr>
        <w:spacing w:after="0" w:line="208" w:lineRule="exact"/>
        <w:rPr>
          <w:sz w:val="20"/>
          <w:szCs w:val="20"/>
          <w:color w:val="auto"/>
        </w:rPr>
      </w:pPr>
    </w:p>
    <w:p>
      <w:pPr>
        <w:jc w:val="both"/>
        <w:ind w:left="860" w:right="1999" w:hanging="325"/>
        <w:spacing w:after="0" w:line="236"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electing Eric L. Jones, Joseph F. Pinkerton, III, Richard E. Anderson, Rodney S. Bond, Lindsay R. Jones, Jan H. Lindelow and Terrence L. Rock as directors;</w:t>
      </w:r>
    </w:p>
    <w:p>
      <w:pPr>
        <w:spacing w:after="0" w:line="209" w:lineRule="exact"/>
        <w:rPr>
          <w:sz w:val="20"/>
          <w:szCs w:val="20"/>
          <w:color w:val="auto"/>
        </w:rPr>
      </w:pPr>
    </w:p>
    <w:p>
      <w:pPr>
        <w:ind w:left="860" w:right="2199" w:hanging="325"/>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ratifying the appointment of Ernst &amp; Young LLP as independent public accountants for the 2000 fiscal year; and</w:t>
      </w:r>
    </w:p>
    <w:p>
      <w:pPr>
        <w:spacing w:after="0" w:line="208" w:lineRule="exact"/>
        <w:rPr>
          <w:sz w:val="20"/>
          <w:szCs w:val="20"/>
          <w:color w:val="auto"/>
        </w:rPr>
      </w:pPr>
    </w:p>
    <w:p>
      <w:pPr>
        <w:ind w:right="2619" w:firstLine="535"/>
        <w:spacing w:after="0" w:line="470" w:lineRule="auto"/>
        <w:tabs>
          <w:tab w:leader="none" w:pos="84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approving indemnification agreements for directors and officers. Item 5. Other Information.</w:t>
      </w:r>
    </w:p>
    <w:p>
      <w:pPr>
        <w:spacing w:after="0" w:line="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1700" w:right="3259" w:hanging="1165"/>
        <w:spacing w:after="0" w:line="268" w:lineRule="auto"/>
        <w:tabs>
          <w:tab w:leader="none" w:pos="106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 is filed as part of this report: 27.01 Financial Data Schedule (EDGAR version only)</w:t>
      </w:r>
    </w:p>
    <w:p>
      <w:pPr>
        <w:ind w:left="1060" w:right="2419" w:hanging="525"/>
        <w:spacing w:after="0" w:line="235"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during the quarter ended September 30, 2000.</w:t>
      </w:r>
    </w:p>
    <w:p>
      <w:pPr>
        <w:spacing w:after="0" w:line="200" w:lineRule="exact"/>
        <w:rPr>
          <w:sz w:val="20"/>
          <w:szCs w:val="20"/>
          <w:color w:val="auto"/>
        </w:rPr>
      </w:pP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November 14,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/s/ Joseph F. Pinkerton, III</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Joseph F. Pinkerton, III</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3800" w:space="640"/>
            <w:col w:w="5779"/>
          </w:cols>
          <w:pgMar w:left="240" w:top="723"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November 14, 2000</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/s/ David S. Gino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David S. Gino</w:t>
      </w:r>
    </w:p>
    <w:p>
      <w:pPr>
        <w:ind w:left="64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2">
            <w:col w:w="3920" w:space="720"/>
            <w:col w:w="5579"/>
          </w:cols>
          <w:pgMar w:left="240" w:top="723" w:right="1440" w:bottom="1440" w:gutter="0" w:footer="0" w:header="0"/>
          <w:type w:val="continuous"/>
        </w:sectPr>
      </w:pPr>
    </w:p>
    <w:bookmarkStart w:id="14" w:name="page15"/>
    <w:bookmarkEnd w:id="14"/>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237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ACTIVE POWER'S BALANCE SHEETS AND STATEMENT OF OPERATIONS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DEC-31-2000</w:t>
      </w:r>
    </w:p>
    <w:p>
      <w:pPr>
        <w:ind w:left="3020"/>
        <w:spacing w:after="0"/>
        <w:rPr>
          <w:sz w:val="20"/>
          <w:szCs w:val="20"/>
          <w:color w:val="auto"/>
        </w:rPr>
      </w:pPr>
      <w:r>
        <w:rPr>
          <w:rFonts w:ascii="Courier New" w:cs="Courier New" w:eastAsia="Courier New" w:hAnsi="Courier New"/>
          <w:sz w:val="18"/>
          <w:szCs w:val="18"/>
          <w:color w:val="auto"/>
        </w:rPr>
        <w:t>JAN-01-2000</w:t>
      </w:r>
    </w:p>
    <w:p>
      <w:pPr>
        <w:ind w:left="3240"/>
        <w:spacing w:after="0" w:line="237" w:lineRule="auto"/>
        <w:rPr>
          <w:sz w:val="20"/>
          <w:szCs w:val="20"/>
          <w:color w:val="auto"/>
        </w:rPr>
      </w:pPr>
      <w:r>
        <w:rPr>
          <w:rFonts w:ascii="Courier New" w:cs="Courier New" w:eastAsia="Courier New" w:hAnsi="Courier New"/>
          <w:sz w:val="18"/>
          <w:szCs w:val="18"/>
          <w:color w:val="auto"/>
        </w:rPr>
        <w:t>SEP-30-2000</w:t>
      </w:r>
    </w:p>
    <w:p>
      <w:pPr>
        <w:ind w:left="3860"/>
        <w:spacing w:after="0" w:line="238" w:lineRule="auto"/>
        <w:rPr>
          <w:sz w:val="20"/>
          <w:szCs w:val="20"/>
          <w:color w:val="auto"/>
        </w:rPr>
      </w:pPr>
      <w:r>
        <w:rPr>
          <w:rFonts w:ascii="Courier New" w:cs="Courier New" w:eastAsia="Courier New" w:hAnsi="Courier New"/>
          <w:sz w:val="18"/>
          <w:szCs w:val="18"/>
          <w:color w:val="auto"/>
        </w:rPr>
        <w:t>134,732,216</w:t>
      </w:r>
    </w:p>
    <w:p>
      <w:pPr>
        <w:ind w:left="3340"/>
        <w:spacing w:after="0"/>
        <w:rPr>
          <w:sz w:val="20"/>
          <w:szCs w:val="20"/>
          <w:color w:val="auto"/>
        </w:rPr>
      </w:pPr>
      <w:r>
        <w:rPr>
          <w:rFonts w:ascii="Courier New" w:cs="Courier New" w:eastAsia="Courier New" w:hAnsi="Courier New"/>
          <w:sz w:val="18"/>
          <w:szCs w:val="18"/>
          <w:color w:val="auto"/>
        </w:rPr>
        <w:t>17,020,807</w:t>
      </w:r>
    </w:p>
    <w:p>
      <w:pPr>
        <w:ind w:left="3540"/>
        <w:spacing w:after="0" w:line="237" w:lineRule="auto"/>
        <w:rPr>
          <w:sz w:val="20"/>
          <w:szCs w:val="20"/>
          <w:color w:val="auto"/>
        </w:rPr>
      </w:pPr>
      <w:r>
        <w:rPr>
          <w:rFonts w:ascii="Courier New" w:cs="Courier New" w:eastAsia="Courier New" w:hAnsi="Courier New"/>
          <w:sz w:val="18"/>
          <w:szCs w:val="18"/>
          <w:color w:val="auto"/>
        </w:rPr>
        <w:t>918,027</w:t>
      </w:r>
    </w:p>
    <w:p>
      <w:pPr>
        <w:ind w:left="4280"/>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2,015,678</w:t>
      </w:r>
    </w:p>
    <w:p>
      <w:pPr>
        <w:ind w:left="2820"/>
        <w:spacing w:after="0"/>
        <w:rPr>
          <w:sz w:val="20"/>
          <w:szCs w:val="20"/>
          <w:color w:val="auto"/>
        </w:rPr>
      </w:pPr>
      <w:r>
        <w:rPr>
          <w:rFonts w:ascii="Courier New" w:cs="Courier New" w:eastAsia="Courier New" w:hAnsi="Courier New"/>
          <w:sz w:val="18"/>
          <w:szCs w:val="18"/>
          <w:color w:val="auto"/>
        </w:rPr>
        <w:t>150,712,157</w:t>
      </w:r>
    </w:p>
    <w:p>
      <w:pPr>
        <w:ind w:left="4080"/>
        <w:spacing w:after="0" w:line="237" w:lineRule="auto"/>
        <w:rPr>
          <w:sz w:val="20"/>
          <w:szCs w:val="20"/>
          <w:color w:val="auto"/>
        </w:rPr>
      </w:pPr>
      <w:r>
        <w:rPr>
          <w:rFonts w:ascii="Courier New" w:cs="Courier New" w:eastAsia="Courier New" w:hAnsi="Courier New"/>
          <w:sz w:val="18"/>
          <w:szCs w:val="18"/>
          <w:color w:val="auto"/>
        </w:rPr>
        <w:t>5,821,030</w:t>
      </w:r>
    </w:p>
    <w:p>
      <w:pPr>
        <w:ind w:left="3020"/>
        <w:spacing w:after="0" w:line="238" w:lineRule="auto"/>
        <w:rPr>
          <w:sz w:val="20"/>
          <w:szCs w:val="20"/>
          <w:color w:val="auto"/>
        </w:rPr>
      </w:pPr>
      <w:r>
        <w:rPr>
          <w:rFonts w:ascii="Courier New" w:cs="Courier New" w:eastAsia="Courier New" w:hAnsi="Courier New"/>
          <w:sz w:val="18"/>
          <w:szCs w:val="18"/>
          <w:color w:val="auto"/>
        </w:rPr>
        <w:t>(1,886,967)</w:t>
      </w:r>
    </w:p>
    <w:p>
      <w:pPr>
        <w:ind w:left="3020"/>
        <w:spacing w:after="0"/>
        <w:rPr>
          <w:sz w:val="20"/>
          <w:szCs w:val="20"/>
          <w:color w:val="auto"/>
        </w:rPr>
      </w:pPr>
      <w:r>
        <w:rPr>
          <w:rFonts w:ascii="Courier New" w:cs="Courier New" w:eastAsia="Courier New" w:hAnsi="Courier New"/>
          <w:sz w:val="18"/>
          <w:szCs w:val="18"/>
          <w:color w:val="auto"/>
        </w:rPr>
        <w:t>159,651,908</w:t>
      </w:r>
    </w:p>
    <w:p>
      <w:pPr>
        <w:ind w:left="2500"/>
        <w:spacing w:after="0" w:line="237" w:lineRule="auto"/>
        <w:rPr>
          <w:sz w:val="20"/>
          <w:szCs w:val="20"/>
          <w:color w:val="auto"/>
        </w:rPr>
      </w:pPr>
      <w:r>
        <w:rPr>
          <w:rFonts w:ascii="Courier New" w:cs="Courier New" w:eastAsia="Courier New" w:hAnsi="Courier New"/>
          <w:sz w:val="18"/>
          <w:szCs w:val="18"/>
          <w:color w:val="auto"/>
        </w:rPr>
        <w:t>2,470,742</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38,812</w:t>
      </w:r>
    </w:p>
    <w:p>
      <w:pPr>
        <w:ind w:left="3440"/>
        <w:spacing w:after="0" w:line="238" w:lineRule="auto"/>
        <w:rPr>
          <w:sz w:val="20"/>
          <w:szCs w:val="20"/>
          <w:color w:val="auto"/>
        </w:rPr>
      </w:pPr>
      <w:r>
        <w:rPr>
          <w:rFonts w:ascii="Courier New" w:cs="Courier New" w:eastAsia="Courier New" w:hAnsi="Courier New"/>
          <w:sz w:val="18"/>
          <w:szCs w:val="18"/>
          <w:color w:val="auto"/>
        </w:rPr>
        <w:t>157,142,355</w:t>
      </w:r>
    </w:p>
    <w:p>
      <w:pPr>
        <w:ind w:left="1540"/>
        <w:spacing w:after="0"/>
        <w:rPr>
          <w:sz w:val="20"/>
          <w:szCs w:val="20"/>
          <w:color w:val="auto"/>
        </w:rPr>
      </w:pPr>
      <w:r>
        <w:rPr>
          <w:rFonts w:ascii="Courier New" w:cs="Courier New" w:eastAsia="Courier New" w:hAnsi="Courier New"/>
          <w:sz w:val="18"/>
          <w:szCs w:val="18"/>
          <w:color w:val="auto"/>
        </w:rPr>
        <w:t>159,651,908</w:t>
      </w:r>
    </w:p>
    <w:p>
      <w:pPr>
        <w:ind w:left="3980"/>
        <w:spacing w:after="0" w:line="237" w:lineRule="auto"/>
        <w:rPr>
          <w:sz w:val="20"/>
          <w:szCs w:val="20"/>
          <w:color w:val="auto"/>
        </w:rPr>
      </w:pPr>
      <w:r>
        <w:rPr>
          <w:rFonts w:ascii="Courier New" w:cs="Courier New" w:eastAsia="Courier New" w:hAnsi="Courier New"/>
          <w:sz w:val="18"/>
          <w:szCs w:val="18"/>
          <w:color w:val="auto"/>
        </w:rPr>
        <w:t>2,204,363</w:t>
      </w:r>
    </w:p>
    <w:p>
      <w:pPr>
        <w:ind w:left="3020"/>
        <w:spacing w:after="0"/>
        <w:rPr>
          <w:sz w:val="20"/>
          <w:szCs w:val="20"/>
          <w:color w:val="auto"/>
        </w:rPr>
      </w:pPr>
      <w:r>
        <w:rPr>
          <w:rFonts w:ascii="Courier New" w:cs="Courier New" w:eastAsia="Courier New" w:hAnsi="Courier New"/>
          <w:sz w:val="18"/>
          <w:szCs w:val="18"/>
          <w:color w:val="auto"/>
        </w:rPr>
        <w:t>2,204,363</w:t>
      </w:r>
    </w:p>
    <w:p>
      <w:pPr>
        <w:jc w:val="center"/>
        <w:ind w:right="1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3,782,165</w:t>
      </w:r>
    </w:p>
    <w:p>
      <w:pPr>
        <w:ind w:left="2920"/>
        <w:spacing w:after="0" w:line="237" w:lineRule="auto"/>
        <w:rPr>
          <w:sz w:val="20"/>
          <w:szCs w:val="20"/>
          <w:color w:val="auto"/>
        </w:rPr>
      </w:pPr>
      <w:r>
        <w:rPr>
          <w:rFonts w:ascii="Courier New" w:cs="Courier New" w:eastAsia="Courier New" w:hAnsi="Courier New"/>
          <w:sz w:val="18"/>
          <w:szCs w:val="18"/>
          <w:color w:val="auto"/>
        </w:rPr>
        <w:t>15,877,282</w:t>
      </w:r>
    </w:p>
    <w:p>
      <w:pPr>
        <w:ind w:left="386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1,701</w:t>
      </w:r>
    </w:p>
    <w:p>
      <w:pPr>
        <w:ind w:left="2820"/>
        <w:spacing w:after="0" w:line="238" w:lineRule="auto"/>
        <w:rPr>
          <w:sz w:val="20"/>
          <w:szCs w:val="20"/>
          <w:color w:val="auto"/>
        </w:rPr>
      </w:pPr>
      <w:r>
        <w:rPr>
          <w:rFonts w:ascii="Courier New" w:cs="Courier New" w:eastAsia="Courier New" w:hAnsi="Courier New"/>
          <w:sz w:val="18"/>
          <w:szCs w:val="18"/>
          <w:color w:val="auto"/>
        </w:rPr>
        <w:t>(16,854,188)</w:t>
      </w:r>
    </w:p>
    <w:p>
      <w:pPr>
        <w:ind w:left="4280"/>
        <w:spacing w:after="0"/>
        <w:rPr>
          <w:sz w:val="20"/>
          <w:szCs w:val="20"/>
          <w:color w:val="auto"/>
        </w:rPr>
      </w:pPr>
      <w:r>
        <w:rPr>
          <w:rFonts w:ascii="Courier New" w:cs="Courier New" w:eastAsia="Courier New" w:hAnsi="Courier New"/>
          <w:sz w:val="18"/>
          <w:szCs w:val="18"/>
          <w:color w:val="auto"/>
        </w:rPr>
        <w:t>0</w:t>
      </w:r>
    </w:p>
    <w:p>
      <w:pPr>
        <w:ind w:left="2400"/>
        <w:spacing w:after="0" w:line="237" w:lineRule="auto"/>
        <w:rPr>
          <w:sz w:val="20"/>
          <w:szCs w:val="20"/>
          <w:color w:val="auto"/>
        </w:rPr>
      </w:pPr>
      <w:r>
        <w:rPr>
          <w:rFonts w:ascii="Courier New" w:cs="Courier New" w:eastAsia="Courier New" w:hAnsi="Courier New"/>
          <w:sz w:val="18"/>
          <w:szCs w:val="18"/>
          <w:color w:val="auto"/>
        </w:rPr>
        <w:t>(16,854,188)</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120"/>
        <w:spacing w:after="0" w:line="237" w:lineRule="auto"/>
        <w:rPr>
          <w:sz w:val="20"/>
          <w:szCs w:val="20"/>
          <w:color w:val="auto"/>
        </w:rPr>
      </w:pPr>
      <w:r>
        <w:rPr>
          <w:rFonts w:ascii="Courier New" w:cs="Courier New" w:eastAsia="Courier New" w:hAnsi="Courier New"/>
          <w:sz w:val="18"/>
          <w:szCs w:val="18"/>
          <w:color w:val="auto"/>
        </w:rPr>
        <w:t>(16,854,188)</w:t>
      </w:r>
    </w:p>
    <w:p>
      <w:pPr>
        <w:ind w:left="3860"/>
        <w:spacing w:after="0" w:line="238" w:lineRule="auto"/>
        <w:rPr>
          <w:sz w:val="20"/>
          <w:szCs w:val="20"/>
          <w:color w:val="auto"/>
        </w:rPr>
      </w:pPr>
      <w:r>
        <w:rPr>
          <w:rFonts w:ascii="Courier New" w:cs="Courier New" w:eastAsia="Courier New" w:hAnsi="Courier New"/>
          <w:sz w:val="18"/>
          <w:szCs w:val="18"/>
          <w:color w:val="auto"/>
        </w:rPr>
        <w:t>(2.18)</w:t>
      </w:r>
    </w:p>
    <w:p>
      <w:pPr>
        <w:ind w:left="3660"/>
        <w:spacing w:after="0"/>
        <w:rPr>
          <w:sz w:val="20"/>
          <w:szCs w:val="20"/>
          <w:color w:val="auto"/>
        </w:rPr>
      </w:pPr>
      <w:r>
        <w:rPr>
          <w:rFonts w:ascii="Courier New" w:cs="Courier New" w:eastAsia="Courier New" w:hAnsi="Courier New"/>
          <w:sz w:val="18"/>
          <w:szCs w:val="18"/>
          <w:color w:val="auto"/>
        </w:rPr>
        <w:t>(2.18)</w:t>
      </w:r>
    </w:p>
    <w:sectPr>
      <w:pgSz w:w="11900" w:h="16838" w:orient="portrait"/>
      <w:cols w:equalWidth="0" w:num="1">
        <w:col w:w="10179"/>
      </w:cols>
      <w:pgMar w:left="2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2)"/>
      <w:numFmt w:val="decimal"/>
      <w:start w:val="512"/>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2019-12-11T19:53:48Z</dcterms:created>
  <dcterms:modified xsi:type="dcterms:W3CDTF">2019-12-11T19:53:48Z</dcterms:modified>
</cp:coreProperties>
</file>