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20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2006</w:t>
      </w:r>
    </w:p>
    <w:p>
      <w:pPr>
        <w:spacing w:after="0" w:line="1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280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c>
          <w:tcPr>
            <w:tcW w:w="880" w:type="dxa"/>
            <w:vAlign w:val="bottom"/>
          </w:tcPr>
          <w:p>
            <w:pPr>
              <w:spacing w:after="0"/>
              <w:rPr>
                <w:sz w:val="17"/>
                <w:szCs w:val="17"/>
                <w:color w:val="auto"/>
              </w:rPr>
            </w:pPr>
          </w:p>
        </w:tc>
      </w:tr>
      <w:tr>
        <w:trPr>
          <w:trHeight w:val="358"/>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40" w:type="dxa"/>
            <w:vAlign w:val="bottom"/>
          </w:tcPr>
          <w:p>
            <w:pPr>
              <w:ind w:left="140"/>
              <w:spacing w:after="0"/>
              <w:rPr>
                <w:sz w:val="20"/>
                <w:szCs w:val="20"/>
                <w:color w:val="auto"/>
              </w:rPr>
            </w:pPr>
            <w:r>
              <w:rPr>
                <w:rFonts w:ascii="Arial" w:cs="Arial" w:eastAsia="Arial" w:hAnsi="Arial"/>
                <w:sz w:val="18"/>
                <w:szCs w:val="18"/>
                <w:b w:val="1"/>
                <w:bCs w:val="1"/>
                <w:color w:val="auto"/>
                <w:w w:val="86"/>
              </w:rPr>
              <w:t>Commission file number:</w:t>
            </w:r>
          </w:p>
        </w:tc>
        <w:tc>
          <w:tcPr>
            <w:tcW w:w="8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214630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74-2961657</w:t>
            </w:r>
          </w:p>
        </w:tc>
      </w:tr>
      <w:tr>
        <w:trPr>
          <w:trHeight w:val="149"/>
        </w:trPr>
        <w:tc>
          <w:tcPr>
            <w:tcW w:w="6860" w:type="dxa"/>
            <w:vAlign w:val="bottom"/>
          </w:tcPr>
          <w:p>
            <w:pPr>
              <w:jc w:val="center"/>
              <w:ind w:right="358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860" w:type="dxa"/>
            <w:vAlign w:val="bottom"/>
          </w:tcPr>
          <w:p>
            <w:pPr>
              <w:jc w:val="center"/>
              <w:ind w:left="1965"/>
              <w:spacing w:after="0"/>
              <w:rPr>
                <w:sz w:val="20"/>
                <w:szCs w:val="20"/>
                <w:color w:val="auto"/>
              </w:rPr>
            </w:pPr>
            <w:r>
              <w:rPr>
                <w:rFonts w:ascii="Arial" w:cs="Arial" w:eastAsia="Arial" w:hAnsi="Arial"/>
                <w:sz w:val="18"/>
                <w:szCs w:val="18"/>
                <w:b w:val="1"/>
                <w:bCs w:val="1"/>
                <w:color w:val="auto"/>
                <w:w w:val="89"/>
              </w:rPr>
              <w:t>(512) 836-6464</w:t>
            </w:r>
          </w:p>
        </w:tc>
        <w:tc>
          <w:tcPr>
            <w:tcW w:w="1100" w:type="dxa"/>
            <w:vAlign w:val="bottom"/>
          </w:tcPr>
          <w:p>
            <w:pPr>
              <w:spacing w:after="0"/>
              <w:rPr>
                <w:sz w:val="24"/>
                <w:szCs w:val="24"/>
                <w:color w:val="auto"/>
              </w:rPr>
            </w:pPr>
          </w:p>
        </w:tc>
      </w:tr>
      <w:tr>
        <w:trPr>
          <w:trHeight w:val="174"/>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513"/>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spacing w:after="0" w:line="207" w:lineRule="exact"/>
        <w:tabs>
          <w:tab w:leader="none" w:pos="2060" w:val="left"/>
          <w:tab w:leader="none" w:pos="37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6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04"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APPLICABLE ONLY TO CORPORATE ISSUERS:</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5" w:lineRule="exact"/>
        <w:rPr>
          <w:sz w:val="24"/>
          <w:szCs w:val="24"/>
          <w:color w:val="auto"/>
        </w:rPr>
      </w:pPr>
    </w:p>
    <w:p>
      <w:pPr>
        <w:ind w:left="1380"/>
        <w:spacing w:after="0"/>
        <w:rPr>
          <w:sz w:val="20"/>
          <w:szCs w:val="20"/>
          <w:color w:val="auto"/>
        </w:rPr>
      </w:pPr>
      <w:r>
        <w:rPr>
          <w:rFonts w:ascii="Arial" w:cs="Arial" w:eastAsia="Arial" w:hAnsi="Arial"/>
          <w:sz w:val="16"/>
          <w:szCs w:val="16"/>
          <w:b w:val="1"/>
          <w:bCs w:val="1"/>
          <w:color w:val="auto"/>
        </w:rPr>
        <w:t>The number of shares of common stock, par value of $0.001 per share, outstanding at April 24, 2006 was 49,488,584.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PART I - </w:t>
            </w:r>
            <w:hyperlink w:anchor="page3">
              <w:r>
                <w:rPr>
                  <w:rFonts w:ascii="Arial" w:cs="Arial" w:eastAsia="Arial" w:hAnsi="Arial"/>
                  <w:sz w:val="18"/>
                  <w:szCs w:val="18"/>
                  <w:color w:val="0000EE"/>
                </w:rPr>
                <w:t>FINANCIAL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Consolidated Financial Statements.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3">
              <w:r>
                <w:rPr>
                  <w:rFonts w:ascii="Arial" w:cs="Arial" w:eastAsia="Arial" w:hAnsi="Arial"/>
                  <w:sz w:val="18"/>
                  <w:szCs w:val="18"/>
                  <w:color w:val="0000EE"/>
                </w:rPr>
                <w:t>Management's Discussion and Analysis of Financial Condition and Results of Operations.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2">
              <w:r>
                <w:rPr>
                  <w:rFonts w:ascii="Arial" w:cs="Arial" w:eastAsia="Arial" w:hAnsi="Arial"/>
                  <w:sz w:val="18"/>
                  <w:szCs w:val="18"/>
                  <w:color w:val="0000EE"/>
                </w:rPr>
                <w:t>Quantitative and Qualitative Disclosures about Market Risk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2">
              <w:r>
                <w:rPr>
                  <w:rFonts w:ascii="Arial" w:cs="Arial" w:eastAsia="Arial" w:hAnsi="Arial"/>
                  <w:sz w:val="18"/>
                  <w:szCs w:val="18"/>
                  <w:color w:val="0000EE"/>
                </w:rPr>
                <w:t>Controls and Procedures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PART II – </w:t>
            </w:r>
            <w:hyperlink w:anchor="page23">
              <w:r>
                <w:rPr>
                  <w:rFonts w:ascii="Arial" w:cs="Arial" w:eastAsia="Arial" w:hAnsi="Arial"/>
                  <w:sz w:val="18"/>
                  <w:szCs w:val="18"/>
                  <w:color w:val="0000EE"/>
                </w:rPr>
                <w:t>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23">
              <w:r>
                <w:rPr>
                  <w:rFonts w:ascii="Arial" w:cs="Arial" w:eastAsia="Arial" w:hAnsi="Arial"/>
                  <w:sz w:val="18"/>
                  <w:szCs w:val="18"/>
                  <w:color w:val="0000EE"/>
                </w:rPr>
                <w:t>Legal Proceedings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23">
              <w:r>
                <w:rPr>
                  <w:rFonts w:ascii="Arial" w:cs="Arial" w:eastAsia="Arial" w:hAnsi="Arial"/>
                  <w:sz w:val="18"/>
                  <w:szCs w:val="18"/>
                  <w:color w:val="0000EE"/>
                </w:rPr>
                <w:t>Risk Factors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31">
              <w:r>
                <w:rPr>
                  <w:rFonts w:ascii="Arial" w:cs="Arial" w:eastAsia="Arial" w:hAnsi="Arial"/>
                  <w:sz w:val="18"/>
                  <w:szCs w:val="18"/>
                  <w:color w:val="0000EE"/>
                </w:rPr>
                <w:t>Unregistered Sales of Equity Securities and Use of Proceeds.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3.</w:t>
            </w:r>
          </w:p>
        </w:tc>
        <w:tc>
          <w:tcPr>
            <w:tcW w:w="4300" w:type="dxa"/>
            <w:vAlign w:val="bottom"/>
            <w:tcBorders>
              <w:top w:val="single" w:sz="8" w:color="0000EE"/>
            </w:tcBorders>
            <w:gridSpan w:val="1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422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4.</w:t>
            </w:r>
          </w:p>
        </w:tc>
        <w:tc>
          <w:tcPr>
            <w:tcW w:w="852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Submission of Matters to a Vote of Security Holders.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5.</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Other Information.</w:t>
              </w:r>
            </w:hyperlink>
          </w:p>
        </w:tc>
        <w:tc>
          <w:tcPr>
            <w:tcW w:w="2380" w:type="dxa"/>
            <w:vAlign w:val="bottom"/>
            <w:tcBorders>
              <w:top w:val="single" w:sz="8" w:color="0000EE"/>
            </w:tcBorders>
            <w:gridSpan w:val="5"/>
          </w:tcPr>
          <w:p>
            <w:pPr>
              <w:spacing w:after="0"/>
              <w:rPr>
                <w:sz w:val="24"/>
                <w:szCs w:val="24"/>
                <w:color w:val="auto"/>
              </w:rPr>
            </w:pPr>
          </w:p>
        </w:tc>
        <w:tc>
          <w:tcPr>
            <w:tcW w:w="4800" w:type="dxa"/>
            <w:vAlign w:val="bottom"/>
            <w:gridSpan w:val="4"/>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6.</w:t>
            </w:r>
          </w:p>
        </w:tc>
        <w:tc>
          <w:tcPr>
            <w:tcW w:w="852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83"/>
        </w:trPr>
        <w:tc>
          <w:tcPr>
            <w:tcW w:w="5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gridSpan w:val="2"/>
          </w:tcPr>
          <w:p>
            <w:pPr>
              <w:ind w:left="840"/>
              <w:spacing w:after="0"/>
              <w:rPr>
                <w:sz w:val="20"/>
                <w:szCs w:val="20"/>
                <w:color w:val="auto"/>
              </w:rPr>
            </w:pPr>
            <w:r>
              <w:rPr>
                <w:rFonts w:ascii="Arial" w:cs="Arial" w:eastAsia="Arial" w:hAnsi="Arial"/>
                <w:sz w:val="18"/>
                <w:szCs w:val="18"/>
                <w:color w:val="auto"/>
              </w:rPr>
              <w:t>i</w:t>
            </w:r>
          </w:p>
        </w:tc>
        <w:tc>
          <w:tcPr>
            <w:tcW w:w="2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7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24,751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6,207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45,780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7,359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 in marketable securities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56,286</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1,907</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compensation</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237,254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(186,738)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(180,689)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10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56,286</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2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5,137</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0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5,713</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323"/>
        </w:trPr>
        <w:tc>
          <w:tcPr>
            <w:tcW w:w="7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2,659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1,494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0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6,378</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(6,522)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(6,156)</w:t>
            </w:r>
          </w:p>
        </w:tc>
        <w:tc>
          <w:tcPr>
            <w:tcW w:w="0" w:type="dxa"/>
            <w:vAlign w:val="bottom"/>
          </w:tcPr>
          <w:p>
            <w:pPr>
              <w:spacing w:after="0"/>
              <w:rPr>
                <w:sz w:val="1"/>
                <w:szCs w:val="1"/>
                <w:color w:val="auto"/>
              </w:rPr>
            </w:pPr>
          </w:p>
        </w:tc>
      </w:tr>
      <w:tr>
        <w:trPr>
          <w:trHeight w:val="322"/>
        </w:trPr>
        <w:tc>
          <w:tcPr>
            <w:tcW w:w="74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Other income (expense)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(6,049)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(5,327)</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&amp; diluted</w:t>
            </w: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20" w:type="dxa"/>
            <w:vAlign w:val="bottom"/>
            <w:gridSpan w:val="2"/>
            <w:vMerge w:val="continue"/>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49,183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2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(6,049)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Change in unrealized loss on investments in marketable securities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(6,133)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201"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9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3"/>
              <w:spacing w:after="0" w:line="143"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$(6,049)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5"/>
              </w:rPr>
              <w:t>$ (5,327)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Accretion of premium/discount on marketable securities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Change in market value of investments rights</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860"/>
              <w:spacing w:after="0"/>
              <w:rPr>
                <w:sz w:val="20"/>
                <w:szCs w:val="20"/>
                <w:color w:val="auto"/>
              </w:rPr>
            </w:pPr>
            <w:r>
              <w:rPr>
                <w:rFonts w:ascii="Arial" w:cs="Arial" w:eastAsia="Arial" w:hAnsi="Arial"/>
                <w:sz w:val="18"/>
                <w:szCs w:val="18"/>
                <w:color w:val="auto"/>
              </w:rPr>
              <w:t>Accounts receivable, net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(438)</w:t>
            </w:r>
          </w:p>
        </w:tc>
        <w:tc>
          <w:tcPr>
            <w:tcW w:w="580" w:type="dxa"/>
            <w:vAlign w:val="bottom"/>
          </w:tcPr>
          <w:p>
            <w:pPr>
              <w:jc w:val="right"/>
              <w:spacing w:after="0"/>
              <w:rPr>
                <w:sz w:val="20"/>
                <w:szCs w:val="20"/>
                <w:color w:val="auto"/>
              </w:rPr>
            </w:pPr>
            <w:r>
              <w:rPr>
                <w:rFonts w:ascii="Arial" w:cs="Arial" w:eastAsia="Arial" w:hAnsi="Arial"/>
                <w:sz w:val="18"/>
                <w:szCs w:val="18"/>
                <w:color w:val="auto"/>
              </w:rPr>
              <w:t>1,803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(272)</w:t>
            </w: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94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(6,204)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(2,132)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Sales/maturities of marketable securities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1"/>
        </w:trPr>
        <w:tc>
          <w:tcPr>
            <w:tcW w:w="9940" w:type="dxa"/>
            <w:vAlign w:val="bottom"/>
            <w:gridSpan w:val="2"/>
          </w:tcPr>
          <w:p>
            <w:pPr>
              <w:spacing w:after="0"/>
              <w:rPr>
                <w:sz w:val="20"/>
                <w:szCs w:val="20"/>
                <w:color w:val="auto"/>
              </w:rPr>
            </w:pPr>
            <w:r>
              <w:rPr>
                <w:rFonts w:ascii="Arial" w:cs="Arial" w:eastAsia="Arial" w:hAnsi="Arial"/>
                <w:sz w:val="18"/>
                <w:szCs w:val="18"/>
                <w:color w:val="auto"/>
              </w:rPr>
              <w:t>Net cash provided by investing activities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6,318</w:t>
            </w:r>
          </w:p>
        </w:tc>
        <w:tc>
          <w:tcPr>
            <w:tcW w:w="3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Net proceeds from issuance of common stock</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940" w:type="dxa"/>
            <w:vAlign w:val="bottom"/>
            <w:gridSpan w:val="2"/>
          </w:tcPr>
          <w:p>
            <w:pPr>
              <w:spacing w:after="0"/>
              <w:rPr>
                <w:sz w:val="20"/>
                <w:szCs w:val="20"/>
                <w:color w:val="auto"/>
              </w:rPr>
            </w:pPr>
            <w:r>
              <w:rPr>
                <w:rFonts w:ascii="Arial" w:cs="Arial" w:eastAsia="Arial" w:hAnsi="Arial"/>
                <w:sz w:val="18"/>
                <w:szCs w:val="18"/>
                <w:color w:val="auto"/>
              </w:rPr>
              <w:t>Change in cash and cash equivalents</w:t>
            </w:r>
          </w:p>
        </w:tc>
        <w:tc>
          <w:tcPr>
            <w:tcW w:w="540" w:type="dxa"/>
            <w:vAlign w:val="bottom"/>
          </w:tcPr>
          <w:p>
            <w:pPr>
              <w:jc w:val="right"/>
              <w:spacing w:after="0"/>
              <w:rPr>
                <w:sz w:val="20"/>
                <w:szCs w:val="20"/>
                <w:color w:val="auto"/>
              </w:rPr>
            </w:pPr>
            <w:r>
              <w:rPr>
                <w:rFonts w:ascii="Arial" w:cs="Arial" w:eastAsia="Arial" w:hAnsi="Arial"/>
                <w:sz w:val="18"/>
                <w:szCs w:val="18"/>
                <w:color w:val="auto"/>
              </w:rPr>
              <w:t>1,653</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$ 9,243</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9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Active Power, Inc. and its subsidiaries (hereinafter referred to as “we”, “Active Power” or the “Company”) design manufacture and</w:t>
      </w:r>
      <w:r>
        <w:rPr>
          <w:rFonts w:ascii="Arial" w:cs="Arial" w:eastAsia="Arial" w:hAnsi="Arial"/>
          <w:sz w:val="16"/>
          <w:szCs w:val="16"/>
          <w:b w:val="1"/>
          <w:bCs w:val="1"/>
          <w:color w:val="auto"/>
        </w:rPr>
        <w:t xml:space="preserve"> </w:t>
      </w:r>
      <w:r>
        <w:rPr>
          <w:rFonts w:ascii="Arial" w:cs="Arial" w:eastAsia="Arial" w:hAnsi="Arial"/>
          <w:sz w:val="16"/>
          <w:szCs w:val="16"/>
          <w:color w:val="auto"/>
        </w:rPr>
        <w:t>market power quality products to provide the consistent, reliable electric power required by customers during electric utility outages. We offer a range of flywheel energy storage systems that provide highly reliable, low-cost and non-toxic replacement for lead-acid batteries used in conventional power quality installations.</w:t>
      </w:r>
    </w:p>
    <w:p>
      <w:pPr>
        <w:spacing w:after="0" w:line="1"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We have recently broadened our product offerings by developing a battery-free extended runtime technology that utilizes thermal and compressed air storage to provide backup power for minutes to hours depending on the application and that will come to market in 2006. We sell our products globally through direct and Original Equipment Manufacturer (“OEM”) channels. Our current principal markets are North America and Europe, Middle East and Africa (“EMEA”).</w:t>
      </w:r>
    </w:p>
    <w:p>
      <w:pPr>
        <w:spacing w:after="0" w:line="10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and include the accounts of the Company and its consolidated subsidiaries. In the opinion of management, the accompanying unaudited condensed consolidated financial statements contain all adjustments necessary to present fairly the consolidated financial position of the Company and its consolidated results of operations and cash flows. These interim financial statements should be read in conjunction with the financial statements and accompanying notes included in the Company’s Annual Report on Form 10-K for the year ended December 31, 2005.</w:t>
      </w:r>
    </w:p>
    <w:p>
      <w:pPr>
        <w:spacing w:after="0" w:line="110"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Recently issued accounting standards</w:t>
      </w:r>
      <w:r>
        <w:rPr>
          <w:rFonts w:ascii="Arial" w:cs="Arial" w:eastAsia="Arial" w:hAnsi="Arial"/>
          <w:sz w:val="16"/>
          <w:szCs w:val="16"/>
          <w:color w:val="auto"/>
        </w:rPr>
        <w:t>: In May 2005, the Financial Accounting Standards Board (“FASB”) issued Statement of Financial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Standard (“SFAS”) No. 154,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xml:space="preserve"> SFAS No.154 changes the requirements for the accounting for and reporting of a change in accounting principle. We are required to adopt SFAS No.154 for accounting changes and error corrections that occur after the beginning of 2006. Our results of operations and financial condition will only be impacted following the adoption of SFAS No.154 if it implements changes in accounting principles that are addressed by the standards or corrects accounting errors in future periods.</w:t>
      </w:r>
    </w:p>
    <w:p>
      <w:pPr>
        <w:spacing w:after="0" w:line="11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March 2005 the FASB issued FASB Interpretation No. 47, </w:t>
      </w:r>
      <w:r>
        <w:rPr>
          <w:rFonts w:ascii="Arial" w:cs="Arial" w:eastAsia="Arial" w:hAnsi="Arial"/>
          <w:sz w:val="16"/>
          <w:szCs w:val="16"/>
          <w:i w:val="1"/>
          <w:iCs w:val="1"/>
          <w:color w:val="auto"/>
        </w:rPr>
        <w:t>Accounting for Conditional Asset Retirement Obligations</w:t>
      </w:r>
      <w:r>
        <w:rPr>
          <w:rFonts w:ascii="Arial" w:cs="Arial" w:eastAsia="Arial" w:hAnsi="Arial"/>
          <w:sz w:val="16"/>
          <w:szCs w:val="16"/>
          <w:color w:val="auto"/>
        </w:rPr>
        <w:t xml:space="preserve"> (“FIN 47”)</w:t>
      </w:r>
      <w:r>
        <w:rPr>
          <w:rFonts w:ascii="Arial" w:cs="Arial" w:eastAsia="Arial" w:hAnsi="Arial"/>
          <w:sz w:val="16"/>
          <w:szCs w:val="16"/>
          <w:i w:val="1"/>
          <w:iCs w:val="1"/>
          <w:color w:val="auto"/>
        </w:rPr>
        <w:t>.</w:t>
      </w:r>
      <w:r>
        <w:rPr>
          <w:rFonts w:ascii="Arial" w:cs="Arial" w:eastAsia="Arial" w:hAnsi="Arial"/>
          <w:sz w:val="16"/>
          <w:szCs w:val="16"/>
          <w:color w:val="auto"/>
        </w:rPr>
        <w:t xml:space="preserve"> FIN 47 requires a company to recognize a liability for the fair value of a conditional asset retirement obligation if the fair value of the liability can be reasonably recognized. A conditional asset retirement obligation refers to a legal obligation to perform an asset retirement activity, such as restoring a facility to its original condition, and where the timing and method of settlement are contingent upon a future event, that may or may not be beyond the company’s control. This liability should be recognized when incurred; typically upon acquisition or entering into a lease. FIN 47 provides guidance as to when suitable information exists to enable a company to determine its liability for a contingent asset retirement obligation. If insufficient information exists to enable a company to measure the liability when incurred, it shall recognize a liability in the period when sufficient information becomes available to estimate its fair value. FIN 47 is effective for fiscal years ending after December 15, 2005. The Company is currently assessing the financial impact of adopting FIN 47 and is obtaining the information necessary to make a determination of the financial impact of adoption.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Effective the beginning of 2006, we adopted SFAS No.123(R),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Share-Based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elected to adopt the modified prospective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method. Accordingly, stock-based compensation cost is measured at the grant date, based on the fair value of the award, and is recognized as an expense over the requisite service period. For stock awards granted in 2006, expenses are amortized under the straight-line attribution method. For stock awards granted prior to 2006, expenses are amortized under the single option method prescribed by FASB Interpretation No.28. Previously reported amounts have not been restated. See note 2.</w:t>
      </w:r>
    </w:p>
    <w:p>
      <w:pPr>
        <w:spacing w:after="0" w:line="220" w:lineRule="exact"/>
        <w:rPr>
          <w:sz w:val="20"/>
          <w:szCs w:val="20"/>
          <w:color w:val="auto"/>
        </w:rPr>
      </w:pPr>
    </w:p>
    <w:p>
      <w:pPr>
        <w:ind w:right="812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 Receivables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receivables consist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75"/>
        </w:trPr>
        <w:tc>
          <w:tcPr>
            <w:tcW w:w="7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2006</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7,316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(1,109)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(1,342)</w:t>
            </w:r>
          </w:p>
        </w:tc>
      </w:tr>
      <w:tr>
        <w:trPr>
          <w:trHeight w:val="27"/>
        </w:trPr>
        <w:tc>
          <w:tcPr>
            <w:tcW w:w="7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6,207</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60" w:type="dxa"/>
            <w:vAlign w:val="bottom"/>
            <w:shd w:val="clear" w:color="auto" w:fill="CCEEFF"/>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state inventories at the lower of cost or market, using the first-in-first-out-method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18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obsolescence</w:t>
            </w:r>
          </w:p>
        </w:tc>
        <w:tc>
          <w:tcPr>
            <w:tcW w:w="3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0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3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20" w:type="dxa"/>
            <w:vAlign w:val="bottom"/>
            <w:gridSpan w:val="2"/>
            <w:vMerge w:val="continue"/>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20" w:type="dxa"/>
            <w:vAlign w:val="bottom"/>
            <w:gridSpan w:val="2"/>
          </w:tcPr>
          <w:p>
            <w:pPr>
              <w:ind w:left="460"/>
              <w:spacing w:after="0"/>
              <w:rPr>
                <w:sz w:val="20"/>
                <w:szCs w:val="20"/>
                <w:color w:val="auto"/>
              </w:rPr>
            </w:pPr>
            <w:r>
              <w:rPr>
                <w:rFonts w:ascii="Arial" w:cs="Arial" w:eastAsia="Arial" w:hAnsi="Arial"/>
                <w:sz w:val="18"/>
                <w:szCs w:val="18"/>
                <w:color w:val="auto"/>
                <w:w w:val="96"/>
              </w:rPr>
              <w:t>Property and equipment consist of the following (in thousands):</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9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2"/>
              </w:rPr>
              <w:t>March 31,</w:t>
            </w:r>
          </w:p>
        </w:tc>
        <w:tc>
          <w:tcPr>
            <w:tcW w:w="2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Computers and software</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2,432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Demonstration units</w:t>
            </w:r>
          </w:p>
        </w:tc>
        <w:tc>
          <w:tcPr>
            <w:tcW w:w="3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0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19,143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w w:val="86"/>
              </w:rPr>
              <w:t>(11,784)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(11,273)</w:t>
            </w:r>
          </w:p>
        </w:tc>
        <w:tc>
          <w:tcPr>
            <w:tcW w:w="0" w:type="dxa"/>
            <w:vAlign w:val="bottom"/>
          </w:tcPr>
          <w:p>
            <w:pPr>
              <w:spacing w:after="0"/>
              <w:rPr>
                <w:sz w:val="1"/>
                <w:szCs w:val="1"/>
                <w:color w:val="auto"/>
              </w:rPr>
            </w:pPr>
          </w:p>
        </w:tc>
      </w:tr>
      <w:tr>
        <w:trPr>
          <w:trHeight w:val="28"/>
        </w:trPr>
        <w:tc>
          <w:tcPr>
            <w:tcW w:w="9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7,359</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080" w:type="dxa"/>
            <w:vAlign w:val="bottom"/>
            <w:vMerge w:val="restart"/>
          </w:tcPr>
          <w:p>
            <w:pPr>
              <w:jc w:val="right"/>
              <w:ind w:right="255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r>
      <w:tr>
        <w:trPr>
          <w:trHeight w:val="175"/>
        </w:trPr>
        <w:tc>
          <w:tcPr>
            <w:tcW w:w="7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2006</w:t>
            </w:r>
          </w:p>
        </w:tc>
        <w:tc>
          <w:tcPr>
            <w:tcW w:w="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Warranty liability</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State, property and sales taxes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2"/>
        </w:trPr>
        <w:tc>
          <w:tcPr>
            <w:tcW w:w="75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3,508</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w:t>
            </w:r>
          </w:p>
        </w:tc>
      </w:tr>
      <w:tr>
        <w:trPr>
          <w:trHeight w:val="20"/>
        </w:trPr>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Liability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We provide for the estimated cost of product warranties at the time revenue is recognized and this accrual is contained in accrued expenses on the accompanying balance sheet.</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Changes in our warranty liability are presented in the following table (in thousands):</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$ 644</w:t>
            </w:r>
          </w:p>
        </w:tc>
        <w:tc>
          <w:tcPr>
            <w:tcW w:w="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100" w:type="dxa"/>
            <w:vAlign w:val="bottom"/>
          </w:tcPr>
          <w:p>
            <w:pPr>
              <w:ind w:left="440"/>
              <w:spacing w:after="0"/>
              <w:rPr>
                <w:sz w:val="20"/>
                <w:szCs w:val="20"/>
                <w:color w:val="auto"/>
              </w:rPr>
            </w:pPr>
            <w:r>
              <w:rPr>
                <w:rFonts w:ascii="Arial" w:cs="Arial" w:eastAsia="Arial" w:hAnsi="Arial"/>
                <w:sz w:val="18"/>
                <w:szCs w:val="18"/>
                <w:color w:val="auto"/>
              </w:rPr>
              <w:t>Warranty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charges incurred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2"/>
        </w:trPr>
        <w:tc>
          <w:tcPr>
            <w:tcW w:w="46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Balance at March 31, 2006</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$ 613</w:t>
            </w:r>
          </w:p>
        </w:tc>
        <w:tc>
          <w:tcPr>
            <w:tcW w:w="6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Between March 2002 and October 2004, Active Power and Joseph Pinkerton, our Chairman and Chief Executive Officer, were parties to a lawsuit with Magnex Corporation and other plaintiffs alleging breach of a joint venture agreement, misappropriation of trade secrets and other torts. As disclosed in our 2004 Annual Report on Form 10-K, this litigation was settled in October 2004 with the Company paying $5.08 million in settlement expense in 2004. The plaintiffs dismissed their claims and provided a covenant not to sue the defendants in the future. The plaintiffs further agreed to transfer, assign and otherwise release to the defendants all rights to certain technology involved in the lawsuit,</w:t>
      </w:r>
    </w:p>
    <w:p>
      <w:pPr>
        <w:spacing w:after="0" w:line="14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On July 16, 2004 we filed a lawsuit against Greenwich Insurance Company seeking coverage under an insurance policy providing for management liability and company reimbursement coverage for certain of our and our CEO, Joe Pinkerton’s, expenses and damages related to the Magnex litigation described above.</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case seeks a declaratory judgment that we are entitled to coverage under our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In the event of any recovery in this action, we would retain an amount equal to our legal expenses related to this Greenwich Insurance litigation. Any additional recovery up to $1.22 million shall next be paid to Mr. Pinkerton as reimbursement for his settlement expense and other costs related to the Magnex lawsuit. Any recovery beyond this amount would be retained by us.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April 11, 2006 the Court denied Greenwich’s motion for summary judgment in part, and we anticipate a trial date in November 2006. Discovery in the case is ongoing.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of March 31, 2006, we had 7,591,080 shares of common stock reserved for issuance under our 2000 stock plan, of which 6,703,408 were subject to outstanding options and 887,672 were available for future grants of stock awards. Options are subject to terms and conditions as determined by our Board of Directors. In February 2006, we cancelled our Stock Purchase Plan.</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Our stock options are generally immediately exercisable and vest quarterly over four years beginning from the date of grant.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options typically cliff vest one year from the grant date. The exercise price, term and other conditions applicable to each stock option granted are generally determined by the Compensation Committee of our Board of Directors. The exercise price of each award is set on the grant date and is typically set at the fair market value per share of our stock on that date. All options expire after 10 years. Unexercised options are cancelled 90 days after termination and unvested options are cancelled on the date of employee termination and become available under the Plan for future grants.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activity for the first three months of 2006 is summarized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1"/>
              </w:rPr>
              <w:t>Weighted</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w w:val="81"/>
              </w:rPr>
              <w:t>average exercise</w:t>
            </w: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Number of Shares</w:t>
            </w:r>
          </w:p>
        </w:tc>
        <w:tc>
          <w:tcPr>
            <w:tcW w:w="380" w:type="dxa"/>
            <w:vAlign w:val="bottom"/>
          </w:tcPr>
          <w:p>
            <w:pPr>
              <w:spacing w:after="0"/>
              <w:rPr>
                <w:sz w:val="15"/>
                <w:szCs w:val="15"/>
                <w:color w:val="auto"/>
              </w:rPr>
            </w:pPr>
          </w:p>
        </w:tc>
        <w:tc>
          <w:tcPr>
            <w:tcW w:w="17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7"/>
              </w:rPr>
              <w:t>price per share</w:t>
            </w: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contractual life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exercisable – Dec. 31, 2005</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6,277,316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4.55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1,138,500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4.11</w:t>
            </w:r>
          </w:p>
        </w:tc>
        <w:tc>
          <w:tcPr>
            <w:tcW w:w="1040" w:type="dxa"/>
            <w:vAlign w:val="bottom"/>
          </w:tcPr>
          <w:p>
            <w:pPr>
              <w:jc w:val="right"/>
              <w:spacing w:after="0"/>
              <w:rPr>
                <w:sz w:val="20"/>
                <w:szCs w:val="20"/>
                <w:color w:val="auto"/>
              </w:rPr>
            </w:pPr>
            <w:r>
              <w:rPr>
                <w:rFonts w:ascii="Arial" w:cs="Arial" w:eastAsia="Arial" w:hAnsi="Arial"/>
                <w:sz w:val="18"/>
                <w:szCs w:val="18"/>
                <w:color w:val="auto"/>
              </w:rPr>
              <w:t>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(508,950)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2.50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Cancelled or expired</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(203,458)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8.66</w:t>
            </w:r>
          </w:p>
        </w:tc>
        <w:tc>
          <w:tcPr>
            <w:tcW w:w="1040" w:type="dxa"/>
            <w:vAlign w:val="bottom"/>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exercisable – March 31, 2006</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6,703,408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4.51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weighted average fair value of options granted during the three-month period ending March 31, 2006 was $2.60. The total intrinsic value of options (which is the amount by which the stock price exceeded the exercise price of the options at the date of exercise) exercised during the three months ended March 31, 2006 was $914,000. The aggregate intrinsic value of outstanding and exercisable options at March 31, 2006 was $10.7 million. During the three months ended March 31, 2006, the amount of cash received from the exercise of options was $1.2 million.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our non-vested options for the three months ended March 31, 2006 are summarized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Number of Shares</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Non-vested – December 31, 2005</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3,126,099</w:t>
            </w: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1,138,500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(472,323)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Cancelled</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(82,377)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Non-vested – March 31, 2006</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3,709,899</w:t>
            </w: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As of March 31, 2006 there was $7.1 million of total unrecognized compensation cost, related to non-vested stock options, that is expected to be recognized over a weighted-average vesting period of 1.71 years. The total fair value of options vested during the three months ended March 31, 2006 was $926,000.</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are based on implied and historical volatilities. The expected life of options granted is based on historical experience and on the terms and conditions of the options. The risk-free rates are based on the U.S. Treasury yield in effect at the time of grant. Assumptions used in the Black-Scholes model are presented below:</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55"/>
        </w:trPr>
        <w:tc>
          <w:tcPr>
            <w:tcW w:w="8200" w:type="dxa"/>
            <w:vAlign w:val="bottom"/>
            <w:vMerge w:val="continue"/>
          </w:tcPr>
          <w:p>
            <w:pPr>
              <w:spacing w:after="0"/>
              <w:rPr>
                <w:sz w:val="13"/>
                <w:szCs w:val="13"/>
                <w:color w:val="auto"/>
              </w:rPr>
            </w:pPr>
          </w:p>
        </w:tc>
        <w:tc>
          <w:tcPr>
            <w:tcW w:w="1240" w:type="dxa"/>
            <w:vAlign w:val="bottom"/>
            <w:gridSpan w:val="2"/>
          </w:tcPr>
          <w:p>
            <w:pPr>
              <w:jc w:val="right"/>
              <w:ind w:right="92"/>
              <w:spacing w:after="0" w:line="148"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Plans:</w:t>
            </w:r>
          </w:p>
        </w:tc>
        <w:tc>
          <w:tcPr>
            <w:tcW w:w="6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40"/>
              <w:spacing w:after="0"/>
              <w:rPr>
                <w:sz w:val="20"/>
                <w:szCs w:val="20"/>
                <w:color w:val="auto"/>
              </w:rPr>
            </w:pPr>
            <w:r>
              <w:rPr>
                <w:rFonts w:ascii="Arial" w:cs="Arial" w:eastAsia="Arial" w:hAnsi="Arial"/>
                <w:sz w:val="18"/>
                <w:szCs w:val="18"/>
                <w:color w:val="auto"/>
              </w:rPr>
              <w:t>Average expected life in years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16"/>
        </w:trPr>
        <w:tc>
          <w:tcPr>
            <w:tcW w:w="8200" w:type="dxa"/>
            <w:vAlign w:val="bottom"/>
          </w:tcPr>
          <w:p>
            <w:pPr>
              <w:ind w:left="440"/>
              <w:spacing w:after="0"/>
              <w:rPr>
                <w:sz w:val="20"/>
                <w:szCs w:val="20"/>
                <w:color w:val="auto"/>
              </w:rPr>
            </w:pPr>
            <w:r>
              <w:rPr>
                <w:rFonts w:ascii="Arial" w:cs="Arial" w:eastAsia="Arial" w:hAnsi="Arial"/>
                <w:sz w:val="18"/>
                <w:szCs w:val="18"/>
                <w:color w:val="auto"/>
              </w:rPr>
              <w:t>Weighted average risk-free interest rate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forfeitures</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and requires the input of subjective assumptions, including the expected stock price volatility and estimated option life. For purposes of this valuation model, no dividends have been assumed.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As of March 31, 2006 there were 100,000 shares of restricted stock outstanding, of which 50,000 were performance-based stock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service-based restricted stock awards, restrictions lapse on the one-year anniversary of the grant date. For the performance-based restricted stock awards, vesting is contingent upon meeting certain performance goals during 2006.</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There were no grants or cancellation of restricted stock during the three-months ended March 31, 2006. The fair value and compensation expense for restricted stock was determined before implementation of SFAS No. 123(R). Compensation expense for the three months ended March 31, 2006 for restricted stock was $85,000 and is included in general and administrative expense. As of March 31, 2006 there was $208,000 of total unrecognized compensation cost, related to non-vested restricted stock awards, that is expected to be recognized over the remainder of 2006.</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Stock-Based Compensation Expense</w:t>
      </w:r>
      <w:r>
        <w:rPr>
          <w:rFonts w:ascii="Arial" w:cs="Arial" w:eastAsia="Arial" w:hAnsi="Arial"/>
          <w:sz w:val="18"/>
          <w:szCs w:val="18"/>
          <w:color w:val="auto"/>
        </w:rPr>
        <w:t>: Total compensation costs relating to our stock plans in the three-months ended March 31, 2006 was $857,000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the following:</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4"/>
              </w:rPr>
              <w:t>Three months ended</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216"/>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Cost of product revenue</w:t>
            </w:r>
          </w:p>
        </w:tc>
        <w:tc>
          <w:tcPr>
            <w:tcW w:w="4320" w:type="dxa"/>
            <w:vAlign w:val="bottom"/>
            <w:gridSpan w:val="2"/>
          </w:tcPr>
          <w:p>
            <w:pPr>
              <w:ind w:left="4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111,000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 and spares revenue</w:t>
            </w: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222,000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and marketing</w:t>
            </w: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23"/>
        </w:trPr>
        <w:tc>
          <w:tcPr>
            <w:tcW w:w="426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4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857,000</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w w:val="98"/>
              </w:rPr>
              <w:t>Stock-based compensation expense by type of award:</w:t>
            </w:r>
          </w:p>
        </w:tc>
        <w:tc>
          <w:tcPr>
            <w:tcW w:w="4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60" w:type="dxa"/>
            <w:vAlign w:val="bottom"/>
            <w:vMerge w:val="continue"/>
          </w:tcPr>
          <w:p>
            <w:pPr>
              <w:spacing w:after="0"/>
              <w:rPr>
                <w:sz w:val="18"/>
                <w:szCs w:val="18"/>
                <w:color w:val="auto"/>
              </w:rPr>
            </w:pP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432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w:t>
            </w: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Stock purchase plan</w:t>
            </w: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177,000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stock awards</w:t>
            </w:r>
          </w:p>
        </w:tc>
        <w:tc>
          <w:tcPr>
            <w:tcW w:w="4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4320" w:type="dxa"/>
            <w:vAlign w:val="bottom"/>
            <w:gridSpan w:val="2"/>
          </w:tcPr>
          <w:p>
            <w:pPr>
              <w:ind w:left="4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857,000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140" w:type="dxa"/>
            <w:vAlign w:val="bottom"/>
            <w:vMerge w:val="restart"/>
          </w:tcPr>
          <w:p>
            <w:pPr>
              <w:ind w:left="50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Stock-based compensation expense of $4,000 was capitalized and remained in inventory at the end of March 2006. As of March 31, 2006, $7.3 million of total unrecognized compensation costs related to non-vested awards that is expected to be recognized over a weighted average period of 1.67 years.</w:t>
      </w:r>
    </w:p>
    <w:p>
      <w:pPr>
        <w:spacing w:after="0" w:line="85"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 xml:space="preserve">Through 2005, we accounted for our stock plans using the intrinsic value method prescribed by APB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Employees, </w:t>
      </w:r>
      <w:r>
        <w:rPr>
          <w:rFonts w:ascii="Arial" w:cs="Arial" w:eastAsia="Arial" w:hAnsi="Arial"/>
          <w:sz w:val="16"/>
          <w:szCs w:val="16"/>
          <w:color w:val="auto"/>
        </w:rPr>
        <w:t>and related interpretations and provided the required pro forma income and per share data as if a fair value method had been used to account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for the three months ended March 31, 2005 (in thousands, except per share amounts):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7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08"/>
        </w:trPr>
        <w:tc>
          <w:tcPr>
            <w:tcW w:w="7700" w:type="dxa"/>
            <w:vAlign w:val="bottom"/>
          </w:tcPr>
          <w:p>
            <w:pPr>
              <w:spacing w:after="0"/>
              <w:rPr>
                <w:sz w:val="20"/>
                <w:szCs w:val="20"/>
                <w:color w:val="auto"/>
              </w:rPr>
            </w:pPr>
            <w:r>
              <w:rPr>
                <w:rFonts w:ascii="Arial" w:cs="Arial" w:eastAsia="Arial" w:hAnsi="Arial"/>
                <w:sz w:val="18"/>
                <w:szCs w:val="18"/>
                <w:color w:val="auto"/>
                <w:w w:val="97"/>
              </w:rPr>
              <w:t>Total stock-based compensation cost, net of related tax effects included in the determination of net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220"/>
              <w:spacing w:after="0"/>
              <w:rPr>
                <w:sz w:val="20"/>
                <w:szCs w:val="20"/>
                <w:color w:val="auto"/>
              </w:rPr>
            </w:pPr>
            <w:r>
              <w:rPr>
                <w:rFonts w:ascii="Arial" w:cs="Arial" w:eastAsia="Arial" w:hAnsi="Arial"/>
                <w:sz w:val="18"/>
                <w:szCs w:val="18"/>
                <w:color w:val="auto"/>
              </w:rPr>
              <w:t>income as reported</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The stock-based employee compensation cost, net of related tax effects, that would have been</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included in the determination of net income if the fair value based method had been applied to all</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awards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Pro forma net loss</w:t>
            </w: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Basic and diluted – as reported</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 – pro forma</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Market Value of Investment Rights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February 2005 in connection with a private placement of common stock to certain investors, we granted the investors certain Additional Investment Rights that entitled the investors to acquire additional shares on the same terms and condition as the private placement. In accordance with the requirements of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the fair value of the Additional Investment Rights was determined at the time of issuance based on the proceeds of the offering and the relative fair values of the securities and the Additional Investment Rights. We used the Black-Scholes valuation model to determine the fair value of the Additional Investment Rights, and accordingly attributed a value of $964,000 to the Additional Investment Rights, which was recorded as additional paid-in capital. Changes in the fair value of the Additional Investment Rights since the date of issuance were required to be reflected in our earnings. The rights were revalued to their market value of $471,000 at March 31, 2005, with the resultant gain of $493,000 recorded as other income during the three-month period ended March 31, 2005.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66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(6,049)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(5,327)</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Basic and diluted:</w:t>
            </w:r>
          </w:p>
        </w:tc>
        <w:tc>
          <w:tcPr>
            <w:tcW w:w="22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of common stock Outstanding</w:t>
            </w:r>
          </w:p>
        </w:tc>
        <w:tc>
          <w:tcPr>
            <w:tcW w:w="2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49,183</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49,183</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46,085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calculation of diluted loss per share excludes 6,703,408 and 5,725,105 shares of common stock issuable upon exercise of employee stock options as of March 31, 2006 and 2005, respectively, because their inclusion in the calculation would be anti-dilutive. As of March 31, 2006 and 2005, there was no common stock subject to repurchase.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to, the financial statements and notes thereto included in Item 1 of this Form 10-Q and the financial statements and notes thereto and our Management’s Discussion and Analysis of Financial Condition and Results of Operation for the year ended December 31, 2005 included in our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in Part II, Item 1A for a discussion of items that may affect our future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customers during electric utility outages. We believe that we are the first company to commercialize a flywheel energy storage system that provides a highly reliable, low-cost and non-toxic replacement for the lead-acid batteries used in conventional power quality installations. Our first commercial product was a battery-free DC system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DC) that is used as a bridging energy source in typical power quality installations and is compatible with all major uninterruptible power supply (UPS) brands. Leveraging our expertise in this technology, we have also developed a battery-free UPS system that incorporates our flywheel technology with a UPS system (CleanSource UPS). The CleanSource UPS is also marketed by Caterpillar Inc. under the brand name “Cat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Between 2003 and 2005, we broadened our product offerings and expanded our available markets by developing additional battery-free UPS systems to address customer needs at both higher and lower power levels. Our family of battery-free UPS products currently ranges from 65 kVA – 1200 kVA. By paralleling our megawatt-class UPS systems together, we currently provide 2400 kVA UPS systems and are able to provide up to 3600 kVA battery-free UPS systems to customers. In addition, we also provide customers with continuous power systems (CPS), which are comprised of our UPS systems, third party ancillary equipment such as engine generators and transfer switches, and installation and start-up services.</w:t>
      </w:r>
    </w:p>
    <w:p>
      <w:pPr>
        <w:spacing w:after="0" w:line="132" w:lineRule="exact"/>
        <w:rPr>
          <w:sz w:val="20"/>
          <w:szCs w:val="20"/>
          <w:color w:val="auto"/>
        </w:rPr>
      </w:pPr>
    </w:p>
    <w:p>
      <w:pPr>
        <w:ind w:right="140" w:firstLine="456"/>
        <w:spacing w:after="0" w:line="261" w:lineRule="auto"/>
        <w:rPr>
          <w:sz w:val="20"/>
          <w:szCs w:val="20"/>
          <w:color w:val="auto"/>
        </w:rPr>
      </w:pPr>
      <w:r>
        <w:rPr>
          <w:rFonts w:ascii="Arial" w:cs="Arial" w:eastAsia="Arial" w:hAnsi="Arial"/>
          <w:sz w:val="17"/>
          <w:szCs w:val="17"/>
          <w:color w:val="auto"/>
        </w:rPr>
        <w:t>During 2004 and 2005 we developed a battery-free extended runtime technology (one that provides backup power for minutes to hours depending on the application) that utilizes thermal and compressed air storage (TACAS). This TACAS technology typically operates at lower power levels than our flywheel products, and is sold as a minute-for-minute DC replacement for lead-acid batteries. This product is being marketed as the CoolAir</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DC. We shipped the first evaluation unit of this extended runtime product in December 2004, and shipped additional evaluation units throughout 2005 before formally launching this product for commercial sale in the fourth quarter of 2005. We recorded our first sale of CoolAir DC in December 2005 and will begin commercial production of CoolAir DC in the first half of 2006. In addition, where customers desire a complete backup solution with an extended runtime, we have introduced the CoolAir UPS that couples our CoolAir DC product with a third-party double-conversion UPS. We entered into a supply arrangement with General Electric in 2005 to provide us with the UPS component of this product.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distribute our products through a variety of channels, including OEMs, independent power quality representatives, manufacturer’s representatives, and through direct sales personnel to maximize market coverage and penetration. Our products are sold for use in the facilities of companies across many different industries that all share a critical need for reliable, high-quality power, such as broadcasters, hospitals, credit card processing centers, semiconductor manufacturers, pharmaceutical manufacturers, plastics manufacturers, data centers and electric utilities. Sales have been spread across many different countries from many regions of the world. Our primary markets are currently North America and Europe, Middle East and Africa (EMEA).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an accounting policy to be critical if:</w:t>
      </w:r>
    </w:p>
    <w:p>
      <w:pPr>
        <w:spacing w:after="0" w:line="90" w:lineRule="exact"/>
        <w:rPr>
          <w:sz w:val="20"/>
          <w:szCs w:val="20"/>
          <w:color w:val="auto"/>
        </w:rPr>
      </w:pPr>
    </w:p>
    <w:p>
      <w:pPr>
        <w:ind w:left="780" w:right="2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accounting estimate requires us to make assumptions about matters that are highly uncertain or require the use of judgment at the time we make that estimate; and</w:t>
      </w:r>
    </w:p>
    <w:p>
      <w:pPr>
        <w:spacing w:after="0" w:line="50" w:lineRule="exact"/>
        <w:rPr>
          <w:rFonts w:ascii="Arial" w:cs="Arial" w:eastAsia="Arial" w:hAnsi="Arial"/>
          <w:sz w:val="18"/>
          <w:szCs w:val="18"/>
          <w:color w:val="auto"/>
        </w:rPr>
      </w:pPr>
    </w:p>
    <w:p>
      <w:pPr>
        <w:ind w:left="780" w:right="420" w:hanging="32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the estimate that are reasonably likely to occur from period to period, or use of different estimates that we could have reasonably used instead in the current period, would have a material impact on our financial condition or results of operations.</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Management has reviewed the development and selection of these critical accounting estimates with the Audit Committee of our Board of Directors, and the Audit Committee has reviewed these disclosures. In addition, there are other items within our financial statements that require estimation, but are not deemed critical as defined above. Changes in these and other items could still have a material impact upon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Trade receivables are recorded at the stated amount, less an allowance for doubtful accounts. The allowance represents estimated uncollectible receivables associated with potential customer defaults on contractual obligations, usually due to the customer’s potential insolvency. The allowance includes amounts for certain customers where a risk of default has been specifically identified. In addition, the allowance includes a provision for customer defaults on a general formula basis when it is determined the risk of some default is probable and estimable, but cannot yet be associated with certain customers. The assessment of the likelihood of customer defaults is based on various factors, including the length of time the receivables are past due, risks unique to particular geographic regions, historical experience and existing economic conditions. Historically, a large portion of our sales were made through OEM channels to a few large customers, and so our credit losses have been minimal. As we integrate additional distribution channels into our business and increase our direct sales to more, and smaller customers, the risk of credit loss may increase. In accordance with this policy, our allowance for doubtful accounts was $1.1 million and $1.3 million at March 31, 2006 and December 31, 2005,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Reserve</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Inventories are priced at the lower of cost (using the first-in-first-out method) or market. We estimate inventory reserves on a quarterly basis and record reserves for obsolescence or slow-moving inventory based on assumptions about future demand and marketability of products, the impact of new product introductions, inventory turns and specific identification of items, such as product discontinuance, damaged goods or engineering/material changes.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estimated warranty liability costs are accrued for each of our products at the time of sale. Our estimates are principally based on assumptions regarding the lifetime warranty costs of each product, including where little or no claims experience may exist. Due to the uncertainty and potential volatility of these estimates, changes in our assumptions could have a material effect on our reported operating results. Our estimate of warranty liability is reevaluated on a quarterly basis. Experience has shown that initial data for a new product can be very volatile due to factors such as product failure rates, material usage and service delivery costs in correcting product failures; therefore our process relies upon long-term historical averages until sufficient data is available. As actual experience becomes available, it is used to modify the historical averages to ensure that the forecast is within the range of likely outcomes. The resulting balances are then compared to current spending rates to ensure that the accruals are adequate to meet expected future obligations.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general, revenue for product sales is recognized when title has transferred to the customer as stipulated by the delivery terms in a sales contract. In addition, prior to revenue recognition we require persuasive written evidence of the arrangement, a fixed or determinable price, and a determination that collectibility is reasonably assured.</w:t>
      </w:r>
    </w:p>
    <w:p>
      <w:pPr>
        <w:spacing w:after="0" w:line="14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Revenue associated with the sale of extended warranties is recognized ratably over the contract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Beginning in 2006, we adopted SFAS No. 123(R) using the modified prospective application method and began accounting for our stock-based compensation using a fair-value based recognition method. Under the provisions of SFAS No. 123(R), stock-based compensation cost is estimated at the grant date based on the fair-value of the 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We develop our estimates based on historical data and market information that can change significantly over time. A small change in the estimates used can have a relatively large change in the estimated valuation.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that were granted after 2005, we recognize compensation expense using the straight-line amortization method.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8"/>
              </w:rPr>
              <w:t>Variance 2006</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Variance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vs. 2005</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months</w:t>
            </w:r>
          </w:p>
        </w:tc>
        <w:tc>
          <w:tcPr>
            <w:tcW w:w="1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to Q4</w:t>
            </w:r>
          </w:p>
        </w:tc>
        <w:tc>
          <w:tcPr>
            <w:tcW w:w="0" w:type="dxa"/>
            <w:vAlign w:val="bottom"/>
          </w:tcPr>
          <w:p>
            <w:pPr>
              <w:spacing w:after="0"/>
              <w:rPr>
                <w:sz w:val="1"/>
                <w:szCs w:val="1"/>
                <w:color w:val="auto"/>
              </w:rPr>
            </w:pPr>
          </w:p>
        </w:tc>
      </w:tr>
      <w:tr>
        <w:trPr>
          <w:trHeight w:val="129"/>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6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4"/>
              </w:rPr>
              <w:t>% of</w:t>
            </w: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6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total</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total</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Dec. 31,</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revenue</w:t>
            </w: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1"/>
              </w:rPr>
              <w:t>revenue</w:t>
            </w:r>
          </w:p>
        </w:tc>
        <w:tc>
          <w:tcPr>
            <w:tcW w:w="50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4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$ 5,044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$ 2,931</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$ 2,113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$ 4,786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6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525</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507</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5,569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Cost of product revenue</w:t>
            </w: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1,892</w:t>
            </w:r>
          </w:p>
        </w:tc>
        <w:tc>
          <w:tcPr>
            <w:tcW w:w="24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5,137</w:t>
            </w:r>
          </w:p>
        </w:tc>
        <w:tc>
          <w:tcPr>
            <w:tcW w:w="4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3,245</w:t>
            </w:r>
          </w:p>
        </w:tc>
        <w:tc>
          <w:tcPr>
            <w:tcW w:w="2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110</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1,924</w:t>
            </w:r>
          </w:p>
        </w:tc>
        <w:tc>
          <w:tcPr>
            <w:tcW w:w="24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5,713</w:t>
            </w:r>
          </w:p>
        </w:tc>
        <w:tc>
          <w:tcPr>
            <w:tcW w:w="4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3,789</w:t>
            </w:r>
          </w:p>
        </w:tc>
        <w:tc>
          <w:tcPr>
            <w:tcW w:w="2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5,138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2,225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2,659</w:t>
            </w: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1,437</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1,222</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(643)</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1280"/>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38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6,378</w:t>
            </w:r>
          </w:p>
        </w:tc>
        <w:tc>
          <w:tcPr>
            <w:tcW w:w="4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5,805</w:t>
            </w:r>
          </w:p>
        </w:tc>
        <w:tc>
          <w:tcPr>
            <w:tcW w:w="2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7,188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(6,522)</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(6,156)</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(7,166)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income</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394</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(100)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288</w:t>
            </w:r>
          </w:p>
        </w:tc>
        <w:tc>
          <w:tcPr>
            <w:tcW w:w="3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(6,049)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(5,327)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 (722)</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Product revenue. </w:t>
      </w:r>
      <w:r>
        <w:rPr>
          <w:rFonts w:ascii="Arial" w:cs="Arial" w:eastAsia="Arial" w:hAnsi="Arial"/>
          <w:sz w:val="18"/>
          <w:szCs w:val="18"/>
          <w:color w:val="auto"/>
        </w:rPr>
        <w:t>Product revenue consists of sales of our CleanSource power quality products, comprising both UPS and DC product lines, and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Continuous Power Systems (CPS) which are comprised of our UPS systems, some combination of third-party ancillary equipment, such as engine generators and switchgear, and installation and start-up services.</w:t>
      </w:r>
    </w:p>
    <w:p>
      <w:pPr>
        <w:spacing w:after="0" w:line="14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increase in product revenue from the same period of 2005 was due to higher sales of our DC and megawatt-class UPS product lines and continued growth from our direct sales channel. When we sell product directly, as compared to through our OEM channels, we typically generate higher prices and better contribution margins as we do not have to offer channel discounts. The average selling price over the first three months of 2006 was $54,000 per quarter-megawatt flywheel, compared to $59,000 over the same period in 2005 due to higher DC sales and OEM deals at lower average prices than our direct sales. A single product, depending on its power rating, may be comprised of multiple flywheel units.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quarter ended March 31, 2006 we sold 91 flywheel units compared to 43 in the comparable period of 2005. This includes a significantly higher number of DC wheels compared to 2005 that typically sell at lower average selling prices than our UPS wheels. Our CPS revenues were 8% of product revenue compared to 14% of product revenue in the comparable period of 2005. CPS revenue is typically tied to higher power system sales and tend to be larger in amount and more infrequent, with longer sales cycles. The frequency and timing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such revenue is more volatile and can result in material changes in period- to-period revenue. The current quarter included $428,000 of CPS revenues from previously announced large transactions.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North American sales were 74% of our total revenue for the three-month period ended March 31, 2006 compared to 62% for the same period of 2005, and 64% in the immediately preceding quarter. This increase is due to several large megawatt-class and DC system sales made in this region during Q1.</w:t>
      </w:r>
    </w:p>
    <w:p>
      <w:pPr>
        <w:spacing w:after="0" w:line="8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During 2005 in an effort to expand the territories in which we sell our Active Power branded products, we began to increase our direct sales organization, particularly in EMEA. We anticipate higher sales from these regions in 2006 as a result of these efforts. Sales of Active Power branded products through our direct and manufacturer’s representative channels were 36% of our total revenues for the three-month period ended March 31, 2006 compared to 38% for the same period of 2005. Direct sales typically have higher profit margins than sales through our OEM channels; therefore, increasing our direct sales channel is expected to result in increased revenue and improved profit margins. We believe sales of our Active Power branded products to government facilities and industrial customers in regions that were not covered by our OEMs will continue to increase over time and will become a larger percentage of our total revenue.</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products perform well in harsh environments where power quality is particularly poor, which makes them a good fit for industrial countries with a poor power infrastructure and therefore we have focused our direct sales efforts to these customers. Due to the large size of some of our customer orders relative to our current total revenue levels, our quarterly total revenue trend and the proportion of sales made directly by us can be expected to fluctuate quarterly from the amounts recorded so far in 2006. Caterpillar remains our largest OEM partner and largest customer, and represented 46% of our product revenue for both the three-month periods ended March 31, 2006 and March 31, 2005. We have had recent success with Caterpillar selling our megawatt-class UPS products along with their large engine generators, and expect total revenue from this channel to increase in 2006. We have also seen and anticipate a further increase in capital spending in data centers where there is a requirement for higher-density power solutions such as flywheels, and believe that this will result in higher product revenue levels for us in 2006.</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Service and spares revenue. </w:t>
      </w:r>
      <w:r>
        <w:rPr>
          <w:rFonts w:ascii="Arial" w:cs="Arial" w:eastAsia="Arial" w:hAnsi="Arial"/>
          <w:sz w:val="16"/>
          <w:szCs w:val="16"/>
          <w:color w:val="auto"/>
        </w:rPr>
        <w:t>Service and spares revenue primarily relates to revenue generated from installation, startup, repairs or reconfigurations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the sale of spare or replacement parts to our OEM and end-user customers. It also includes revenue associated with the costs of travel of our service personnel. Service and spares revenue increased by 4% for the three month period ended March 31, 2006 compared to the same prior year period. We anticipate that service and spares revenue will continue to grow with product revenue and as our installed base of product expands, because as more units are sold to customers, more installation, startup and maintenance services will be required. As sales through our Active Power branded channels increase, these revenues will increase further because our OEM’s would typically provide these services to their end-user customers.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includes the cost of component parts of our products that are sourced from suppliers, personnel,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and other costs associated with our assembly and test operations, including costs from having underutilized facilities, shipping costs, warranty costs, and the costs of manufacturing support functions such as logistics and quality assurance. Cost of product revenue in the quarter ended March 31, 2006 also included $111,000 of stock-based compensation expense following the adoption of Financial Accounting Standard No. 123(R). This had the effect of decreasing our reported gross margin by 2% for the quarter ended March 31, 2006. The cost of product revenue as a percentage of total revenue in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three-month period ended March 31, 2006 decreased compared to the comparable period in 2005 due to improved efficiency in our manufacturing operations and material and overhead costs reductions. We have instituted programs to reduce product and component costs where feasible and this has resulted in a decrease in materials costs as a percentage of product revenue. We continue to operate a manufacturing facility that has a capacity level significantly greater than our current product revenue levels. A large portion of the costs involved in operating our manufacturing facility are fixed in nature and we incur approximately $1.2 million to $1.5 million in unabsorbed overhead each quarter. We reduced our manufacturing staff levels in 2003 and have continued to reduce our overhead levels where feasible. We also continue to work on reducing our product costs. We have achieved gross-margin break-even in three of the last four quarters at revenue levels of between $4.5 million and $5.5 million, however, our accomplishment of gross-margin break even is heavily dependent upon the sales channel mix at this revenue level. Our ability to maintain positive product gross margin will depend on multiple factors, including our ability to continue to reduce material costs, improve our sales channel mix in favor of direct sales versus OEM, and to increase our total revenues to a level that will allow us to improve the utilization of our manufacturing operations.</w:t>
      </w:r>
    </w:p>
    <w:p>
      <w:pPr>
        <w:spacing w:after="0" w:line="12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Items that could impact our ability to further improve our gross margin include sales product volume and mix, pricing discounts and customer incentives, currency fluctuations, and variations in our product cost and productivity.</w:t>
      </w:r>
    </w:p>
    <w:p>
      <w:pPr>
        <w:spacing w:after="0" w:line="132"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Cost of service and spares revenue. </w:t>
      </w:r>
      <w:r>
        <w:rPr>
          <w:rFonts w:ascii="Arial" w:cs="Arial" w:eastAsia="Arial" w:hAnsi="Arial"/>
          <w:sz w:val="16"/>
          <w:szCs w:val="16"/>
          <w:color w:val="auto"/>
        </w:rPr>
        <w:t>Cost of service and spares revenue includes the cost of component parts, as well as labor and overhead of our spare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parts, costs associated with travel and labor used in servicing a unit and unabsorbed overhead from the service group. The cost of service and spares revenue increased slightly in the three-month period ended of March 31, 2006 compared to the same period of 2005. This increase is consistent with the increase in service and spares revenue, however compared to the three-month periods ended March 31, 2005 and December 31, 2005, cost of service and spares revenue gross margin has decreased as we have added more service personnel to support our growing installed base of products.</w:t>
      </w:r>
    </w:p>
    <w:p>
      <w:pPr>
        <w:spacing w:after="0" w:line="116" w:lineRule="exact"/>
        <w:rPr>
          <w:sz w:val="20"/>
          <w:szCs w:val="20"/>
          <w:color w:val="auto"/>
        </w:rPr>
      </w:pPr>
    </w:p>
    <w:p>
      <w:pPr>
        <w:ind w:right="40" w:firstLine="456"/>
        <w:spacing w:after="0" w:line="280"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of employees engaged in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engineering activities, third party consulting and product development activities, as well as an allocated portion of our occupancy costs. Included in research and development expenses is $222,000 of stock-based compensation expense. This expense offset a slight decrease in research and development expenses in the three-month period ended March 31, 2006 compared to the same period in 2005 that was primarily driven by lower headcount. Overall our research and development expenses were approximately the same as in the first quarter of 2005. They decreased by $1.1 million or 33% compared to the immediately preceding quarter due to the absence of impairment charges that were recorded last quarter and from moderation of development and prototyping costs related to the development of our CoolAir</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DC product and from costs incurred in paralleling our CPS products. We believe research and development expenses in the second quarter will stay at similar levels to those recorded in the first quarter.</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expenses primarily comprise compensation and related costs for sales and marketing personnel,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travel, selling and marketing expenses, as well as an allocated portion of our occupancy costs. Included in the selling and marketing expenses this quarter was $190,000 for stock-based compensation expense. Sales and marketing costs increased by $1.2 million or 85% in the quarter ended March 31, 2006 compared to the same period of 2005. The increase in our sales and marketing costs reflect increased headcount to 41 people from 30 a year earlier, as we have expanded our direct sales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support team in EMEA, and increased variable compensation relating to higher sales levels. We have expanded our marketing team since the beginning of 2005 and increased expenditures on marketing and direct sales-support activities as part of an effort to facilitate more direct sales.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General and administrative expense is primarily comprised of compensation and related costs for executive and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personnel, professional fees, and taxes, including sales, property and franchise taxes. Included in general and administrative expenses this quarter was $321,000 of stock-based compensation expense. General and administrative expenses decreased by 30% or $643,000 compared to the same period of 2005. This decrease was due to the absence of sales tax expenses and higher auditing and professional fees recorded in 2005, and the recovery of $236,000 of previously-reserved doubtful accounts during the current quarter. These savings were offset by stock-based compensation expense and higher legal fees in connection with the Greenwich litigation. General and administrative expenses were 21% lower from the immediately prior quarter when we made a $1.2 million allowance for doubtful accounts. We expect general and administrative expenses to be slightly higher in the next quarter.</w:t>
      </w:r>
    </w:p>
    <w:p>
      <w:pPr>
        <w:spacing w:after="0" w:line="118"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has increased slightly from $394,000 to $378,000 in the three-month periods ended March 31, 2006 and 2005,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Higher interest rates have offset the fact that our average cash and investments balance over the three month period ending March 31, 2006 has decreased by approximately $13.1 million or 25% compared to the average balance over the comparable period ending March 31, 2005.</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Gain from change in Market Value of Additional Investment Rights. </w:t>
      </w:r>
      <w:r>
        <w:rPr>
          <w:rFonts w:ascii="Arial" w:cs="Arial" w:eastAsia="Arial" w:hAnsi="Arial"/>
          <w:sz w:val="18"/>
          <w:szCs w:val="18"/>
          <w:color w:val="auto"/>
        </w:rPr>
        <w:t>On February 4, 2005, we completed the private placement of 5,454,510 shares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at a price of $3.64 per share, for an aggregate offering of approximately $19.8 million, to certain purchasers. We also issued Additional Investment Rights to purchase 1,636,353 shares of Common Stock to the Purchasers, at an exercise price per share of $3.64. The Additional Investment Rights were not exercised and expired on August 18, 2005.</w:t>
      </w:r>
    </w:p>
    <w:p>
      <w:pPr>
        <w:spacing w:after="0" w:line="143"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 xml:space="preserve">In accordance with the requirements of SFAS No. 133, </w:t>
      </w:r>
      <w:r>
        <w:rPr>
          <w:rFonts w:ascii="Arial" w:cs="Arial" w:eastAsia="Arial" w:hAnsi="Arial"/>
          <w:sz w:val="15"/>
          <w:szCs w:val="15"/>
          <w:i w:val="1"/>
          <w:iCs w:val="1"/>
          <w:color w:val="auto"/>
        </w:rPr>
        <w:t>Accounting for Derivative Instruments and Hedging Activities</w:t>
      </w:r>
      <w:r>
        <w:rPr>
          <w:rFonts w:ascii="Arial" w:cs="Arial" w:eastAsia="Arial" w:hAnsi="Arial"/>
          <w:sz w:val="15"/>
          <w:szCs w:val="15"/>
          <w:color w:val="auto"/>
        </w:rPr>
        <w:t>, the fair value of the Additional Investment Rights was determined at the time of issuance based on the proceeds of the offering and the relative fair values of the securities and the Additional Investment Rights. We used the Black-Scholes valuation model to determine the fair value of the Additional Investment Right, and accordingly attributed a value of $964,000 to the Additional Investment Rights, which was recorded as additional paid in capital. Changes in the fair value of the Additional Investment Rights since the date of issuance due to fluctuations in the value of our stock were required to be reflected in our earnings. The rights were revalued to their market value of $471,000 at March 31, 2005, with the resultant gain of $493,000 recorded as other income during the three-months ended March 31, 2005. As these investment rights expired in the third quarter of 2005, there was no impact related to the Additional Investment Rights in the three-month period ended March 31, 2006.</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in this quarter included cost recoveries from annual audits of our real estate leases. The 2005 amount included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$84,000 of realized losses on marketable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Our principal sources of liquidity as of March 31, 2006 consisted of $37.0 million of cash and investments. We have primarily funded our operations through a private placement of our common stock in February 2005 that resulted in net proceeds of $18.7 million, our initial public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offering in August 2000, that resulted in net proceeds of $138.4 million, sales of shares of our preferred stock from 1992 to 1999, which have resulted in gross proceeds of approximately $42.6 million, as well as $10.0 million in development funding received from Caterpillar since 1999, and our product revenue.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cash used in operating activities: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6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9"/>
              </w:rPr>
              <w:t>Variance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2006 vs. 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420" w:type="dxa"/>
            <w:vAlign w:val="bottom"/>
            <w:vMerge w:val="continue"/>
          </w:tcPr>
          <w:p>
            <w:pPr>
              <w:spacing w:after="0"/>
              <w:rPr>
                <w:sz w:val="6"/>
                <w:szCs w:val="6"/>
                <w:color w:val="auto"/>
              </w:rPr>
            </w:pPr>
          </w:p>
        </w:tc>
        <w:tc>
          <w:tcPr>
            <w:tcW w:w="560" w:type="dxa"/>
            <w:vAlign w:val="bottom"/>
            <w:vMerge w:val="restart"/>
          </w:tcPr>
          <w:p>
            <w:pPr>
              <w:ind w:left="140"/>
              <w:spacing w:after="0" w:line="143"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6"/>
                <w:szCs w:val="6"/>
                <w:color w:val="auto"/>
              </w:rPr>
            </w:pPr>
          </w:p>
        </w:tc>
        <w:tc>
          <w:tcPr>
            <w:tcW w:w="560" w:type="dxa"/>
            <w:vAlign w:val="bottom"/>
            <w:vMerge w:val="restart"/>
          </w:tcPr>
          <w:p>
            <w:pPr>
              <w:jc w:val="right"/>
              <w:ind w:right="62"/>
              <w:spacing w:after="0" w:line="143"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560" w:type="dxa"/>
            <w:vAlign w:val="bottom"/>
            <w:vMerge w:val="restart"/>
          </w:tcPr>
          <w:p>
            <w:pPr>
              <w:jc w:val="right"/>
              <w:ind w:right="192"/>
              <w:spacing w:after="0" w:line="143"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180" w:type="dxa"/>
            <w:vAlign w:val="bottom"/>
            <w:vMerge w:val="restart"/>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7420" w:type="dxa"/>
            <w:vAlign w:val="bottom"/>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$(6,204)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$(4,763)</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$(1,441)</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Cash used in operating activities increased by 30% compared to the same period of 2005. This is primarily attributable to an increase in our receivables balance resulting from higher revenues. Our revenues are approximately $2.1 million higher at March 2006 compared to March 2005, and a large portion of these revenues were uncollected at the end of the period. Offsetting this use of funds, we were more efficient with our working capital and compared to the prior year invested less funds into inventory and paid down less payables and accrued expenses. Our higher net loss was largely attributable to the $857,000 stock-based compensation charge which is non-cash in nature and did not affect our liquidity. We anticipate cash used in operating activities to increase in the second quarter as we position the Company for future growth by increasing inventories of our CoolAir product as its production and sales volumes increase.</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Investing activities primarily consist of sales and purchases of investments, use of restricted cash and purchases of property and equipment. Fluctuations in the sale and purchase of investments generally reflect our use of these funds to finance our ongoing operations. Capital expenditures were $345,000 in the three-month period ending March 31, 2006 compared to $212,000 in the same period of 2005.</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Funds provided by financing activities during the three-months ended March 31, 2006 reflect proceeds from employee share purchases, including stock option exercises and from the Employee Stock Purchase Plan that we discontinued in February. The significant decrease in funds from financing activities compared to the comparable period of 2005 is due to the fact that during the first quarter of 2005 we completed a private placement of 5,454,510 shares of our common stock that resulted in net proceeds to us of $18.7 million.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our existing cash and investments balances at March 31, 2006 will be sufficient to meet our cash requirements through the next 12 months, although we may elect to seek additional funding prior to that time. Beyond the next 12 months, our cash requirements will depend on many factors, including the rate of sales growth, the market acceptance of our products including the CoolAir DC product family,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May 2005, the Financial Accounting Standards Board (“FASB”) issued Statement of Financial Accounting Standard (“SFAS”) No. 154,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Changes and Error Corrections. </w:t>
      </w:r>
      <w:r>
        <w:rPr>
          <w:rFonts w:ascii="Arial" w:cs="Arial" w:eastAsia="Arial" w:hAnsi="Arial"/>
          <w:sz w:val="18"/>
          <w:szCs w:val="18"/>
          <w:color w:val="auto"/>
        </w:rPr>
        <w:t>SFAS No.154 changes the requirements for the accounting for and reporting of a change in accounting principle. We are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adopt SFAS No.154 for accounting changes and error corrections that occur after the beginning of 2006. Our results of operations and financial condition will only be impacted following the adoption of SFAS No.154 if it implements changes in accounting principles that are addressed by the standards or corrects accounting errors in future periods.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March 2005 the FASB issued FASB Interpretation No. 47, </w:t>
      </w:r>
      <w:r>
        <w:rPr>
          <w:rFonts w:ascii="Arial" w:cs="Arial" w:eastAsia="Arial" w:hAnsi="Arial"/>
          <w:sz w:val="16"/>
          <w:szCs w:val="16"/>
          <w:i w:val="1"/>
          <w:iCs w:val="1"/>
          <w:color w:val="auto"/>
        </w:rPr>
        <w:t>Accounting for Conditional Asset Retirement Obligations</w:t>
      </w:r>
      <w:r>
        <w:rPr>
          <w:rFonts w:ascii="Arial" w:cs="Arial" w:eastAsia="Arial" w:hAnsi="Arial"/>
          <w:sz w:val="16"/>
          <w:szCs w:val="16"/>
          <w:color w:val="auto"/>
        </w:rPr>
        <w:t xml:space="preserve"> (“FIN 47”)</w:t>
      </w:r>
      <w:r>
        <w:rPr>
          <w:rFonts w:ascii="Arial" w:cs="Arial" w:eastAsia="Arial" w:hAnsi="Arial"/>
          <w:sz w:val="16"/>
          <w:szCs w:val="16"/>
          <w:i w:val="1"/>
          <w:iCs w:val="1"/>
          <w:color w:val="auto"/>
        </w:rPr>
        <w:t>.</w:t>
      </w:r>
      <w:r>
        <w:rPr>
          <w:rFonts w:ascii="Arial" w:cs="Arial" w:eastAsia="Arial" w:hAnsi="Arial"/>
          <w:sz w:val="16"/>
          <w:szCs w:val="16"/>
          <w:color w:val="auto"/>
        </w:rPr>
        <w:t xml:space="preserve"> FIN 47 requires a company to recognize a liability for the fair value of a conditional asset retirement obligation if the fair value of the liability can be reasonably recognized. A conditional asset retirement obligation refers to a legal obligation to perform an asset retirement activity, such as restoring a facility to its original condition, and where the timing and method of settlement are contingent upon a future event, that may or may not be beyond the company’s control. This liability should be recognized when incurred; typically upon acquisition or entering into a lease. FIN 47 provides guidance as to when suitable information exists to enable a company to determine its liability for a contingent asset retirement obligation. If insufficient information exists to enable a company to measure the liability when incurred, it shall recognize a liability in the period when sufficient information becomes available to estimate its fair value. FIN 47 is effective for fiscal years ending after December 15, 2005. The Company is currently assessing the financial impact of adopting FIN 47 and is obtaining the information necessary to make a determination of the financial impact of adoption.</w:t>
      </w:r>
    </w:p>
    <w:p>
      <w:pPr>
        <w:spacing w:after="0" w:line="114"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Effective the beginning of 2006, we adopted SFAS No.123(R),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Share-Based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elected to adopt the modified prospective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method. Accordingly, stock-based compensation cost is measured at the grant date, based on the fair value of the award, and is recognized as an expense over the requisite service period. For stock awards granted in 2006, expenses are amortized under the straight-line attribution method. For stock awards granted prior to 2006, expenses are amortized under the single option method prescribed by FASB Interpretation No.28. Previously reported amounts have not been restated. As of March 31, 2006 there was $7.3 million of total unrecognized compensation cost related to nonvested awards that is expected to be recognized over a weighted average period of 1.67 years.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$320,000.</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international sales are made primarily in U.S. dollars. Those sales in currencies other than U.S. dollars can result in translation gains and losses. As we increase sales in foreign markets, we anticipate making more sales denominated in foreign currencies, primarily euros and pounds. Currently, we do not engage in hedging activities for our international operations. However, we may engage in hedging activities in the future.</w:t>
      </w:r>
    </w:p>
    <w:p>
      <w:pPr>
        <w:spacing w:after="0" w:line="10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international business is subject to the typical risks of any international business, including, but not limited to, the risks described in Item 2 – “Risk Factors that May Affect Future Results” above. Accordingly, our future results could be materially harmed by the actual occurrence of any of these or other risks.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460" w:right="36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We performed an evaluation under the supervision and with the participation of our management, including our Chief Executive Officer (CEO) and Chief Financial Officer (“CFO”), of the effectiveness of the design and operation of our disclosure controls and procedures, as defined in Rules 13a-15(e) and 15d -15(f) under the Securities Exchange Act of 1934. Based on their evaluation, our management, including our CEO and CFO, concluded that our disclosure controls and procedures were effective as of March 31, 2006, (the end of the period covered by this Quarterly Report on Form 10-Q) to ensure that information required to be disclosed by us in the reports filed or submitted by us under the Exchange Act is recorded, processed, summarized and reported within the time periods specified in the SEC’s rules and forms.</w:t>
      </w:r>
    </w:p>
    <w:p>
      <w:pPr>
        <w:spacing w:after="0" w:line="160" w:lineRule="exact"/>
        <w:rPr>
          <w:rFonts w:ascii="Arial" w:cs="Arial" w:eastAsia="Arial" w:hAnsi="Arial"/>
          <w:sz w:val="16"/>
          <w:szCs w:val="16"/>
          <w:color w:val="auto"/>
        </w:rPr>
      </w:pPr>
    </w:p>
    <w:p>
      <w:pPr>
        <w:ind w:left="460" w:right="14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During the three months ended March 31, 2006 there was no change in our internal control over financial reporting that occurred that has materially affected, or that we believe is reasonably likely to materially affect, our internal control over financial reporting.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Between March 2002 and October 2004, Active Power and Joseph Pinkerton, our Chairman and Chief Executive Officer, were parties to a lawsuit with Magnex Corporation and other plaintiffs alleging breach of a joint venture agreement, misappropriation of trade secrets and other torts. As disclosed in our 2004 Annual Report on Form 10-K, this litigation was settled in October 2004 with the Company paying $5.08 million in settlement expense in 2004. The plaintiffs dismissed their claims and provided a covenant not to sue the defendants in the future. The plaintiffs further agreed to transfer, assign and otherwise release to the defendants all rights to certain technology involved in the lawsuit,</w:t>
      </w:r>
    </w:p>
    <w:p>
      <w:pPr>
        <w:spacing w:after="0" w:line="14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On July 16, 2004 we filed a lawsuit against Greenwich Insurance Company seeking coverage under an insurance policy providing for management liability and company reimbursement coverage for certain of our and our CEO, Joe Pinkerton’s, expenses and damages related to the Magnex litigation described above.</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This case seeks a declaratory judgment that we are entitled to coverage under our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In the event of any recovery in this action, we would retain an amount equal to our legal expenses related to this Greenwich Insurance litigation. Any additional recovery up to $1.22 million shall next be paid to Mr. Pinkerton as reimbursement for his settlement expense and other costs related to the Magnex lawsuit. Any recovery beyond this amount would be retained by us.</w:t>
      </w:r>
    </w:p>
    <w:p>
      <w:pPr>
        <w:spacing w:after="0" w:line="116"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On April 11, 2006 the Court denied Greenwich’s motion for summary judgment in part, and we anticipate a trial date in November 2006. Discovery in the case is ongoing.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10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several quarters.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incurred operating losses since our inception and expect to continue to incur losses for at least the next several quarters. As of March 31, 2006, we had an accumulated deficit of $186.7 million. To date, we have funded our operations principally through the sale of our stock, product revenue and development funding payments from Caterpillar. We will need to generate significant additional revenue to achieve profitability, and we cannot assure you that we will ever realize sufficient additional revenue to achieve profitability. We also expect to incur product development, sales and marketing and administrative expenses in excess of our revenue after costs, and, as a result, we expect to continue to incur losses for the next several quarters.</w:t>
      </w:r>
    </w:p>
    <w:p>
      <w:pPr>
        <w:spacing w:after="0" w:line="110"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4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generated a total of $86.0 million in product revenue since January 1, 1998, with $5.6 million generated in the three months ended March 31, 2006.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particularly rent and salaries, are fixed in the short term or incurred in advance of anticipated revenue. As a result, we may not be able to decrease our expenses, if desired, in a timely manner to offset any revenue shortfall. If our revenue does not increase as anticipated, we will continue to incur significant losses. As a result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product revenue, operating expenses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26" w:lineRule="exact"/>
        <w:rPr>
          <w:sz w:val="20"/>
          <w:szCs w:val="20"/>
          <w:color w:val="auto"/>
        </w:rPr>
      </w:pPr>
    </w:p>
    <w:p>
      <w:pPr>
        <w:jc w:val="center"/>
        <w:ind w:left="5620" w:right="1020" w:hanging="5166"/>
        <w:spacing w:after="0" w:line="440" w:lineRule="auto"/>
        <w:tabs>
          <w:tab w:leader="none" w:pos="7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orders from our customers and the possibility that customers may change their order requirements with little or no notice to us; 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rate of adoption of our flywheel-based energy storage system or our thermal and compressed air system as alternatives to lead-acid batteries;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derive a significant portion of our revenue from relatively few large transactions. The sales cycle for these large transactions tend to be longer than the sales cycle on smaller orders. The longer sales cycle for large transactions makes it difficult to predict the quarter in which these sales will occur. Accordingly, our operating results may fluctuate from quarter to quarter based on the existence and timing of larger transactions. A reduction in the number of large transactions, or a delay in closing of such a sales transaction could materially impact our revenue in a particular period.</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market for power quality products is evolving and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w:t>
      </w:r>
    </w:p>
    <w:p>
      <w:pPr>
        <w:spacing w:after="0" w:line="11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have increased our international activities significantly and plan to continue such efforts, which subjects us to additional business risks including increased logistical and financial complexity, political instability and currency fluctuations.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percentage of our product revenue derived from customers located outside of the United States was 45%, 50% and 48% in 2005, 2004 and 2003, respectively. In the three-month period ended March 31, 2006 we derived 26% of our total revenues from sales to international customers. Our international operations are subject to a number of risks, including:</w:t>
      </w:r>
    </w:p>
    <w:p>
      <w:pPr>
        <w:spacing w:after="0" w:line="59"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and longer collection periods;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Euros. Those sales in currencies other than U.S. dollars can result in translation gains and losses. Currently, we do not engage in hedging activities for our international operations. However, we may engage in hedging activities in the future.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derive a substantial portion of our revenue from a limited number of products, and we expect these products to continue to account for a large percentage of our revenues in the near term. Continued market acceptance of these products, is therefore, critical to our future success. Our future success will also depend on our ability to reduce our dependence on these few products by developing and introducing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our extended runtime products, such as the CoolAir DC.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3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expand our distribution channels and manage our existing and new product distribution relationships to continue to grow our business.</w:t>
      </w:r>
    </w:p>
    <w:p>
      <w:pPr>
        <w:spacing w:after="0" w:line="119"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including CoolAir DC. As of March 31, 2006 we have broadened our sales and distribution channel by offering our products through</w:t>
      </w:r>
    </w:p>
    <w:p>
      <w:pPr>
        <w:spacing w:after="0" w:line="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30 manufacturer’s representatives throughout North America. In 2005 we also entered into a long-term supply agreement with GE Zenith Controls to source UPS systems from them that we intend to sell along side our CoolAir DC product. Our inability to successfully execute this strategy, and to integrate and manage our existing OEM channel partners, Caterpillar and Eaton Powerware, and our new manufacturer’s representatives could impede our future growth.</w:t>
      </w:r>
    </w:p>
    <w:p>
      <w:pPr>
        <w:spacing w:after="0" w:line="103"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are significantly dependent on our relationship with Caterpillar, our primary OEM customer. If this relationship is unsuccessful, for whatever reason, our business and financial prospects would likely suffer.</w:t>
      </w:r>
    </w:p>
    <w:p>
      <w:pPr>
        <w:spacing w:after="0" w:line="4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Caterpillar and its dealer network are our primary OEM customer for our flywheel based products. Caterpillar and its dealer network accounted for 42%, 54% and 60% of our revenue, during 2005, 2004 and 2003, respectively. In the three-month period ended March 31, 2006 Caterpillar and its dealer network accounted for 46% of our revenue. If our relationship with Caterpillar is not successful, or if Caterpillar’s distribution of the Cat UPS product is not successful or suffers a material change, our business and financial prospects would likely suffer. Pursuant to our distribution agreement with Caterpillar, they are the exclusive OEM distributor, subject to limited exceptions, of our CleanSource UPS product. Caterpillar is not obligated to purchase any CleanSource UPS units.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Active Power may license to others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2001, we completed and equipped a 127,000 square foot facility used for manufacturing and testing of our three-phase product line, including our DC and UPS products. To be financially successful, and to fully utilize the capacity of this facility and allocate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We intend to manufacture and test our CoolAir DC product in this facility, which will help increase the utilization of our facility. If we do not reach these necessary sales volume levels, or if we cannot sell our products at our suggested prices, our ability to reach profitability will be materially limited.</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significant backlog.</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generally operate our business without any significant backlog of orders from customers. Normally our products are shipped and revenue is recognized shortly after the order is received. This lack of backlog makes revenue in any quarter substantially dependent on orders booked and shipped throughout that quarter.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volumes, we lack significant leverage with these suppliers. If our suppliers receive excess demand for their products, we may receive a low priority for order fulfillment as large volume customers will 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2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However, these forecasts do not represent binding purchase commitments from our customers.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may face future competition from companies that are developing other types of emerging power technologies, such as high-speed composite flywheels, ultra capacitors and superconducting magnetic energy storage.</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financial, technical, marketing and other resources, broader name and brand recognition and a larger installed base of customers.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96" w:lineRule="exact"/>
        <w:rPr>
          <w:sz w:val="20"/>
          <w:szCs w:val="20"/>
          <w:color w:val="auto"/>
        </w:rPr>
      </w:pPr>
    </w:p>
    <w:p>
      <w:pPr>
        <w:ind w:right="14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62"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to use an infringing trademark.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marketing activities or the development of our manufacturing capabilities with our revenue and our cash on hand. We expect that our current cashand investments, together with our other available sources of working capital, will be sufficient to fund corporate cash requirements for at least twelve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our stock price could result in claims against us.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Historically the market price of our common stock has fluctuated significantly. In 2005 the sales price of our common stock ranged from $2.39 to $4.66. During the three-month period ending March 31, 2006 the sales price of our common stock ranged from $3.83 to $5.01. In addition to those risks described earlier in this section, the market price of our common stock can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be expected to fluctuate significantly in response to numerous other factors, many of which are beyond our control, including the following:</w:t>
      </w:r>
    </w:p>
    <w:p>
      <w:pPr>
        <w:spacing w:after="0" w:line="113"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market valuations of other technology companies, particularly those that sell products used in power quality systems;</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successfully expand our distribution channels;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400"/>
          </w:cols>
          <w:pgMar w:left="240" w:top="459" w:right="1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Securities and Exchange Commission on August 7, 2000 declared effective our registration statement on Form S-1 (File No. 333-36946) relating to the initial public offering of our common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common stock in the first quarter of 2006.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jc w:val="center"/>
        <w:ind w:right="8179"/>
        <w:spacing w:after="0"/>
        <w:rPr>
          <w:sz w:val="20"/>
          <w:szCs w:val="20"/>
          <w:color w:val="auto"/>
        </w:rPr>
      </w:pPr>
      <w:r>
        <w:rPr>
          <w:rFonts w:ascii="Arial" w:cs="Arial" w:eastAsia="Arial" w:hAnsi="Arial"/>
          <w:sz w:val="16"/>
          <w:szCs w:val="16"/>
          <w:b w:val="1"/>
          <w:bCs w:val="1"/>
          <w:color w:val="auto"/>
        </w:rPr>
        <w:t>Item 5. Other Information.</w:t>
      </w:r>
    </w:p>
    <w:p>
      <w:pPr>
        <w:spacing w:after="0" w:line="119" w:lineRule="exact"/>
        <w:rPr>
          <w:sz w:val="20"/>
          <w:szCs w:val="20"/>
          <w:color w:val="auto"/>
        </w:rPr>
      </w:pPr>
    </w:p>
    <w:p>
      <w:pPr>
        <w:jc w:val="center"/>
        <w:ind w:right="8219"/>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90"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13a-15(e)/15d-15(e) Certification of Principal Executive Officer</w:t>
      </w:r>
    </w:p>
    <w:p>
      <w:pPr>
        <w:spacing w:after="0" w:line="90"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13a-15(e)/15d-15(e) Certification of Principal Financial Officer</w:t>
      </w:r>
    </w:p>
    <w:p>
      <w:pPr>
        <w:spacing w:after="0" w:line="90"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Principal Executive Officer</w:t>
      </w:r>
    </w:p>
    <w:p>
      <w:pPr>
        <w:spacing w:after="0" w:line="90"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Principal Financial Officer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45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0" w:type="dxa"/>
            <w:vAlign w:val="bottom"/>
          </w:tcPr>
          <w:p>
            <w:pPr>
              <w:ind w:left="1880"/>
              <w:spacing w:after="0"/>
              <w:rPr>
                <w:sz w:val="20"/>
                <w:szCs w:val="20"/>
                <w:color w:val="auto"/>
              </w:rPr>
            </w:pPr>
            <w:r>
              <w:rPr>
                <w:rFonts w:ascii="Arial" w:cs="Arial" w:eastAsia="Arial" w:hAnsi="Arial"/>
                <w:sz w:val="18"/>
                <w:szCs w:val="18"/>
                <w:b w:val="1"/>
                <w:bCs w:val="1"/>
                <w:color w:val="auto"/>
              </w:rPr>
              <w:t>ACTIVE POWER, INC.</w:t>
            </w:r>
          </w:p>
        </w:tc>
      </w:tr>
      <w:tr>
        <w:trPr>
          <w:trHeight w:val="222"/>
        </w:trPr>
        <w:tc>
          <w:tcPr>
            <w:tcW w:w="33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0" w:type="dxa"/>
            <w:vAlign w:val="bottom"/>
          </w:tcPr>
          <w:p>
            <w:pPr>
              <w:ind w:left="2380"/>
              <w:spacing w:after="0"/>
              <w:rPr>
                <w:sz w:val="20"/>
                <w:szCs w:val="20"/>
                <w:color w:val="auto"/>
              </w:rPr>
            </w:pPr>
            <w:r>
              <w:rPr>
                <w:rFonts w:ascii="Arial" w:cs="Arial" w:eastAsia="Arial" w:hAnsi="Arial"/>
                <w:sz w:val="18"/>
                <w:szCs w:val="18"/>
                <w:color w:val="auto"/>
              </w:rPr>
              <w:t>(Registrant)</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April 27, 2006</w:t>
            </w:r>
          </w:p>
        </w:tc>
        <w:tc>
          <w:tcPr>
            <w:tcW w:w="248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F. Pinkerton, III</w:t>
            </w:r>
          </w:p>
        </w:tc>
      </w:t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Joseph F. Pinkerton, III</w:t>
            </w:r>
          </w:p>
        </w:tc>
      </w:tr>
      <w:tr>
        <w:trPr>
          <w:trHeight w:val="216"/>
        </w:trPr>
        <w:tc>
          <w:tcPr>
            <w:tcW w:w="3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Chairman of the Board and</w:t>
            </w:r>
          </w:p>
        </w:tc>
      </w:tr>
      <w:tr>
        <w:trPr>
          <w:trHeight w:val="216"/>
        </w:trPr>
        <w:tc>
          <w:tcPr>
            <w:tcW w:w="3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2"/>
        </w:trPr>
        <w:tc>
          <w:tcPr>
            <w:tcW w:w="33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6"/>
        </w:trPr>
        <w:tc>
          <w:tcPr>
            <w:tcW w:w="3340" w:type="dxa"/>
            <w:vAlign w:val="bottom"/>
          </w:tcPr>
          <w:p>
            <w:pPr>
              <w:spacing w:after="0"/>
              <w:rPr>
                <w:sz w:val="20"/>
                <w:szCs w:val="20"/>
                <w:color w:val="auto"/>
              </w:rPr>
            </w:pPr>
            <w:r>
              <w:rPr>
                <w:rFonts w:ascii="Arial" w:cs="Arial" w:eastAsia="Arial" w:hAnsi="Arial"/>
                <w:sz w:val="18"/>
                <w:szCs w:val="18"/>
                <w:color w:val="auto"/>
              </w:rPr>
              <w:t>April 27, 2006</w:t>
            </w:r>
          </w:p>
        </w:tc>
        <w:tc>
          <w:tcPr>
            <w:tcW w:w="248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 Penver</w:t>
            </w:r>
          </w:p>
        </w:tc>
      </w:t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John K. Penver</w:t>
            </w:r>
          </w:p>
        </w:tc>
      </w:tr>
      <w:tr>
        <w:trPr>
          <w:trHeight w:val="216"/>
        </w:trPr>
        <w:tc>
          <w:tcPr>
            <w:tcW w:w="3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Vice President of Finance, Chief Financial Officer</w:t>
            </w:r>
          </w:p>
        </w:tc>
      </w:tr>
      <w:tr>
        <w:trPr>
          <w:trHeight w:val="216"/>
        </w:trPr>
        <w:tc>
          <w:tcPr>
            <w:tcW w:w="3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and Secretary</w:t>
            </w:r>
          </w:p>
        </w:tc>
      </w:tr>
      <w:tr>
        <w:trPr>
          <w:trHeight w:val="222"/>
        </w:trPr>
        <w:tc>
          <w:tcPr>
            <w:tcW w:w="33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78"/>
        </w:trPr>
        <w:tc>
          <w:tcPr>
            <w:tcW w:w="33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32</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Joseph F. Pinkerton, III,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27,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112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27,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1127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March 31, 2006, as filed with the Securities and Exchange Commission on the date hereof (the “Report”), I, Joseph F. Pinkerton, III, Chief Executive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27,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March 31, 2006 as filed with the Securities and Exchange Commission on the date hereof (the “Report”), I, John K. Penver, Chief Financial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of Finance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27,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2019-12-14T16:08:20Z</dcterms:created>
  <dcterms:modified xsi:type="dcterms:W3CDTF">2019-12-14T16:08:20Z</dcterms:modified>
</cp:coreProperties>
</file>