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487680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13"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620"/>
        <w:spacing w:after="0"/>
        <w:rPr>
          <w:sz w:val="20"/>
          <w:szCs w:val="20"/>
          <w:color w:val="auto"/>
        </w:rPr>
      </w:pPr>
      <w:r>
        <w:rPr>
          <w:rFonts w:ascii="Arial" w:cs="Arial" w:eastAsia="Arial" w:hAnsi="Arial"/>
          <w:sz w:val="18"/>
          <w:szCs w:val="18"/>
          <w:b w:val="1"/>
          <w:bCs w:val="1"/>
          <w:color w:val="auto"/>
        </w:rPr>
        <w:t>Washington, D.C. 20549</w:t>
      </w:r>
    </w:p>
    <w:p>
      <w:pPr>
        <w:spacing w:after="0" w:line="379"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SCHEDULE 13G/A</w:t>
      </w:r>
    </w:p>
    <w:p>
      <w:pPr>
        <w:spacing w:after="0" w:line="198" w:lineRule="exact"/>
        <w:rPr>
          <w:sz w:val="24"/>
          <w:szCs w:val="24"/>
          <w:color w:val="auto"/>
        </w:rPr>
      </w:pPr>
    </w:p>
    <w:p>
      <w:pPr>
        <w:ind w:left="32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8"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(Amendment No. 2)</w:t>
      </w:r>
    </w:p>
    <w:p>
      <w:pPr>
        <w:spacing w:after="0" w:line="379"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ACTIVE POWER, INC.</w:t>
      </w:r>
    </w:p>
    <w:p>
      <w:pPr>
        <w:spacing w:after="0" w:line="13" w:lineRule="exact"/>
        <w:rPr>
          <w:sz w:val="24"/>
          <w:szCs w:val="24"/>
          <w:color w:val="auto"/>
        </w:rPr>
      </w:pPr>
    </w:p>
    <w:p>
      <w:pPr>
        <w:ind w:left="1040"/>
        <w:spacing w:after="0"/>
        <w:rPr>
          <w:sz w:val="20"/>
          <w:szCs w:val="20"/>
          <w:color w:val="auto"/>
        </w:rPr>
      </w:pPr>
      <w:r>
        <w:rPr>
          <w:rFonts w:ascii="Arial" w:cs="Arial" w:eastAsia="Arial" w:hAnsi="Arial"/>
          <w:sz w:val="18"/>
          <w:szCs w:val="18"/>
          <w:color w:val="auto"/>
        </w:rPr>
        <w:t>________________________________________________________________________________</w:t>
      </w:r>
    </w:p>
    <w:p>
      <w:pPr>
        <w:jc w:val="center"/>
        <w:ind w:right="620"/>
        <w:spacing w:after="0"/>
        <w:rPr>
          <w:sz w:val="20"/>
          <w:szCs w:val="20"/>
          <w:color w:val="auto"/>
        </w:rPr>
      </w:pPr>
      <w:r>
        <w:rPr>
          <w:rFonts w:ascii="Arial" w:cs="Arial" w:eastAsia="Arial" w:hAnsi="Arial"/>
          <w:sz w:val="18"/>
          <w:szCs w:val="18"/>
          <w:color w:val="auto"/>
        </w:rPr>
        <w:t>(Name of Issuer)</w:t>
      </w:r>
    </w:p>
    <w:p>
      <w:pPr>
        <w:spacing w:after="0" w:line="176"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Common Stock, par value $0.001</w:t>
      </w:r>
    </w:p>
    <w:p>
      <w:pPr>
        <w:spacing w:after="0" w:line="13" w:lineRule="exact"/>
        <w:rPr>
          <w:sz w:val="24"/>
          <w:szCs w:val="24"/>
          <w:color w:val="auto"/>
        </w:rPr>
      </w:pPr>
    </w:p>
    <w:p>
      <w:pPr>
        <w:ind w:left="1040"/>
        <w:spacing w:after="0"/>
        <w:rPr>
          <w:sz w:val="20"/>
          <w:szCs w:val="20"/>
          <w:color w:val="auto"/>
        </w:rPr>
      </w:pPr>
      <w:r>
        <w:rPr>
          <w:rFonts w:ascii="Arial" w:cs="Arial" w:eastAsia="Arial" w:hAnsi="Arial"/>
          <w:sz w:val="18"/>
          <w:szCs w:val="18"/>
          <w:color w:val="auto"/>
        </w:rPr>
        <w:t>________________________________________________________________________________</w:t>
      </w:r>
    </w:p>
    <w:p>
      <w:pPr>
        <w:jc w:val="center"/>
        <w:ind w:right="620"/>
        <w:spacing w:after="0"/>
        <w:rPr>
          <w:sz w:val="20"/>
          <w:szCs w:val="20"/>
          <w:color w:val="auto"/>
        </w:rPr>
      </w:pPr>
      <w:r>
        <w:rPr>
          <w:rFonts w:ascii="Arial" w:cs="Arial" w:eastAsia="Arial" w:hAnsi="Arial"/>
          <w:sz w:val="18"/>
          <w:szCs w:val="18"/>
          <w:color w:val="auto"/>
        </w:rPr>
        <w:t>(Title of Class of Securities)</w:t>
      </w:r>
    </w:p>
    <w:p>
      <w:pPr>
        <w:spacing w:after="0" w:line="176"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00504W308</w:t>
      </w:r>
    </w:p>
    <w:p>
      <w:pPr>
        <w:spacing w:after="0" w:line="13"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_________________________________________________________________________________</w:t>
      </w:r>
    </w:p>
    <w:p>
      <w:pPr>
        <w:jc w:val="center"/>
        <w:ind w:right="620"/>
        <w:spacing w:after="0"/>
        <w:rPr>
          <w:sz w:val="20"/>
          <w:szCs w:val="20"/>
          <w:color w:val="auto"/>
        </w:rPr>
      </w:pPr>
      <w:r>
        <w:rPr>
          <w:rFonts w:ascii="Arial" w:cs="Arial" w:eastAsia="Arial" w:hAnsi="Arial"/>
          <w:sz w:val="18"/>
          <w:szCs w:val="18"/>
          <w:color w:val="auto"/>
        </w:rPr>
        <w:t>(CUSIP Number)</w:t>
      </w:r>
    </w:p>
    <w:p>
      <w:pPr>
        <w:spacing w:after="0" w:line="176"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September 30, 2016</w:t>
      </w:r>
    </w:p>
    <w:p>
      <w:pPr>
        <w:spacing w:after="0" w:line="13"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_________________________________________________________________________________</w:t>
      </w:r>
    </w:p>
    <w:p>
      <w:pPr>
        <w:ind w:left="2840"/>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14" w:lineRule="exact"/>
        <w:rPr>
          <w:sz w:val="24"/>
          <w:szCs w:val="24"/>
          <w:color w:val="auto"/>
        </w:rPr>
      </w:pPr>
    </w:p>
    <w:p>
      <w:pPr>
        <w:ind w:left="6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2" w:lineRule="exact"/>
        <w:rPr>
          <w:sz w:val="24"/>
          <w:szCs w:val="24"/>
          <w:color w:val="auto"/>
        </w:rPr>
      </w:pPr>
    </w:p>
    <w:p>
      <w:pPr>
        <w:ind w:left="900" w:hanging="255"/>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12" w:lineRule="exact"/>
        <w:rPr>
          <w:sz w:val="24"/>
          <w:szCs w:val="24"/>
          <w:color w:val="auto"/>
        </w:rPr>
      </w:pPr>
    </w:p>
    <w:p>
      <w:pPr>
        <w:ind w:left="900" w:hanging="255"/>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12" w:lineRule="exact"/>
        <w:rPr>
          <w:sz w:val="24"/>
          <w:szCs w:val="24"/>
          <w:color w:val="auto"/>
        </w:rPr>
      </w:pPr>
    </w:p>
    <w:p>
      <w:pPr>
        <w:ind w:left="900" w:hanging="255"/>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2" w:lineRule="exact"/>
        <w:rPr>
          <w:sz w:val="24"/>
          <w:szCs w:val="24"/>
          <w:color w:val="auto"/>
        </w:rPr>
      </w:pPr>
    </w:p>
    <w:p>
      <w:pPr>
        <w:jc w:val="both"/>
        <w:spacing w:after="0"/>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386715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0"/>
          </w:cols>
          <w:pgMar w:left="900" w:top="1049"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00504W308</w:t>
      </w:r>
    </w:p>
    <w:p>
      <w:pPr>
        <w:spacing w:after="0" w:line="198" w:lineRule="exact"/>
        <w:rPr>
          <w:sz w:val="20"/>
          <w:szCs w:val="20"/>
          <w:color w:val="auto"/>
        </w:rPr>
      </w:pPr>
    </w:p>
    <w:p>
      <w:pPr>
        <w:ind w:left="800" w:hanging="79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Names of Reporting Persons: </w:t>
      </w:r>
      <w:r>
        <w:rPr>
          <w:rFonts w:ascii="Arial" w:cs="Arial" w:eastAsia="Arial" w:hAnsi="Arial"/>
          <w:sz w:val="18"/>
          <w:szCs w:val="18"/>
          <w:b w:val="1"/>
          <w:bCs w:val="1"/>
          <w:color w:val="auto"/>
        </w:rPr>
        <w:t>PVAM Perlus Microcap Fund L.P.</w:t>
      </w:r>
    </w:p>
    <w:p>
      <w:pPr>
        <w:spacing w:after="0" w:line="256" w:lineRule="exact"/>
        <w:rPr>
          <w:rFonts w:ascii="Arial" w:cs="Arial" w:eastAsia="Arial" w:hAnsi="Arial"/>
          <w:sz w:val="18"/>
          <w:szCs w:val="18"/>
          <w:color w:val="auto"/>
        </w:rPr>
      </w:pPr>
    </w:p>
    <w:p>
      <w:pPr>
        <w:ind w:left="800" w:hanging="79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196" w:lineRule="exact"/>
        <w:rPr>
          <w:rFonts w:ascii="Arial" w:cs="Arial" w:eastAsia="Arial" w:hAnsi="Arial"/>
          <w:sz w:val="18"/>
          <w:szCs w:val="18"/>
          <w:color w:val="auto"/>
        </w:rPr>
      </w:pPr>
    </w:p>
    <w:p>
      <w:pPr>
        <w:ind w:left="2180" w:hanging="875"/>
        <w:spacing w:after="0" w:line="228" w:lineRule="exact"/>
        <w:tabs>
          <w:tab w:leader="none" w:pos="2180" w:val="left"/>
        </w:tabs>
        <w:numPr>
          <w:ilvl w:val="1"/>
          <w:numId w:val="4"/>
        </w:numPr>
        <w:rPr>
          <w:rFonts w:ascii="Arial" w:cs="Arial" w:eastAsia="Arial" w:hAnsi="Arial"/>
          <w:sz w:val="18"/>
          <w:szCs w:val="18"/>
          <w:color w:val="auto"/>
        </w:rPr>
      </w:pPr>
      <w:r>
        <w:rPr>
          <w:rFonts w:ascii="MS PGothic" w:cs="MS PGothic" w:eastAsia="MS PGothic" w:hAnsi="MS PGothic"/>
          <w:sz w:val="22"/>
          <w:szCs w:val="22"/>
          <w:color w:val="auto"/>
        </w:rPr>
        <w:t>☒</w:t>
      </w:r>
    </w:p>
    <w:p>
      <w:pPr>
        <w:spacing w:after="0" w:line="245" w:lineRule="exact"/>
        <w:rPr>
          <w:rFonts w:ascii="Arial" w:cs="Arial" w:eastAsia="Arial" w:hAnsi="Arial"/>
          <w:sz w:val="18"/>
          <w:szCs w:val="18"/>
          <w:color w:val="auto"/>
        </w:rPr>
      </w:pPr>
    </w:p>
    <w:p>
      <w:pPr>
        <w:ind w:left="2180" w:hanging="875"/>
        <w:spacing w:after="0" w:line="228" w:lineRule="exact"/>
        <w:tabs>
          <w:tab w:leader="none" w:pos="2180" w:val="left"/>
        </w:tabs>
        <w:numPr>
          <w:ilvl w:val="1"/>
          <w:numId w:val="4"/>
        </w:numPr>
        <w:rPr>
          <w:rFonts w:ascii="Arial" w:cs="Arial" w:eastAsia="Arial" w:hAnsi="Arial"/>
          <w:sz w:val="18"/>
          <w:szCs w:val="18"/>
          <w:color w:val="auto"/>
        </w:rPr>
      </w:pPr>
      <w:r>
        <w:rPr>
          <w:rFonts w:ascii="MS PGothic" w:cs="MS PGothic" w:eastAsia="MS PGothic" w:hAnsi="MS PGothic"/>
          <w:sz w:val="22"/>
          <w:szCs w:val="22"/>
          <w:color w:val="auto"/>
        </w:rPr>
        <w:t>☐</w:t>
      </w:r>
    </w:p>
    <w:p>
      <w:pPr>
        <w:spacing w:after="0" w:line="319" w:lineRule="exact"/>
        <w:rPr>
          <w:rFonts w:ascii="Arial" w:cs="Arial" w:eastAsia="Arial" w:hAnsi="Arial"/>
          <w:sz w:val="18"/>
          <w:szCs w:val="18"/>
          <w:color w:val="auto"/>
        </w:rPr>
      </w:pPr>
    </w:p>
    <w:p>
      <w:pPr>
        <w:ind w:left="800" w:hanging="79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0" w:lineRule="exact"/>
        <w:rPr>
          <w:rFonts w:ascii="Arial" w:cs="Arial" w:eastAsia="Arial" w:hAnsi="Arial"/>
          <w:sz w:val="18"/>
          <w:szCs w:val="18"/>
          <w:color w:val="auto"/>
        </w:rPr>
      </w:pPr>
    </w:p>
    <w:p>
      <w:pPr>
        <w:ind w:left="800" w:hanging="79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8"/>
          <w:szCs w:val="18"/>
          <w:b w:val="1"/>
          <w:bCs w:val="1"/>
          <w:color w:val="auto"/>
        </w:rPr>
        <w:t>Jersey, Channel Islands</w:t>
      </w:r>
    </w:p>
    <w:p>
      <w:pPr>
        <w:spacing w:after="0" w:line="252" w:lineRule="exact"/>
        <w:rPr>
          <w:rFonts w:ascii="Arial" w:cs="Arial" w:eastAsia="Arial" w:hAnsi="Arial"/>
          <w:sz w:val="18"/>
          <w:szCs w:val="18"/>
          <w:color w:val="auto"/>
        </w:rPr>
      </w:pPr>
    </w:p>
    <w:p>
      <w:pPr>
        <w:ind w:left="780" w:hanging="772"/>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Sole Voting Power: </w:t>
      </w:r>
      <w:r>
        <w:rPr>
          <w:rFonts w:ascii="Arial" w:cs="Arial" w:eastAsia="Arial" w:hAnsi="Arial"/>
          <w:sz w:val="18"/>
          <w:szCs w:val="18"/>
          <w:b w:val="1"/>
          <w:bCs w:val="1"/>
          <w:color w:val="auto"/>
        </w:rPr>
        <w:t>Nil</w:t>
      </w:r>
    </w:p>
    <w:p>
      <w:pPr>
        <w:spacing w:after="0" w:line="198" w:lineRule="exact"/>
        <w:rPr>
          <w:rFonts w:ascii="Arial" w:cs="Arial" w:eastAsia="Arial" w:hAnsi="Arial"/>
          <w:sz w:val="18"/>
          <w:szCs w:val="18"/>
          <w:color w:val="auto"/>
        </w:rPr>
      </w:pPr>
    </w:p>
    <w:p>
      <w:pPr>
        <w:ind w:left="800" w:hanging="79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Shared Voting Power: </w:t>
      </w:r>
      <w:r>
        <w:rPr>
          <w:rFonts w:ascii="Arial" w:cs="Arial" w:eastAsia="Arial" w:hAnsi="Arial"/>
          <w:sz w:val="18"/>
          <w:szCs w:val="18"/>
          <w:b w:val="1"/>
          <w:bCs w:val="1"/>
          <w:color w:val="auto"/>
        </w:rPr>
        <w:t>941,029 shares of common stock</w:t>
      </w:r>
    </w:p>
    <w:p>
      <w:pPr>
        <w:spacing w:after="0" w:line="252" w:lineRule="exact"/>
        <w:rPr>
          <w:rFonts w:ascii="Arial" w:cs="Arial" w:eastAsia="Arial" w:hAnsi="Arial"/>
          <w:sz w:val="18"/>
          <w:szCs w:val="18"/>
          <w:color w:val="auto"/>
        </w:rPr>
      </w:pPr>
    </w:p>
    <w:p>
      <w:pPr>
        <w:ind w:left="760" w:hanging="752"/>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Sole Dispositive Power: </w:t>
      </w:r>
      <w:r>
        <w:rPr>
          <w:rFonts w:ascii="Arial" w:cs="Arial" w:eastAsia="Arial" w:hAnsi="Arial"/>
          <w:sz w:val="18"/>
          <w:szCs w:val="18"/>
          <w:b w:val="1"/>
          <w:bCs w:val="1"/>
          <w:color w:val="auto"/>
        </w:rPr>
        <w:t>Nil</w:t>
      </w:r>
    </w:p>
    <w:p>
      <w:pPr>
        <w:spacing w:after="0" w:line="198" w:lineRule="exact"/>
        <w:rPr>
          <w:rFonts w:ascii="Arial" w:cs="Arial" w:eastAsia="Arial" w:hAnsi="Arial"/>
          <w:sz w:val="18"/>
          <w:szCs w:val="18"/>
          <w:color w:val="auto"/>
        </w:rPr>
      </w:pPr>
    </w:p>
    <w:p>
      <w:pPr>
        <w:ind w:left="800" w:hanging="79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Shared Dispositive Power: </w:t>
      </w:r>
      <w:r>
        <w:rPr>
          <w:rFonts w:ascii="Arial" w:cs="Arial" w:eastAsia="Arial" w:hAnsi="Arial"/>
          <w:sz w:val="18"/>
          <w:szCs w:val="18"/>
          <w:b w:val="1"/>
          <w:bCs w:val="1"/>
          <w:color w:val="auto"/>
        </w:rPr>
        <w:t>941,029 shares of common stock</w:t>
      </w:r>
    </w:p>
    <w:p>
      <w:pPr>
        <w:spacing w:after="0" w:line="252" w:lineRule="exact"/>
        <w:rPr>
          <w:rFonts w:ascii="Arial" w:cs="Arial" w:eastAsia="Arial" w:hAnsi="Arial"/>
          <w:sz w:val="18"/>
          <w:szCs w:val="18"/>
          <w:color w:val="auto"/>
        </w:rPr>
      </w:pPr>
    </w:p>
    <w:p>
      <w:pPr>
        <w:ind w:left="740" w:hanging="73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8"/>
          <w:szCs w:val="18"/>
          <w:b w:val="1"/>
          <w:bCs w:val="1"/>
          <w:color w:val="auto"/>
        </w:rPr>
        <w:t>941,029 shares of common stock</w:t>
      </w:r>
    </w:p>
    <w:p>
      <w:pPr>
        <w:spacing w:after="0" w:line="198" w:lineRule="exact"/>
        <w:rPr>
          <w:rFonts w:ascii="Arial" w:cs="Arial" w:eastAsia="Arial" w:hAnsi="Arial"/>
          <w:sz w:val="18"/>
          <w:szCs w:val="18"/>
          <w:color w:val="auto"/>
        </w:rPr>
      </w:pPr>
    </w:p>
    <w:p>
      <w:pPr>
        <w:ind w:left="860" w:hanging="852"/>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 </w:t>
      </w:r>
      <w:r>
        <w:rPr>
          <w:rFonts w:ascii="Arial" w:cs="Arial" w:eastAsia="Arial" w:hAnsi="Arial"/>
          <w:sz w:val="18"/>
          <w:szCs w:val="18"/>
          <w:b w:val="1"/>
          <w:bCs w:val="1"/>
          <w:color w:val="auto"/>
        </w:rPr>
        <w:t>Not Applicable</w:t>
      </w:r>
    </w:p>
    <w:p>
      <w:pPr>
        <w:spacing w:after="0" w:line="188" w:lineRule="exact"/>
        <w:rPr>
          <w:rFonts w:ascii="Arial" w:cs="Arial" w:eastAsia="Arial" w:hAnsi="Arial"/>
          <w:sz w:val="18"/>
          <w:szCs w:val="18"/>
          <w:color w:val="auto"/>
        </w:rPr>
      </w:pPr>
    </w:p>
    <w:p>
      <w:pPr>
        <w:ind w:left="720" w:hanging="712"/>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8"/>
          <w:szCs w:val="18"/>
          <w:b w:val="1"/>
          <w:bCs w:val="1"/>
          <w:color w:val="auto"/>
        </w:rPr>
        <w:t>4.07%</w:t>
      </w:r>
      <w:r>
        <w:rPr>
          <w:rFonts w:ascii="Arial" w:cs="Arial" w:eastAsia="Arial" w:hAnsi="Arial"/>
          <w:sz w:val="30"/>
          <w:szCs w:val="30"/>
          <w:b w:val="1"/>
          <w:bCs w:val="1"/>
          <w:color w:val="auto"/>
          <w:vertAlign w:val="superscript"/>
        </w:rPr>
        <w:t>(1)</w:t>
      </w:r>
      <w:r>
        <w:rPr>
          <w:rFonts w:ascii="Arial" w:cs="Arial" w:eastAsia="Arial" w:hAnsi="Arial"/>
          <w:sz w:val="18"/>
          <w:szCs w:val="18"/>
          <w:color w:val="auto"/>
        </w:rPr>
        <w:t xml:space="preserve"> </w:t>
      </w:r>
      <w:r>
        <w:rPr>
          <w:rFonts w:ascii="Arial" w:cs="Arial" w:eastAsia="Arial" w:hAnsi="Arial"/>
          <w:sz w:val="18"/>
          <w:szCs w:val="18"/>
          <w:b w:val="1"/>
          <w:bCs w:val="1"/>
          <w:color w:val="auto"/>
        </w:rPr>
        <w:t>of all of the outstanding shares of the Issuer</w:t>
      </w:r>
    </w:p>
    <w:p>
      <w:pPr>
        <w:spacing w:after="0" w:line="69" w:lineRule="exact"/>
        <w:rPr>
          <w:rFonts w:ascii="Arial" w:cs="Arial" w:eastAsia="Arial" w:hAnsi="Arial"/>
          <w:sz w:val="18"/>
          <w:szCs w:val="18"/>
          <w:color w:val="auto"/>
        </w:rPr>
      </w:pPr>
    </w:p>
    <w:p>
      <w:pPr>
        <w:ind w:left="860" w:hanging="852"/>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 </w:t>
      </w:r>
      <w:r>
        <w:rPr>
          <w:rFonts w:ascii="Arial" w:cs="Arial" w:eastAsia="Arial" w:hAnsi="Arial"/>
          <w:sz w:val="18"/>
          <w:szCs w:val="18"/>
          <w:b w:val="1"/>
          <w:bCs w:val="1"/>
          <w:color w:val="auto"/>
        </w:rPr>
        <w:t>PN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Notes:</w:t>
      </w:r>
    </w:p>
    <w:p>
      <w:pPr>
        <w:ind w:left="660" w:hanging="652"/>
        <w:spacing w:after="0" w:line="2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Calculated based on 23,114,059 shares of common stock outstanding as of July 20, 2016 as indicated in the Issuer’s Quarterly Report on Form 10-Q filed on July 26, 2016.</w:t>
      </w: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738"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00504W308</w:t>
      </w:r>
    </w:p>
    <w:p>
      <w:pPr>
        <w:spacing w:after="0" w:line="198" w:lineRule="exact"/>
        <w:rPr>
          <w:sz w:val="20"/>
          <w:szCs w:val="20"/>
          <w:color w:val="auto"/>
        </w:rPr>
      </w:pPr>
    </w:p>
    <w:p>
      <w:pPr>
        <w:ind w:left="800" w:hanging="792"/>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Names of Reporting Persons: </w:t>
      </w:r>
      <w:r>
        <w:rPr>
          <w:rFonts w:ascii="Arial" w:cs="Arial" w:eastAsia="Arial" w:hAnsi="Arial"/>
          <w:sz w:val="18"/>
          <w:szCs w:val="18"/>
          <w:b w:val="1"/>
          <w:bCs w:val="1"/>
          <w:color w:val="auto"/>
        </w:rPr>
        <w:t>PVAM Holdings Ltd.</w:t>
      </w:r>
    </w:p>
    <w:p>
      <w:pPr>
        <w:spacing w:after="0" w:line="256" w:lineRule="exact"/>
        <w:rPr>
          <w:rFonts w:ascii="Arial" w:cs="Arial" w:eastAsia="Arial" w:hAnsi="Arial"/>
          <w:sz w:val="18"/>
          <w:szCs w:val="18"/>
          <w:color w:val="auto"/>
        </w:rPr>
      </w:pPr>
    </w:p>
    <w:p>
      <w:pPr>
        <w:ind w:left="800" w:hanging="792"/>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196" w:lineRule="exact"/>
        <w:rPr>
          <w:rFonts w:ascii="Arial" w:cs="Arial" w:eastAsia="Arial" w:hAnsi="Arial"/>
          <w:sz w:val="18"/>
          <w:szCs w:val="18"/>
          <w:color w:val="auto"/>
        </w:rPr>
      </w:pPr>
    </w:p>
    <w:p>
      <w:pPr>
        <w:ind w:left="2180" w:hanging="875"/>
        <w:spacing w:after="0" w:line="228" w:lineRule="exact"/>
        <w:tabs>
          <w:tab w:leader="none" w:pos="2180" w:val="left"/>
        </w:tabs>
        <w:numPr>
          <w:ilvl w:val="1"/>
          <w:numId w:val="6"/>
        </w:numPr>
        <w:rPr>
          <w:rFonts w:ascii="Arial" w:cs="Arial" w:eastAsia="Arial" w:hAnsi="Arial"/>
          <w:sz w:val="18"/>
          <w:szCs w:val="18"/>
          <w:color w:val="auto"/>
        </w:rPr>
      </w:pPr>
      <w:r>
        <w:rPr>
          <w:rFonts w:ascii="MS PGothic" w:cs="MS PGothic" w:eastAsia="MS PGothic" w:hAnsi="MS PGothic"/>
          <w:sz w:val="22"/>
          <w:szCs w:val="22"/>
          <w:color w:val="auto"/>
        </w:rPr>
        <w:t>☒</w:t>
      </w:r>
    </w:p>
    <w:p>
      <w:pPr>
        <w:spacing w:after="0" w:line="245" w:lineRule="exact"/>
        <w:rPr>
          <w:rFonts w:ascii="Arial" w:cs="Arial" w:eastAsia="Arial" w:hAnsi="Arial"/>
          <w:sz w:val="18"/>
          <w:szCs w:val="18"/>
          <w:color w:val="auto"/>
        </w:rPr>
      </w:pPr>
    </w:p>
    <w:p>
      <w:pPr>
        <w:ind w:left="2180" w:hanging="875"/>
        <w:spacing w:after="0" w:line="228" w:lineRule="exact"/>
        <w:tabs>
          <w:tab w:leader="none" w:pos="2180" w:val="left"/>
        </w:tabs>
        <w:numPr>
          <w:ilvl w:val="1"/>
          <w:numId w:val="6"/>
        </w:numPr>
        <w:rPr>
          <w:rFonts w:ascii="Arial" w:cs="Arial" w:eastAsia="Arial" w:hAnsi="Arial"/>
          <w:sz w:val="18"/>
          <w:szCs w:val="18"/>
          <w:color w:val="auto"/>
        </w:rPr>
      </w:pPr>
      <w:r>
        <w:rPr>
          <w:rFonts w:ascii="MS PGothic" w:cs="MS PGothic" w:eastAsia="MS PGothic" w:hAnsi="MS PGothic"/>
          <w:sz w:val="22"/>
          <w:szCs w:val="22"/>
          <w:color w:val="auto"/>
        </w:rPr>
        <w:t>☐</w:t>
      </w:r>
    </w:p>
    <w:p>
      <w:pPr>
        <w:spacing w:after="0" w:line="319" w:lineRule="exact"/>
        <w:rPr>
          <w:rFonts w:ascii="Arial" w:cs="Arial" w:eastAsia="Arial" w:hAnsi="Arial"/>
          <w:sz w:val="18"/>
          <w:szCs w:val="18"/>
          <w:color w:val="auto"/>
        </w:rPr>
      </w:pPr>
    </w:p>
    <w:p>
      <w:pPr>
        <w:ind w:left="800" w:hanging="792"/>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0" w:lineRule="exact"/>
        <w:rPr>
          <w:rFonts w:ascii="Arial" w:cs="Arial" w:eastAsia="Arial" w:hAnsi="Arial"/>
          <w:sz w:val="18"/>
          <w:szCs w:val="18"/>
          <w:color w:val="auto"/>
        </w:rPr>
      </w:pPr>
    </w:p>
    <w:p>
      <w:pPr>
        <w:ind w:left="800" w:hanging="792"/>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8"/>
          <w:szCs w:val="18"/>
          <w:b w:val="1"/>
          <w:bCs w:val="1"/>
          <w:color w:val="auto"/>
        </w:rPr>
        <w:t>United Kingdom</w:t>
      </w:r>
    </w:p>
    <w:p>
      <w:pPr>
        <w:spacing w:after="0" w:line="252" w:lineRule="exact"/>
        <w:rPr>
          <w:rFonts w:ascii="Arial" w:cs="Arial" w:eastAsia="Arial" w:hAnsi="Arial"/>
          <w:sz w:val="18"/>
          <w:szCs w:val="18"/>
          <w:color w:val="auto"/>
        </w:rPr>
      </w:pPr>
    </w:p>
    <w:p>
      <w:pPr>
        <w:ind w:left="800" w:hanging="792"/>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Sole Voting Power: </w:t>
      </w:r>
      <w:r>
        <w:rPr>
          <w:rFonts w:ascii="Arial" w:cs="Arial" w:eastAsia="Arial" w:hAnsi="Arial"/>
          <w:sz w:val="18"/>
          <w:szCs w:val="18"/>
          <w:b w:val="1"/>
          <w:bCs w:val="1"/>
          <w:color w:val="auto"/>
        </w:rPr>
        <w:t>Nil</w:t>
      </w:r>
    </w:p>
    <w:p>
      <w:pPr>
        <w:spacing w:after="0" w:line="198" w:lineRule="exact"/>
        <w:rPr>
          <w:rFonts w:ascii="Arial" w:cs="Arial" w:eastAsia="Arial" w:hAnsi="Arial"/>
          <w:sz w:val="18"/>
          <w:szCs w:val="18"/>
          <w:color w:val="auto"/>
        </w:rPr>
      </w:pPr>
    </w:p>
    <w:p>
      <w:pPr>
        <w:ind w:left="800" w:hanging="792"/>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Shared Voting Power: </w:t>
      </w:r>
      <w:r>
        <w:rPr>
          <w:rFonts w:ascii="Arial" w:cs="Arial" w:eastAsia="Arial" w:hAnsi="Arial"/>
          <w:sz w:val="18"/>
          <w:szCs w:val="18"/>
          <w:b w:val="1"/>
          <w:bCs w:val="1"/>
          <w:color w:val="auto"/>
        </w:rPr>
        <w:t>941,029 shares of common stock</w:t>
      </w:r>
    </w:p>
    <w:p>
      <w:pPr>
        <w:spacing w:after="0" w:line="252" w:lineRule="exact"/>
        <w:rPr>
          <w:rFonts w:ascii="Arial" w:cs="Arial" w:eastAsia="Arial" w:hAnsi="Arial"/>
          <w:sz w:val="18"/>
          <w:szCs w:val="18"/>
          <w:color w:val="auto"/>
        </w:rPr>
      </w:pPr>
    </w:p>
    <w:p>
      <w:pPr>
        <w:ind w:left="800" w:hanging="792"/>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Sole Dispositive Power: </w:t>
      </w:r>
      <w:r>
        <w:rPr>
          <w:rFonts w:ascii="Arial" w:cs="Arial" w:eastAsia="Arial" w:hAnsi="Arial"/>
          <w:sz w:val="18"/>
          <w:szCs w:val="18"/>
          <w:b w:val="1"/>
          <w:bCs w:val="1"/>
          <w:color w:val="auto"/>
        </w:rPr>
        <w:t>Nil</w:t>
      </w:r>
    </w:p>
    <w:p>
      <w:pPr>
        <w:spacing w:after="0" w:line="198" w:lineRule="exact"/>
        <w:rPr>
          <w:rFonts w:ascii="Arial" w:cs="Arial" w:eastAsia="Arial" w:hAnsi="Arial"/>
          <w:sz w:val="18"/>
          <w:szCs w:val="18"/>
          <w:color w:val="auto"/>
        </w:rPr>
      </w:pPr>
    </w:p>
    <w:p>
      <w:pPr>
        <w:ind w:left="800" w:hanging="792"/>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Shared Dispositive Power: </w:t>
      </w:r>
      <w:r>
        <w:rPr>
          <w:rFonts w:ascii="Arial" w:cs="Arial" w:eastAsia="Arial" w:hAnsi="Arial"/>
          <w:sz w:val="18"/>
          <w:szCs w:val="18"/>
          <w:b w:val="1"/>
          <w:bCs w:val="1"/>
          <w:color w:val="auto"/>
        </w:rPr>
        <w:t>941,029 shares of common stock</w:t>
      </w:r>
    </w:p>
    <w:p>
      <w:pPr>
        <w:spacing w:after="0" w:line="252" w:lineRule="exact"/>
        <w:rPr>
          <w:rFonts w:ascii="Arial" w:cs="Arial" w:eastAsia="Arial" w:hAnsi="Arial"/>
          <w:sz w:val="18"/>
          <w:szCs w:val="18"/>
          <w:color w:val="auto"/>
        </w:rPr>
      </w:pPr>
    </w:p>
    <w:p>
      <w:pPr>
        <w:ind w:left="760" w:hanging="752"/>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8"/>
          <w:szCs w:val="18"/>
          <w:b w:val="1"/>
          <w:bCs w:val="1"/>
          <w:color w:val="auto"/>
        </w:rPr>
        <w:t>941,029 shares of common stock</w:t>
      </w:r>
    </w:p>
    <w:p>
      <w:pPr>
        <w:spacing w:after="0" w:line="198" w:lineRule="exact"/>
        <w:rPr>
          <w:rFonts w:ascii="Arial" w:cs="Arial" w:eastAsia="Arial" w:hAnsi="Arial"/>
          <w:sz w:val="18"/>
          <w:szCs w:val="18"/>
          <w:color w:val="auto"/>
        </w:rPr>
      </w:pPr>
    </w:p>
    <w:p>
      <w:pPr>
        <w:ind w:left="900" w:hanging="892"/>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 </w:t>
      </w:r>
      <w:r>
        <w:rPr>
          <w:rFonts w:ascii="Arial" w:cs="Arial" w:eastAsia="Arial" w:hAnsi="Arial"/>
          <w:sz w:val="18"/>
          <w:szCs w:val="18"/>
          <w:b w:val="1"/>
          <w:bCs w:val="1"/>
          <w:color w:val="auto"/>
        </w:rPr>
        <w:t>Not Applicable</w:t>
      </w:r>
    </w:p>
    <w:p>
      <w:pPr>
        <w:spacing w:after="0" w:line="188" w:lineRule="exact"/>
        <w:rPr>
          <w:rFonts w:ascii="Arial" w:cs="Arial" w:eastAsia="Arial" w:hAnsi="Arial"/>
          <w:sz w:val="18"/>
          <w:szCs w:val="18"/>
          <w:color w:val="auto"/>
        </w:rPr>
      </w:pPr>
    </w:p>
    <w:p>
      <w:pPr>
        <w:ind w:left="760" w:hanging="752"/>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8"/>
          <w:szCs w:val="18"/>
          <w:b w:val="1"/>
          <w:bCs w:val="1"/>
          <w:color w:val="auto"/>
        </w:rPr>
        <w:t>4.07%</w:t>
      </w:r>
      <w:r>
        <w:rPr>
          <w:rFonts w:ascii="Arial" w:cs="Arial" w:eastAsia="Arial" w:hAnsi="Arial"/>
          <w:sz w:val="30"/>
          <w:szCs w:val="30"/>
          <w:b w:val="1"/>
          <w:bCs w:val="1"/>
          <w:color w:val="auto"/>
          <w:vertAlign w:val="superscript"/>
        </w:rPr>
        <w:t>(1)</w:t>
      </w:r>
      <w:r>
        <w:rPr>
          <w:rFonts w:ascii="Arial" w:cs="Arial" w:eastAsia="Arial" w:hAnsi="Arial"/>
          <w:sz w:val="18"/>
          <w:szCs w:val="18"/>
          <w:color w:val="auto"/>
        </w:rPr>
        <w:t xml:space="preserve"> </w:t>
      </w:r>
      <w:r>
        <w:rPr>
          <w:rFonts w:ascii="Arial" w:cs="Arial" w:eastAsia="Arial" w:hAnsi="Arial"/>
          <w:sz w:val="18"/>
          <w:szCs w:val="18"/>
          <w:b w:val="1"/>
          <w:bCs w:val="1"/>
          <w:color w:val="auto"/>
        </w:rPr>
        <w:t>of all of the outstanding shares of the Issuer</w:t>
      </w:r>
    </w:p>
    <w:p>
      <w:pPr>
        <w:spacing w:after="0" w:line="69" w:lineRule="exact"/>
        <w:rPr>
          <w:rFonts w:ascii="Arial" w:cs="Arial" w:eastAsia="Arial" w:hAnsi="Arial"/>
          <w:sz w:val="18"/>
          <w:szCs w:val="18"/>
          <w:color w:val="auto"/>
        </w:rPr>
      </w:pPr>
    </w:p>
    <w:p>
      <w:pPr>
        <w:ind w:left="860" w:hanging="852"/>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 </w:t>
      </w:r>
      <w:r>
        <w:rPr>
          <w:rFonts w:ascii="Arial" w:cs="Arial" w:eastAsia="Arial" w:hAnsi="Arial"/>
          <w:sz w:val="18"/>
          <w:szCs w:val="18"/>
          <w:b w:val="1"/>
          <w:bCs w:val="1"/>
          <w:color w:val="auto"/>
        </w:rPr>
        <w:t>CO</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Notes:</w:t>
      </w:r>
    </w:p>
    <w:p>
      <w:pPr>
        <w:ind w:left="660" w:hanging="328"/>
        <w:spacing w:after="0" w:line="2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Calculated based on 23,114,059 shares of common stock outstanding as of July 20, 2016 as indicated in the Issuer’s Quarterly Report on Form 10-Q filed on July 26, 2016.</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738" w:right="3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CUSIP NO. 00504W308</w:t>
      </w:r>
    </w:p>
    <w:p>
      <w:pPr>
        <w:spacing w:after="0" w:line="198" w:lineRule="exact"/>
        <w:rPr>
          <w:sz w:val="20"/>
          <w:szCs w:val="20"/>
          <w:color w:val="auto"/>
        </w:rPr>
      </w:pPr>
    </w:p>
    <w:p>
      <w:pPr>
        <w:ind w:left="800" w:hanging="792"/>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Names of Reporting Persons: </w:t>
      </w:r>
      <w:r>
        <w:rPr>
          <w:rFonts w:ascii="Arial" w:cs="Arial" w:eastAsia="Arial" w:hAnsi="Arial"/>
          <w:sz w:val="18"/>
          <w:szCs w:val="18"/>
          <w:b w:val="1"/>
          <w:bCs w:val="1"/>
          <w:color w:val="auto"/>
        </w:rPr>
        <w:t>Pacific View Asset Management (UK) LLP</w:t>
      </w:r>
    </w:p>
    <w:p>
      <w:pPr>
        <w:spacing w:after="0" w:line="256" w:lineRule="exact"/>
        <w:rPr>
          <w:rFonts w:ascii="Arial" w:cs="Arial" w:eastAsia="Arial" w:hAnsi="Arial"/>
          <w:sz w:val="18"/>
          <w:szCs w:val="18"/>
          <w:color w:val="auto"/>
        </w:rPr>
      </w:pPr>
    </w:p>
    <w:p>
      <w:pPr>
        <w:ind w:left="800" w:hanging="792"/>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196" w:lineRule="exact"/>
        <w:rPr>
          <w:rFonts w:ascii="Arial" w:cs="Arial" w:eastAsia="Arial" w:hAnsi="Arial"/>
          <w:sz w:val="18"/>
          <w:szCs w:val="18"/>
          <w:color w:val="auto"/>
        </w:rPr>
      </w:pPr>
    </w:p>
    <w:p>
      <w:pPr>
        <w:ind w:left="2180" w:hanging="875"/>
        <w:spacing w:after="0" w:line="228" w:lineRule="exact"/>
        <w:tabs>
          <w:tab w:leader="none" w:pos="2180" w:val="left"/>
        </w:tabs>
        <w:numPr>
          <w:ilvl w:val="1"/>
          <w:numId w:val="8"/>
        </w:numPr>
        <w:rPr>
          <w:rFonts w:ascii="Arial" w:cs="Arial" w:eastAsia="Arial" w:hAnsi="Arial"/>
          <w:sz w:val="18"/>
          <w:szCs w:val="18"/>
          <w:color w:val="auto"/>
        </w:rPr>
      </w:pPr>
      <w:r>
        <w:rPr>
          <w:rFonts w:ascii="MS PGothic" w:cs="MS PGothic" w:eastAsia="MS PGothic" w:hAnsi="MS PGothic"/>
          <w:sz w:val="22"/>
          <w:szCs w:val="22"/>
          <w:color w:val="auto"/>
        </w:rPr>
        <w:t>☒</w:t>
      </w:r>
    </w:p>
    <w:p>
      <w:pPr>
        <w:spacing w:after="0" w:line="245" w:lineRule="exact"/>
        <w:rPr>
          <w:rFonts w:ascii="Arial" w:cs="Arial" w:eastAsia="Arial" w:hAnsi="Arial"/>
          <w:sz w:val="18"/>
          <w:szCs w:val="18"/>
          <w:color w:val="auto"/>
        </w:rPr>
      </w:pPr>
    </w:p>
    <w:p>
      <w:pPr>
        <w:ind w:left="2180" w:hanging="875"/>
        <w:spacing w:after="0" w:line="228" w:lineRule="exact"/>
        <w:tabs>
          <w:tab w:leader="none" w:pos="2180" w:val="left"/>
        </w:tabs>
        <w:numPr>
          <w:ilvl w:val="1"/>
          <w:numId w:val="8"/>
        </w:numPr>
        <w:rPr>
          <w:rFonts w:ascii="Arial" w:cs="Arial" w:eastAsia="Arial" w:hAnsi="Arial"/>
          <w:sz w:val="18"/>
          <w:szCs w:val="18"/>
          <w:color w:val="auto"/>
        </w:rPr>
      </w:pPr>
      <w:r>
        <w:rPr>
          <w:rFonts w:ascii="MS PGothic" w:cs="MS PGothic" w:eastAsia="MS PGothic" w:hAnsi="MS PGothic"/>
          <w:sz w:val="22"/>
          <w:szCs w:val="22"/>
          <w:color w:val="auto"/>
        </w:rPr>
        <w:t>☐</w:t>
      </w:r>
    </w:p>
    <w:p>
      <w:pPr>
        <w:spacing w:after="0" w:line="319" w:lineRule="exact"/>
        <w:rPr>
          <w:rFonts w:ascii="Arial" w:cs="Arial" w:eastAsia="Arial" w:hAnsi="Arial"/>
          <w:sz w:val="18"/>
          <w:szCs w:val="18"/>
          <w:color w:val="auto"/>
        </w:rPr>
      </w:pPr>
    </w:p>
    <w:p>
      <w:pPr>
        <w:ind w:left="800" w:hanging="792"/>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0" w:lineRule="exact"/>
        <w:rPr>
          <w:rFonts w:ascii="Arial" w:cs="Arial" w:eastAsia="Arial" w:hAnsi="Arial"/>
          <w:sz w:val="18"/>
          <w:szCs w:val="18"/>
          <w:color w:val="auto"/>
        </w:rPr>
      </w:pPr>
    </w:p>
    <w:p>
      <w:pPr>
        <w:ind w:left="800" w:hanging="792"/>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8"/>
          <w:szCs w:val="18"/>
          <w:b w:val="1"/>
          <w:bCs w:val="1"/>
          <w:color w:val="auto"/>
        </w:rPr>
        <w:t>United Kingdom</w:t>
      </w:r>
    </w:p>
    <w:p>
      <w:pPr>
        <w:spacing w:after="0" w:line="252" w:lineRule="exact"/>
        <w:rPr>
          <w:rFonts w:ascii="Arial" w:cs="Arial" w:eastAsia="Arial" w:hAnsi="Arial"/>
          <w:sz w:val="18"/>
          <w:szCs w:val="18"/>
          <w:color w:val="auto"/>
        </w:rPr>
      </w:pPr>
    </w:p>
    <w:p>
      <w:pPr>
        <w:ind w:left="760" w:hanging="752"/>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Sole Voting Power: </w:t>
      </w:r>
      <w:r>
        <w:rPr>
          <w:rFonts w:ascii="Arial" w:cs="Arial" w:eastAsia="Arial" w:hAnsi="Arial"/>
          <w:sz w:val="18"/>
          <w:szCs w:val="18"/>
          <w:b w:val="1"/>
          <w:bCs w:val="1"/>
          <w:color w:val="auto"/>
        </w:rPr>
        <w:t>Nil</w:t>
      </w:r>
    </w:p>
    <w:p>
      <w:pPr>
        <w:spacing w:after="0" w:line="198" w:lineRule="exact"/>
        <w:rPr>
          <w:rFonts w:ascii="Arial" w:cs="Arial" w:eastAsia="Arial" w:hAnsi="Arial"/>
          <w:sz w:val="18"/>
          <w:szCs w:val="18"/>
          <w:color w:val="auto"/>
        </w:rPr>
      </w:pPr>
    </w:p>
    <w:p>
      <w:pPr>
        <w:ind w:left="800" w:hanging="792"/>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Shared Voting Power: </w:t>
      </w:r>
      <w:r>
        <w:rPr>
          <w:rFonts w:ascii="Arial" w:cs="Arial" w:eastAsia="Arial" w:hAnsi="Arial"/>
          <w:sz w:val="18"/>
          <w:szCs w:val="18"/>
          <w:b w:val="1"/>
          <w:bCs w:val="1"/>
          <w:color w:val="auto"/>
        </w:rPr>
        <w:t>941,029 shares of common stock</w:t>
      </w:r>
    </w:p>
    <w:p>
      <w:pPr>
        <w:spacing w:after="0" w:line="252" w:lineRule="exact"/>
        <w:rPr>
          <w:rFonts w:ascii="Arial" w:cs="Arial" w:eastAsia="Arial" w:hAnsi="Arial"/>
          <w:sz w:val="18"/>
          <w:szCs w:val="18"/>
          <w:color w:val="auto"/>
        </w:rPr>
      </w:pPr>
    </w:p>
    <w:p>
      <w:pPr>
        <w:ind w:left="760" w:hanging="752"/>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Sole Dispositive Power: </w:t>
      </w:r>
      <w:r>
        <w:rPr>
          <w:rFonts w:ascii="Arial" w:cs="Arial" w:eastAsia="Arial" w:hAnsi="Arial"/>
          <w:sz w:val="18"/>
          <w:szCs w:val="18"/>
          <w:b w:val="1"/>
          <w:bCs w:val="1"/>
          <w:color w:val="auto"/>
        </w:rPr>
        <w:t>Nil</w:t>
      </w:r>
    </w:p>
    <w:p>
      <w:pPr>
        <w:spacing w:after="0" w:line="198" w:lineRule="exact"/>
        <w:rPr>
          <w:rFonts w:ascii="Arial" w:cs="Arial" w:eastAsia="Arial" w:hAnsi="Arial"/>
          <w:sz w:val="18"/>
          <w:szCs w:val="18"/>
          <w:color w:val="auto"/>
        </w:rPr>
      </w:pPr>
    </w:p>
    <w:p>
      <w:pPr>
        <w:ind w:left="900" w:hanging="892"/>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Shared Dispositive Power: </w:t>
      </w:r>
      <w:r>
        <w:rPr>
          <w:rFonts w:ascii="Arial" w:cs="Arial" w:eastAsia="Arial" w:hAnsi="Arial"/>
          <w:sz w:val="18"/>
          <w:szCs w:val="18"/>
          <w:b w:val="1"/>
          <w:bCs w:val="1"/>
          <w:color w:val="auto"/>
        </w:rPr>
        <w:t>941,029 shares of common stock</w:t>
      </w:r>
    </w:p>
    <w:p>
      <w:pPr>
        <w:spacing w:after="0" w:line="198" w:lineRule="exact"/>
        <w:rPr>
          <w:rFonts w:ascii="Arial" w:cs="Arial" w:eastAsia="Arial" w:hAnsi="Arial"/>
          <w:sz w:val="18"/>
          <w:szCs w:val="18"/>
          <w:color w:val="auto"/>
        </w:rPr>
      </w:pPr>
    </w:p>
    <w:p>
      <w:pPr>
        <w:ind w:left="740" w:hanging="7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8"/>
          <w:szCs w:val="18"/>
          <w:b w:val="1"/>
          <w:bCs w:val="1"/>
          <w:color w:val="auto"/>
        </w:rPr>
        <w:t>941,029 shares of common stock</w:t>
      </w:r>
    </w:p>
    <w:p>
      <w:pPr>
        <w:spacing w:after="0" w:line="198" w:lineRule="exact"/>
        <w:rPr>
          <w:rFonts w:ascii="Arial" w:cs="Arial" w:eastAsia="Arial" w:hAnsi="Arial"/>
          <w:sz w:val="18"/>
          <w:szCs w:val="18"/>
          <w:color w:val="auto"/>
        </w:rPr>
      </w:pPr>
    </w:p>
    <w:p>
      <w:pPr>
        <w:ind w:left="860" w:hanging="852"/>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 </w:t>
      </w:r>
      <w:r>
        <w:rPr>
          <w:rFonts w:ascii="Arial" w:cs="Arial" w:eastAsia="Arial" w:hAnsi="Arial"/>
          <w:sz w:val="18"/>
          <w:szCs w:val="18"/>
          <w:b w:val="1"/>
          <w:bCs w:val="1"/>
          <w:color w:val="auto"/>
        </w:rPr>
        <w:t>Not Applicable</w:t>
      </w:r>
    </w:p>
    <w:p>
      <w:pPr>
        <w:spacing w:after="0" w:line="188" w:lineRule="exact"/>
        <w:rPr>
          <w:rFonts w:ascii="Arial" w:cs="Arial" w:eastAsia="Arial" w:hAnsi="Arial"/>
          <w:sz w:val="18"/>
          <w:szCs w:val="18"/>
          <w:color w:val="auto"/>
        </w:rPr>
      </w:pPr>
    </w:p>
    <w:p>
      <w:pPr>
        <w:ind w:left="720" w:hanging="712"/>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8"/>
          <w:szCs w:val="18"/>
          <w:b w:val="1"/>
          <w:bCs w:val="1"/>
          <w:color w:val="auto"/>
        </w:rPr>
        <w:t>4.07%</w:t>
      </w:r>
      <w:r>
        <w:rPr>
          <w:rFonts w:ascii="Arial" w:cs="Arial" w:eastAsia="Arial" w:hAnsi="Arial"/>
          <w:sz w:val="30"/>
          <w:szCs w:val="30"/>
          <w:b w:val="1"/>
          <w:bCs w:val="1"/>
          <w:color w:val="auto"/>
          <w:vertAlign w:val="superscript"/>
        </w:rPr>
        <w:t>(1)</w:t>
      </w:r>
      <w:r>
        <w:rPr>
          <w:rFonts w:ascii="Arial" w:cs="Arial" w:eastAsia="Arial" w:hAnsi="Arial"/>
          <w:sz w:val="18"/>
          <w:szCs w:val="18"/>
          <w:color w:val="auto"/>
        </w:rPr>
        <w:t xml:space="preserve"> </w:t>
      </w:r>
      <w:r>
        <w:rPr>
          <w:rFonts w:ascii="Arial" w:cs="Arial" w:eastAsia="Arial" w:hAnsi="Arial"/>
          <w:sz w:val="18"/>
          <w:szCs w:val="18"/>
          <w:b w:val="1"/>
          <w:bCs w:val="1"/>
          <w:color w:val="auto"/>
        </w:rPr>
        <w:t>of all of the outstanding shares of the Issuer</w:t>
      </w:r>
    </w:p>
    <w:p>
      <w:pPr>
        <w:spacing w:after="0" w:line="69" w:lineRule="exact"/>
        <w:rPr>
          <w:rFonts w:ascii="Arial" w:cs="Arial" w:eastAsia="Arial" w:hAnsi="Arial"/>
          <w:sz w:val="18"/>
          <w:szCs w:val="18"/>
          <w:color w:val="auto"/>
        </w:rPr>
      </w:pPr>
    </w:p>
    <w:p>
      <w:pPr>
        <w:ind w:left="860" w:hanging="852"/>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 </w:t>
      </w:r>
      <w:r>
        <w:rPr>
          <w:rFonts w:ascii="Arial" w:cs="Arial" w:eastAsia="Arial" w:hAnsi="Arial"/>
          <w:sz w:val="18"/>
          <w:szCs w:val="18"/>
          <w:b w:val="1"/>
          <w:bCs w:val="1"/>
          <w:color w:val="auto"/>
        </w:rPr>
        <w:t>PN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Notes:</w:t>
      </w:r>
    </w:p>
    <w:p>
      <w:pPr>
        <w:ind w:left="660" w:hanging="328"/>
        <w:spacing w:after="0" w:line="2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Calculated based on 23,114,059 shares of common stock outstanding as of July 20, 2016 as indicated in the Issuer’s Quarterly Report on Form 10-Q filed on July 26, 2016.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738" w:right="3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w:t>
      </w:r>
    </w:p>
    <w:p>
      <w:pPr>
        <w:spacing w:after="0" w:line="212" w:lineRule="exact"/>
        <w:rPr>
          <w:sz w:val="20"/>
          <w:szCs w:val="20"/>
          <w:color w:val="auto"/>
        </w:rPr>
      </w:pPr>
    </w:p>
    <w:p>
      <w:pPr>
        <w:ind w:left="1380" w:hanging="724"/>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Name of Issuer: </w:t>
      </w:r>
      <w:r>
        <w:rPr>
          <w:rFonts w:ascii="Arial" w:cs="Arial" w:eastAsia="Arial" w:hAnsi="Arial"/>
          <w:sz w:val="18"/>
          <w:szCs w:val="18"/>
          <w:b w:val="1"/>
          <w:bCs w:val="1"/>
          <w:color w:val="auto"/>
        </w:rPr>
        <w:t>Active Power, Inc.</w:t>
      </w:r>
      <w:r>
        <w:rPr>
          <w:rFonts w:ascii="Arial" w:cs="Arial" w:eastAsia="Arial" w:hAnsi="Arial"/>
          <w:sz w:val="18"/>
          <w:szCs w:val="18"/>
          <w:color w:val="auto"/>
        </w:rPr>
        <w:t xml:space="preserve">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280" w:hanging="624"/>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Address of Issuer’s Principal Executive Offices: </w:t>
      </w:r>
      <w:r>
        <w:rPr>
          <w:rFonts w:ascii="Arial" w:cs="Arial" w:eastAsia="Arial" w:hAnsi="Arial"/>
          <w:sz w:val="18"/>
          <w:szCs w:val="18"/>
          <w:b w:val="1"/>
          <w:bCs w:val="1"/>
          <w:color w:val="auto"/>
        </w:rPr>
        <w:t>2128 W. Braker Lane, BK 12, Austin, Texas 78758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34" w:lineRule="exact"/>
        <w:rPr>
          <w:sz w:val="20"/>
          <w:szCs w:val="20"/>
          <w:color w:val="auto"/>
        </w:rPr>
      </w:pPr>
    </w:p>
    <w:p>
      <w:pPr>
        <w:ind w:left="1380" w:hanging="724"/>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11" w:lineRule="exact"/>
        <w:rPr>
          <w:rFonts w:ascii="Arial" w:cs="Arial" w:eastAsia="Arial" w:hAnsi="Arial"/>
          <w:sz w:val="18"/>
          <w:szCs w:val="18"/>
          <w:color w:val="auto"/>
        </w:rPr>
      </w:pPr>
    </w:p>
    <w:p>
      <w:pPr>
        <w:ind w:left="1280" w:hanging="624"/>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89" w:lineRule="exact"/>
        <w:rPr>
          <w:rFonts w:ascii="Arial" w:cs="Arial" w:eastAsia="Arial" w:hAnsi="Arial"/>
          <w:sz w:val="18"/>
          <w:szCs w:val="18"/>
          <w:color w:val="auto"/>
        </w:rPr>
      </w:pPr>
    </w:p>
    <w:p>
      <w:pPr>
        <w:jc w:val="both"/>
        <w:ind w:left="1300"/>
        <w:spacing w:after="0" w:line="247" w:lineRule="auto"/>
        <w:rPr>
          <w:rFonts w:ascii="Arial" w:cs="Arial" w:eastAsia="Arial" w:hAnsi="Arial"/>
          <w:sz w:val="18"/>
          <w:szCs w:val="18"/>
          <w:color w:val="auto"/>
        </w:rPr>
      </w:pPr>
      <w:r>
        <w:rPr>
          <w:rFonts w:ascii="Arial" w:cs="Arial" w:eastAsia="Arial" w:hAnsi="Arial"/>
          <w:sz w:val="18"/>
          <w:szCs w:val="18"/>
          <w:b w:val="1"/>
          <w:bCs w:val="1"/>
          <w:color w:val="auto"/>
        </w:rPr>
        <w:t>This Schedule 13G is being filed on behalf of (i) PVAM Perlus Microcap Fund L.P., a limited partnership formed under the laws of Jersey in the Channel Islands; (ii) PVAM Holdings Ltd., a corporation formed under the laws of the United Kingdom; and (iii) Pacific View Asset Management (UK) LLP, a limited liability partnership formed under the laws of the United Kingdom (together, the “Reporting Persons”).</w:t>
      </w:r>
    </w:p>
    <w:p>
      <w:pPr>
        <w:spacing w:after="0" w:line="174" w:lineRule="exact"/>
        <w:rPr>
          <w:rFonts w:ascii="Arial" w:cs="Arial" w:eastAsia="Arial" w:hAnsi="Arial"/>
          <w:sz w:val="18"/>
          <w:szCs w:val="18"/>
          <w:color w:val="auto"/>
        </w:rPr>
      </w:pPr>
    </w:p>
    <w:p>
      <w:pPr>
        <w:jc w:val="both"/>
        <w:ind w:left="1300"/>
        <w:spacing w:after="0" w:line="242" w:lineRule="auto"/>
        <w:rPr>
          <w:rFonts w:ascii="Arial" w:cs="Arial" w:eastAsia="Arial" w:hAnsi="Arial"/>
          <w:sz w:val="18"/>
          <w:szCs w:val="18"/>
          <w:color w:val="auto"/>
        </w:rPr>
      </w:pPr>
      <w:r>
        <w:rPr>
          <w:rFonts w:ascii="Arial" w:cs="Arial" w:eastAsia="Arial" w:hAnsi="Arial"/>
          <w:sz w:val="18"/>
          <w:szCs w:val="18"/>
          <w:b w:val="1"/>
          <w:bCs w:val="1"/>
          <w:color w:val="auto"/>
        </w:rPr>
        <w:t>PVAM Perlus Microcap Fund L.P. is the beneficial owner of 941,029 shares of common stock of Active Power, Inc. (the "Shares"). The Shares are held in the account of PVAM Perlus Microcap Fund L.P., the investments of which are managed by Pacific View Asset Management (UK) LLP of which PVAM Holdings Ltd. ("PVAM") is the managing member. Pacific View Asset Management (UK) LLP ("PVAM LLP") exercises voting power and shares dispositive control over the Shares and PVAM shares indirect voting and dispositive power over the Shares. Each of PVAM and PVAM LLP disclaims beneficial ownership of the Shares.</w:t>
      </w:r>
    </w:p>
    <w:p>
      <w:pPr>
        <w:spacing w:after="0" w:line="179" w:lineRule="exact"/>
        <w:rPr>
          <w:rFonts w:ascii="Arial" w:cs="Arial" w:eastAsia="Arial" w:hAnsi="Arial"/>
          <w:sz w:val="18"/>
          <w:szCs w:val="18"/>
          <w:color w:val="auto"/>
        </w:rPr>
      </w:pPr>
    </w:p>
    <w:p>
      <w:pPr>
        <w:jc w:val="both"/>
        <w:ind w:left="1300"/>
        <w:spacing w:after="0" w:line="253" w:lineRule="auto"/>
        <w:rPr>
          <w:rFonts w:ascii="Arial" w:cs="Arial" w:eastAsia="Arial" w:hAnsi="Arial"/>
          <w:sz w:val="18"/>
          <w:szCs w:val="18"/>
          <w:color w:val="auto"/>
        </w:rPr>
      </w:pPr>
      <w:r>
        <w:rPr>
          <w:rFonts w:ascii="Arial" w:cs="Arial" w:eastAsia="Arial" w:hAnsi="Arial"/>
          <w:sz w:val="18"/>
          <w:szCs w:val="18"/>
          <w:b w:val="1"/>
          <w:bCs w:val="1"/>
          <w:color w:val="auto"/>
        </w:rPr>
        <w:t>The Reporting Persons have entered into a Joint Filing Agreement, pursuant to which the Reporting Persons have agreed to file this Schedule 13G jointly in accordance with the provisions of Rule 13d-1(k) of the Securities Exchange Act of 1934, as amended.</w:t>
      </w:r>
    </w:p>
    <w:p>
      <w:pPr>
        <w:spacing w:after="0" w:line="169" w:lineRule="exact"/>
        <w:rPr>
          <w:rFonts w:ascii="Arial" w:cs="Arial" w:eastAsia="Arial" w:hAnsi="Arial"/>
          <w:sz w:val="18"/>
          <w:szCs w:val="18"/>
          <w:color w:val="auto"/>
        </w:rPr>
      </w:pPr>
    </w:p>
    <w:p>
      <w:pPr>
        <w:ind w:left="130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The principal business office address of PVAM Perlus Microcap Fund L.P. is Fifth Floor, 37 Esplanade, St. Helier, Jersey, Channel Islands JE1 2TR.</w:t>
      </w:r>
    </w:p>
    <w:p>
      <w:pPr>
        <w:spacing w:after="0" w:line="144" w:lineRule="exact"/>
        <w:rPr>
          <w:rFonts w:ascii="Arial" w:cs="Arial" w:eastAsia="Arial" w:hAnsi="Arial"/>
          <w:sz w:val="18"/>
          <w:szCs w:val="18"/>
          <w:color w:val="auto"/>
        </w:rPr>
      </w:pPr>
    </w:p>
    <w:p>
      <w:pPr>
        <w:ind w:left="1300" w:right="20"/>
        <w:spacing w:after="0" w:line="196" w:lineRule="auto"/>
        <w:rPr>
          <w:rFonts w:ascii="Arial" w:cs="Arial" w:eastAsia="Arial" w:hAnsi="Arial"/>
          <w:sz w:val="18"/>
          <w:szCs w:val="18"/>
          <w:color w:val="auto"/>
        </w:rPr>
      </w:pPr>
      <w:r>
        <w:rPr>
          <w:rFonts w:ascii="Arial" w:cs="Arial" w:eastAsia="Arial" w:hAnsi="Arial"/>
          <w:sz w:val="18"/>
          <w:szCs w:val="18"/>
          <w:b w:val="1"/>
          <w:bCs w:val="1"/>
          <w:color w:val="auto"/>
        </w:rPr>
        <w:t>The principal business office address of PVAM Holdings Ltd. is 5</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6 St. Andrew Street, London EC4A 3AE, United Kingdom.</w:t>
      </w:r>
    </w:p>
    <w:p>
      <w:pPr>
        <w:spacing w:after="0" w:line="170" w:lineRule="exact"/>
        <w:rPr>
          <w:rFonts w:ascii="Arial" w:cs="Arial" w:eastAsia="Arial" w:hAnsi="Arial"/>
          <w:sz w:val="18"/>
          <w:szCs w:val="18"/>
          <w:color w:val="auto"/>
        </w:rPr>
      </w:pPr>
    </w:p>
    <w:p>
      <w:pPr>
        <w:ind w:left="1300" w:right="20"/>
        <w:spacing w:after="0" w:line="196" w:lineRule="auto"/>
        <w:rPr>
          <w:rFonts w:ascii="Arial" w:cs="Arial" w:eastAsia="Arial" w:hAnsi="Arial"/>
          <w:sz w:val="18"/>
          <w:szCs w:val="18"/>
          <w:color w:val="auto"/>
        </w:rPr>
      </w:pPr>
      <w:r>
        <w:rPr>
          <w:rFonts w:ascii="Arial" w:cs="Arial" w:eastAsia="Arial" w:hAnsi="Arial"/>
          <w:sz w:val="18"/>
          <w:szCs w:val="18"/>
          <w:b w:val="1"/>
          <w:bCs w:val="1"/>
          <w:color w:val="auto"/>
        </w:rPr>
        <w:t>The principal business office address of Pacific View Asset Management (UK) LLP is 5</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6 St. Andrew Street, London EC4A 3AE, United Kingdom.</w:t>
      </w:r>
    </w:p>
    <w:p>
      <w:pPr>
        <w:spacing w:after="0" w:line="179" w:lineRule="exact"/>
        <w:rPr>
          <w:rFonts w:ascii="Arial" w:cs="Arial" w:eastAsia="Arial" w:hAnsi="Arial"/>
          <w:sz w:val="18"/>
          <w:szCs w:val="18"/>
          <w:color w:val="auto"/>
        </w:rPr>
      </w:pPr>
    </w:p>
    <w:p>
      <w:pPr>
        <w:ind w:left="1420" w:hanging="764"/>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Title of Class of Securities: </w:t>
      </w:r>
      <w:r>
        <w:rPr>
          <w:rFonts w:ascii="Arial" w:cs="Arial" w:eastAsia="Arial" w:hAnsi="Arial"/>
          <w:sz w:val="18"/>
          <w:szCs w:val="18"/>
          <w:b w:val="1"/>
          <w:bCs w:val="1"/>
          <w:color w:val="auto"/>
        </w:rPr>
        <w:t>Common Stock, par value $0.001</w:t>
      </w:r>
    </w:p>
    <w:p>
      <w:pPr>
        <w:spacing w:after="0" w:line="211" w:lineRule="exact"/>
        <w:rPr>
          <w:rFonts w:ascii="Arial" w:cs="Arial" w:eastAsia="Arial" w:hAnsi="Arial"/>
          <w:sz w:val="18"/>
          <w:szCs w:val="18"/>
          <w:color w:val="auto"/>
        </w:rPr>
      </w:pPr>
    </w:p>
    <w:p>
      <w:pPr>
        <w:ind w:left="1420" w:hanging="764"/>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CUSIP Number: </w:t>
      </w:r>
      <w:r>
        <w:rPr>
          <w:rFonts w:ascii="Arial" w:cs="Arial" w:eastAsia="Arial" w:hAnsi="Arial"/>
          <w:sz w:val="18"/>
          <w:szCs w:val="18"/>
          <w:b w:val="1"/>
          <w:bCs w:val="1"/>
          <w:color w:val="auto"/>
        </w:rPr>
        <w:t>00504W308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 240.13d-1(b) or 240.13d-2(b) or (c), check whether the person filing is a:</w:t>
      </w:r>
    </w:p>
    <w:p>
      <w:pPr>
        <w:spacing w:after="0" w:line="23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166" w:lineRule="exact"/>
        <w:rPr>
          <w:sz w:val="20"/>
          <w:szCs w:val="20"/>
          <w:color w:val="auto"/>
        </w:rPr>
      </w:pPr>
    </w:p>
    <w:p>
      <w:pPr>
        <w:ind w:left="1120" w:hanging="464"/>
        <w:spacing w:after="0" w:line="207" w:lineRule="exact"/>
        <w:tabs>
          <w:tab w:leader="none" w:pos="11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11" w:lineRule="exact"/>
        <w:rPr>
          <w:rFonts w:ascii="Arial" w:cs="Arial" w:eastAsia="Arial" w:hAnsi="Arial"/>
          <w:sz w:val="18"/>
          <w:szCs w:val="18"/>
          <w:color w:val="auto"/>
        </w:rPr>
      </w:pPr>
    </w:p>
    <w:p>
      <w:pPr>
        <w:ind w:left="1120" w:hanging="464"/>
        <w:spacing w:after="0" w:line="207" w:lineRule="exact"/>
        <w:tabs>
          <w:tab w:leader="none" w:pos="11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11" w:lineRule="exact"/>
        <w:rPr>
          <w:rFonts w:ascii="Arial" w:cs="Arial" w:eastAsia="Arial" w:hAnsi="Arial"/>
          <w:sz w:val="18"/>
          <w:szCs w:val="18"/>
          <w:color w:val="auto"/>
        </w:rPr>
      </w:pPr>
    </w:p>
    <w:p>
      <w:pPr>
        <w:ind w:left="1160" w:hanging="504"/>
        <w:spacing w:after="0" w:line="207" w:lineRule="exact"/>
        <w:tabs>
          <w:tab w:leader="none" w:pos="116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5" w:name="page6"/>
    <w:bookmarkEnd w:id="5"/>
    <w:p>
      <w:pPr>
        <w:ind w:left="1240" w:hanging="584"/>
        <w:spacing w:after="0" w:line="219" w:lineRule="exact"/>
        <w:tabs>
          <w:tab w:leader="none" w:pos="1240" w:val="left"/>
        </w:tabs>
        <w:numPr>
          <w:ilvl w:val="0"/>
          <w:numId w:val="13"/>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Investment company registered under section 8 of the Investment Company Act of 1940 (15 U.S.C. 80a-8).</w:t>
      </w:r>
    </w:p>
    <w:p>
      <w:pPr>
        <w:spacing w:after="0" w:line="228" w:lineRule="exact"/>
        <w:rPr>
          <w:rFonts w:ascii="Arial" w:cs="Arial" w:eastAsia="Arial" w:hAnsi="Arial"/>
          <w:sz w:val="19"/>
          <w:szCs w:val="19"/>
          <w:color w:val="auto"/>
        </w:rPr>
      </w:pPr>
    </w:p>
    <w:p>
      <w:pPr>
        <w:ind w:left="1180" w:hanging="524"/>
        <w:spacing w:after="0" w:line="207" w:lineRule="exact"/>
        <w:tabs>
          <w:tab w:leader="none" w:pos="118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11" w:lineRule="exact"/>
        <w:rPr>
          <w:rFonts w:ascii="Arial" w:cs="Arial" w:eastAsia="Arial" w:hAnsi="Arial"/>
          <w:sz w:val="18"/>
          <w:szCs w:val="18"/>
          <w:color w:val="auto"/>
        </w:rPr>
      </w:pPr>
    </w:p>
    <w:p>
      <w:pPr>
        <w:ind w:left="1180" w:hanging="524"/>
        <w:spacing w:after="0" w:line="207" w:lineRule="exact"/>
        <w:tabs>
          <w:tab w:leader="none" w:pos="118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11" w:lineRule="exact"/>
        <w:rPr>
          <w:rFonts w:ascii="Arial" w:cs="Arial" w:eastAsia="Arial" w:hAnsi="Arial"/>
          <w:sz w:val="18"/>
          <w:szCs w:val="18"/>
          <w:color w:val="auto"/>
        </w:rPr>
      </w:pPr>
    </w:p>
    <w:p>
      <w:pPr>
        <w:ind w:left="1180" w:hanging="524"/>
        <w:spacing w:after="0" w:line="207" w:lineRule="exact"/>
        <w:tabs>
          <w:tab w:leader="none" w:pos="118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83" w:lineRule="exact"/>
        <w:rPr>
          <w:rFonts w:ascii="Arial" w:cs="Arial" w:eastAsia="Arial" w:hAnsi="Arial"/>
          <w:sz w:val="18"/>
          <w:szCs w:val="18"/>
          <w:color w:val="auto"/>
        </w:rPr>
      </w:pPr>
    </w:p>
    <w:p>
      <w:pPr>
        <w:ind w:left="1240" w:hanging="584"/>
        <w:spacing w:after="0" w:line="242" w:lineRule="exact"/>
        <w:tabs>
          <w:tab w:leader="none" w:pos="1240" w:val="left"/>
        </w:tabs>
        <w:numPr>
          <w:ilvl w:val="0"/>
          <w:numId w:val="13"/>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color w:val="auto"/>
        </w:rPr>
        <w:t xml:space="preserve">  A savings associations as defined in Section 3(b) of the Federal Deposit Insurance Act (12 U.S.C. 1813):</w:t>
      </w:r>
    </w:p>
    <w:p>
      <w:pPr>
        <w:spacing w:after="0" w:line="177" w:lineRule="exact"/>
        <w:rPr>
          <w:rFonts w:ascii="Arial" w:cs="Arial" w:eastAsia="Arial" w:hAnsi="Arial"/>
          <w:sz w:val="21"/>
          <w:szCs w:val="21"/>
          <w:color w:val="auto"/>
        </w:rPr>
      </w:pPr>
    </w:p>
    <w:p>
      <w:pPr>
        <w:ind w:left="660" w:hanging="4"/>
        <w:spacing w:after="0" w:line="259" w:lineRule="exact"/>
        <w:tabs>
          <w:tab w:leader="none" w:pos="1297" w:val="left"/>
        </w:tabs>
        <w:numPr>
          <w:ilvl w:val="0"/>
          <w:numId w:val="13"/>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church plan that is excluded from the definition of an investment company under section 3(c)(14) of the Investment Company Act of 1940 (15 U.S.C. 80a-3):</w:t>
      </w:r>
    </w:p>
    <w:p>
      <w:pPr>
        <w:spacing w:after="0" w:line="132" w:lineRule="exact"/>
        <w:rPr>
          <w:rFonts w:ascii="Arial" w:cs="Arial" w:eastAsia="Arial" w:hAnsi="Arial"/>
          <w:sz w:val="22"/>
          <w:szCs w:val="22"/>
          <w:color w:val="auto"/>
        </w:rPr>
      </w:pPr>
    </w:p>
    <w:p>
      <w:pPr>
        <w:ind w:left="1120" w:hanging="464"/>
        <w:spacing w:after="0" w:line="207" w:lineRule="exact"/>
        <w:tabs>
          <w:tab w:leader="none" w:pos="112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Group, in accordance with §240.13d-1(b)(1)(ii)(J).</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34" w:lineRule="exact"/>
        <w:rPr>
          <w:sz w:val="20"/>
          <w:szCs w:val="20"/>
          <w:color w:val="auto"/>
        </w:rPr>
      </w:pPr>
    </w:p>
    <w:p>
      <w:pPr>
        <w:ind w:left="660" w:right="20"/>
        <w:spacing w:after="0" w:line="246"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5"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Amount Beneficially owned: </w:t>
      </w:r>
      <w:r>
        <w:rPr>
          <w:rFonts w:ascii="Arial" w:cs="Arial" w:eastAsia="Arial" w:hAnsi="Arial"/>
          <w:sz w:val="18"/>
          <w:szCs w:val="18"/>
          <w:b w:val="1"/>
          <w:bCs w:val="1"/>
          <w:color w:val="auto"/>
        </w:rPr>
        <w:t>PVAM Perlus Microcap Fund L.P. beneficially owns 941,029 shares of common stock of the</w:t>
      </w:r>
    </w:p>
    <w:p>
      <w:pPr>
        <w:spacing w:after="0" w:line="1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b w:val="1"/>
          <w:bCs w:val="1"/>
          <w:color w:val="auto"/>
        </w:rPr>
        <w:t>Issuer</w:t>
      </w:r>
    </w:p>
    <w:p>
      <w:pPr>
        <w:spacing w:after="0" w:line="189" w:lineRule="exact"/>
        <w:rPr>
          <w:rFonts w:ascii="Arial" w:cs="Arial" w:eastAsia="Arial" w:hAnsi="Arial"/>
          <w:sz w:val="18"/>
          <w:szCs w:val="18"/>
          <w:color w:val="auto"/>
        </w:rPr>
      </w:pPr>
    </w:p>
    <w:p>
      <w:pPr>
        <w:ind w:left="1300" w:right="20" w:hanging="644"/>
        <w:spacing w:after="0" w:line="271"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Percent of Class: </w:t>
      </w:r>
      <w:r>
        <w:rPr>
          <w:rFonts w:ascii="Arial" w:cs="Arial" w:eastAsia="Arial" w:hAnsi="Arial"/>
          <w:sz w:val="18"/>
          <w:szCs w:val="18"/>
          <w:b w:val="1"/>
          <w:bCs w:val="1"/>
          <w:color w:val="auto"/>
        </w:rPr>
        <w:t>4.07%, calculated based on</w:t>
      </w:r>
      <w:r>
        <w:rPr>
          <w:rFonts w:ascii="Arial" w:cs="Arial" w:eastAsia="Arial" w:hAnsi="Arial"/>
          <w:sz w:val="18"/>
          <w:szCs w:val="18"/>
          <w:color w:val="auto"/>
        </w:rPr>
        <w:t xml:space="preserve"> </w:t>
      </w:r>
      <w:r>
        <w:rPr>
          <w:rFonts w:ascii="Arial" w:cs="Arial" w:eastAsia="Arial" w:hAnsi="Arial"/>
          <w:sz w:val="16"/>
          <w:szCs w:val="16"/>
          <w:b w:val="1"/>
          <w:bCs w:val="1"/>
          <w:color w:val="auto"/>
        </w:rPr>
        <w:t>23,114,059</w:t>
      </w:r>
      <w:r>
        <w:rPr>
          <w:rFonts w:ascii="Arial" w:cs="Arial" w:eastAsia="Arial" w:hAnsi="Arial"/>
          <w:sz w:val="18"/>
          <w:szCs w:val="18"/>
          <w:color w:val="auto"/>
        </w:rPr>
        <w:t xml:space="preserve"> </w:t>
      </w:r>
      <w:r>
        <w:rPr>
          <w:rFonts w:ascii="Arial" w:cs="Arial" w:eastAsia="Arial" w:hAnsi="Arial"/>
          <w:sz w:val="18"/>
          <w:szCs w:val="18"/>
          <w:b w:val="1"/>
          <w:bCs w:val="1"/>
          <w:color w:val="auto"/>
        </w:rPr>
        <w:t>shares of common stock outstanding as of July 20, 2016 as</w:t>
      </w:r>
      <w:r>
        <w:rPr>
          <w:rFonts w:ascii="Arial" w:cs="Arial" w:eastAsia="Arial" w:hAnsi="Arial"/>
          <w:sz w:val="18"/>
          <w:szCs w:val="18"/>
          <w:color w:val="auto"/>
        </w:rPr>
        <w:t xml:space="preserve"> </w:t>
      </w:r>
      <w:r>
        <w:rPr>
          <w:rFonts w:ascii="Arial" w:cs="Arial" w:eastAsia="Arial" w:hAnsi="Arial"/>
          <w:sz w:val="18"/>
          <w:szCs w:val="18"/>
          <w:b w:val="1"/>
          <w:bCs w:val="1"/>
          <w:color w:val="auto"/>
        </w:rPr>
        <w:t>indicated in the Issuer’s Quarterly Report on Form 10-Q filed on July 26, 2016.</w:t>
      </w:r>
    </w:p>
    <w:p>
      <w:pPr>
        <w:spacing w:after="0" w:line="175" w:lineRule="exact"/>
        <w:rPr>
          <w:rFonts w:ascii="Arial" w:cs="Arial" w:eastAsia="Arial" w:hAnsi="Arial"/>
          <w:sz w:val="18"/>
          <w:szCs w:val="18"/>
          <w:color w:val="auto"/>
        </w:rPr>
      </w:pPr>
    </w:p>
    <w:p>
      <w:pPr>
        <w:ind w:left="1420" w:hanging="764"/>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ind w:left="1300"/>
              <w:spacing w:after="0"/>
              <w:rPr>
                <w:sz w:val="20"/>
                <w:szCs w:val="20"/>
                <w:color w:val="auto"/>
              </w:rPr>
            </w:pPr>
            <w:r>
              <w:rPr>
                <w:rFonts w:ascii="Arial" w:cs="Arial" w:eastAsia="Arial" w:hAnsi="Arial"/>
                <w:sz w:val="18"/>
                <w:szCs w:val="18"/>
                <w:color w:val="auto"/>
              </w:rPr>
              <w:t>(i)</w:t>
            </w:r>
          </w:p>
        </w:tc>
        <w:tc>
          <w:tcPr>
            <w:tcW w:w="3780" w:type="dxa"/>
            <w:vAlign w:val="bottom"/>
          </w:tcPr>
          <w:p>
            <w:pPr>
              <w:ind w:left="120"/>
              <w:spacing w:after="0"/>
              <w:rPr>
                <w:sz w:val="20"/>
                <w:szCs w:val="20"/>
                <w:color w:val="auto"/>
              </w:rPr>
            </w:pPr>
            <w:r>
              <w:rPr>
                <w:rFonts w:ascii="Arial" w:cs="Arial" w:eastAsia="Arial" w:hAnsi="Arial"/>
                <w:sz w:val="18"/>
                <w:szCs w:val="18"/>
                <w:color w:val="auto"/>
              </w:rPr>
              <w:t>Sole power to vote or to direct the vote:</w:t>
            </w:r>
          </w:p>
        </w:tc>
        <w:tc>
          <w:tcPr>
            <w:tcW w:w="3140" w:type="dxa"/>
            <w:vAlign w:val="bottom"/>
          </w:tcPr>
          <w:p>
            <w:pPr>
              <w:spacing w:after="0"/>
              <w:rPr>
                <w:sz w:val="17"/>
                <w:szCs w:val="17"/>
                <w:color w:val="auto"/>
              </w:rPr>
            </w:pPr>
          </w:p>
        </w:tc>
      </w:tr>
      <w:tr>
        <w:trPr>
          <w:trHeight w:val="203"/>
        </w:trPr>
        <w:tc>
          <w:tcPr>
            <w:tcW w:w="56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PVAM Perlus Microcap Fund L.P.</w:t>
            </w:r>
          </w:p>
        </w:tc>
        <w:tc>
          <w:tcPr>
            <w:tcW w:w="3140" w:type="dxa"/>
            <w:vAlign w:val="bottom"/>
          </w:tcPr>
          <w:p>
            <w:pPr>
              <w:jc w:val="right"/>
              <w:ind w:right="2670"/>
              <w:spacing w:after="0" w:line="202" w:lineRule="exact"/>
              <w:rPr>
                <w:sz w:val="20"/>
                <w:szCs w:val="20"/>
                <w:color w:val="auto"/>
              </w:rPr>
            </w:pPr>
            <w:r>
              <w:rPr>
                <w:rFonts w:ascii="Arial" w:cs="Arial" w:eastAsia="Arial" w:hAnsi="Arial"/>
                <w:sz w:val="18"/>
                <w:szCs w:val="18"/>
                <w:b w:val="1"/>
                <w:bCs w:val="1"/>
                <w:color w:val="auto"/>
              </w:rPr>
              <w:t>0</w:t>
            </w: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b w:val="1"/>
                <w:bCs w:val="1"/>
                <w:color w:val="auto"/>
              </w:rPr>
              <w:t>PVAM Holdings Ltd.</w:t>
            </w:r>
          </w:p>
        </w:tc>
        <w:tc>
          <w:tcPr>
            <w:tcW w:w="3780" w:type="dxa"/>
            <w:vAlign w:val="bottom"/>
          </w:tcPr>
          <w:p>
            <w:pPr>
              <w:spacing w:after="0"/>
              <w:rPr>
                <w:sz w:val="17"/>
                <w:szCs w:val="17"/>
                <w:color w:val="auto"/>
              </w:rPr>
            </w:pPr>
          </w:p>
        </w:tc>
        <w:tc>
          <w:tcPr>
            <w:tcW w:w="3140" w:type="dxa"/>
            <w:vAlign w:val="bottom"/>
          </w:tcPr>
          <w:p>
            <w:pPr>
              <w:jc w:val="right"/>
              <w:ind w:right="2670"/>
              <w:spacing w:after="0" w:line="202" w:lineRule="exact"/>
              <w:rPr>
                <w:sz w:val="20"/>
                <w:szCs w:val="20"/>
                <w:color w:val="auto"/>
              </w:rPr>
            </w:pPr>
            <w:r>
              <w:rPr>
                <w:rFonts w:ascii="Arial" w:cs="Arial" w:eastAsia="Arial" w:hAnsi="Arial"/>
                <w:sz w:val="18"/>
                <w:szCs w:val="18"/>
                <w:b w:val="1"/>
                <w:bCs w:val="1"/>
                <w:color w:val="auto"/>
              </w:rPr>
              <w:t>0</w:t>
            </w:r>
          </w:p>
        </w:tc>
      </w:tr>
      <w:tr>
        <w:trPr>
          <w:trHeight w:val="239"/>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Pacific View Asset Management (UK) LLP</w:t>
            </w:r>
          </w:p>
        </w:tc>
        <w:tc>
          <w:tcPr>
            <w:tcW w:w="3140" w:type="dxa"/>
            <w:vAlign w:val="bottom"/>
          </w:tcPr>
          <w:p>
            <w:pPr>
              <w:jc w:val="right"/>
              <w:ind w:right="2670"/>
              <w:spacing w:after="0"/>
              <w:rPr>
                <w:sz w:val="20"/>
                <w:szCs w:val="20"/>
                <w:color w:val="auto"/>
              </w:rPr>
            </w:pPr>
            <w:r>
              <w:rPr>
                <w:rFonts w:ascii="Arial" w:cs="Arial" w:eastAsia="Arial" w:hAnsi="Arial"/>
                <w:sz w:val="18"/>
                <w:szCs w:val="18"/>
                <w:b w:val="1"/>
                <w:bCs w:val="1"/>
                <w:color w:val="auto"/>
              </w:rPr>
              <w:t>0</w:t>
            </w:r>
          </w:p>
        </w:tc>
      </w:tr>
      <w:tr>
        <w:trPr>
          <w:trHeight w:val="382"/>
        </w:trPr>
        <w:tc>
          <w:tcPr>
            <w:tcW w:w="1840" w:type="dxa"/>
            <w:vAlign w:val="bottom"/>
          </w:tcPr>
          <w:p>
            <w:pPr>
              <w:ind w:left="1300"/>
              <w:spacing w:after="0"/>
              <w:rPr>
                <w:sz w:val="20"/>
                <w:szCs w:val="20"/>
                <w:color w:val="auto"/>
              </w:rPr>
            </w:pPr>
            <w:r>
              <w:rPr>
                <w:rFonts w:ascii="Arial" w:cs="Arial" w:eastAsia="Arial" w:hAnsi="Arial"/>
                <w:sz w:val="18"/>
                <w:szCs w:val="18"/>
                <w:color w:val="auto"/>
              </w:rPr>
              <w:t>(ii)</w:t>
            </w:r>
          </w:p>
        </w:tc>
        <w:tc>
          <w:tcPr>
            <w:tcW w:w="3780" w:type="dxa"/>
            <w:vAlign w:val="bottom"/>
          </w:tcPr>
          <w:p>
            <w:pPr>
              <w:ind w:left="160"/>
              <w:spacing w:after="0"/>
              <w:rPr>
                <w:sz w:val="20"/>
                <w:szCs w:val="20"/>
                <w:color w:val="auto"/>
              </w:rPr>
            </w:pPr>
            <w:r>
              <w:rPr>
                <w:rFonts w:ascii="Arial" w:cs="Arial" w:eastAsia="Arial" w:hAnsi="Arial"/>
                <w:sz w:val="18"/>
                <w:szCs w:val="18"/>
                <w:color w:val="auto"/>
              </w:rPr>
              <w:t>Shared power to vote or to direct the vote:</w:t>
            </w:r>
          </w:p>
        </w:tc>
        <w:tc>
          <w:tcPr>
            <w:tcW w:w="3140" w:type="dxa"/>
            <w:vAlign w:val="bottom"/>
          </w:tcPr>
          <w:p>
            <w:pPr>
              <w:spacing w:after="0"/>
              <w:rPr>
                <w:sz w:val="24"/>
                <w:szCs w:val="24"/>
                <w:color w:val="auto"/>
              </w:rPr>
            </w:pPr>
          </w:p>
        </w:tc>
      </w:tr>
      <w:tr>
        <w:trPr>
          <w:trHeight w:val="203"/>
        </w:trPr>
        <w:tc>
          <w:tcPr>
            <w:tcW w:w="56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PVAM Perlus Microcap Fund L.P.</w:t>
            </w:r>
          </w:p>
        </w:tc>
        <w:tc>
          <w:tcPr>
            <w:tcW w:w="3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941,029 shares of common stock</w:t>
            </w: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b w:val="1"/>
                <w:bCs w:val="1"/>
                <w:color w:val="auto"/>
              </w:rPr>
              <w:t>PVAM Holdings Ltd.</w:t>
            </w:r>
          </w:p>
        </w:tc>
        <w:tc>
          <w:tcPr>
            <w:tcW w:w="3780" w:type="dxa"/>
            <w:vAlign w:val="bottom"/>
          </w:tcPr>
          <w:p>
            <w:pPr>
              <w:spacing w:after="0"/>
              <w:rPr>
                <w:sz w:val="17"/>
                <w:szCs w:val="17"/>
                <w:color w:val="auto"/>
              </w:rPr>
            </w:pPr>
          </w:p>
        </w:tc>
        <w:tc>
          <w:tcPr>
            <w:tcW w:w="3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941,029 shares of common stock</w:t>
            </w:r>
          </w:p>
        </w:tc>
      </w:tr>
      <w:tr>
        <w:trPr>
          <w:trHeight w:val="239"/>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Pacific View Asset Management (UK) LLP</w:t>
            </w:r>
          </w:p>
        </w:tc>
        <w:tc>
          <w:tcPr>
            <w:tcW w:w="3140" w:type="dxa"/>
            <w:vAlign w:val="bottom"/>
          </w:tcPr>
          <w:p>
            <w:pPr>
              <w:jc w:val="right"/>
              <w:spacing w:after="0"/>
              <w:rPr>
                <w:sz w:val="20"/>
                <w:szCs w:val="20"/>
                <w:color w:val="auto"/>
              </w:rPr>
            </w:pPr>
            <w:r>
              <w:rPr>
                <w:rFonts w:ascii="Arial" w:cs="Arial" w:eastAsia="Arial" w:hAnsi="Arial"/>
                <w:sz w:val="18"/>
                <w:szCs w:val="18"/>
                <w:b w:val="1"/>
                <w:bCs w:val="1"/>
                <w:color w:val="auto"/>
              </w:rPr>
              <w:t>941,029 shares of common stock</w:t>
            </w:r>
          </w:p>
        </w:tc>
      </w:tr>
    </w:tbl>
    <w:p>
      <w:pPr>
        <w:spacing w:after="0" w:line="400" w:lineRule="exact"/>
        <w:rPr>
          <w:sz w:val="20"/>
          <w:szCs w:val="20"/>
          <w:color w:val="auto"/>
        </w:rPr>
      </w:pPr>
    </w:p>
    <w:p>
      <w:pPr>
        <w:ind w:left="1960" w:hanging="655"/>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tbl>
      <w:tblPr>
        <w:tblLayout w:type="fixed"/>
        <w:tblInd w:w="0" w:type="dxa"/>
        <w:tblCellMar>
          <w:top w:w="0" w:type="dxa"/>
          <w:left w:w="0" w:type="dxa"/>
          <w:bottom w:w="0" w:type="dxa"/>
          <w:right w:w="0" w:type="dxa"/>
        </w:tblCellMar>
      </w:tblPr>
      <w:tr>
        <w:trPr>
          <w:trHeight w:val="181"/>
        </w:trPr>
        <w:tc>
          <w:tcPr>
            <w:tcW w:w="4620" w:type="dxa"/>
            <w:vAlign w:val="bottom"/>
          </w:tcPr>
          <w:p>
            <w:pPr>
              <w:spacing w:after="0" w:line="181" w:lineRule="exact"/>
              <w:rPr>
                <w:sz w:val="20"/>
                <w:szCs w:val="20"/>
                <w:color w:val="auto"/>
              </w:rPr>
            </w:pPr>
            <w:r>
              <w:rPr>
                <w:rFonts w:ascii="Arial" w:cs="Arial" w:eastAsia="Arial" w:hAnsi="Arial"/>
                <w:sz w:val="18"/>
                <w:szCs w:val="18"/>
                <w:b w:val="1"/>
                <w:bCs w:val="1"/>
                <w:color w:val="auto"/>
              </w:rPr>
              <w:t>PVAM Perlus Microcap Fund L.P.</w:t>
            </w:r>
          </w:p>
        </w:tc>
        <w:tc>
          <w:tcPr>
            <w:tcW w:w="6800" w:type="dxa"/>
            <w:vAlign w:val="bottom"/>
          </w:tcPr>
          <w:p>
            <w:pPr>
              <w:jc w:val="right"/>
              <w:ind w:right="5334"/>
              <w:spacing w:after="0" w:line="181" w:lineRule="exact"/>
              <w:rPr>
                <w:sz w:val="20"/>
                <w:szCs w:val="20"/>
                <w:color w:val="auto"/>
              </w:rPr>
            </w:pPr>
            <w:r>
              <w:rPr>
                <w:rFonts w:ascii="Arial" w:cs="Arial" w:eastAsia="Arial" w:hAnsi="Arial"/>
                <w:sz w:val="18"/>
                <w:szCs w:val="18"/>
                <w:b w:val="1"/>
                <w:bCs w:val="1"/>
                <w:color w:val="auto"/>
              </w:rPr>
              <w:t>0</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b w:val="1"/>
                <w:bCs w:val="1"/>
                <w:color w:val="auto"/>
              </w:rPr>
              <w:t>PVAM Holdings Ltd.</w:t>
            </w:r>
          </w:p>
        </w:tc>
        <w:tc>
          <w:tcPr>
            <w:tcW w:w="6800" w:type="dxa"/>
            <w:vAlign w:val="bottom"/>
          </w:tcPr>
          <w:p>
            <w:pPr>
              <w:jc w:val="right"/>
              <w:ind w:right="5334"/>
              <w:spacing w:after="0" w:line="202" w:lineRule="exact"/>
              <w:rPr>
                <w:sz w:val="20"/>
                <w:szCs w:val="20"/>
                <w:color w:val="auto"/>
              </w:rPr>
            </w:pPr>
            <w:r>
              <w:rPr>
                <w:rFonts w:ascii="Arial" w:cs="Arial" w:eastAsia="Arial" w:hAnsi="Arial"/>
                <w:sz w:val="18"/>
                <w:szCs w:val="18"/>
                <w:b w:val="1"/>
                <w:bCs w:val="1"/>
                <w:color w:val="auto"/>
              </w:rPr>
              <w:t>0</w:t>
            </w:r>
          </w:p>
        </w:tc>
      </w:tr>
      <w:tr>
        <w:trPr>
          <w:trHeight w:val="239"/>
        </w:trPr>
        <w:tc>
          <w:tcPr>
            <w:tcW w:w="4620" w:type="dxa"/>
            <w:vAlign w:val="bottom"/>
          </w:tcPr>
          <w:p>
            <w:pPr>
              <w:spacing w:after="0"/>
              <w:rPr>
                <w:sz w:val="20"/>
                <w:szCs w:val="20"/>
                <w:color w:val="auto"/>
              </w:rPr>
            </w:pPr>
            <w:r>
              <w:rPr>
                <w:rFonts w:ascii="Arial" w:cs="Arial" w:eastAsia="Arial" w:hAnsi="Arial"/>
                <w:sz w:val="18"/>
                <w:szCs w:val="18"/>
                <w:b w:val="1"/>
                <w:bCs w:val="1"/>
                <w:color w:val="auto"/>
              </w:rPr>
              <w:t>Pacific View Asset Management (UK) LLP</w:t>
            </w:r>
          </w:p>
        </w:tc>
        <w:tc>
          <w:tcPr>
            <w:tcW w:w="6800" w:type="dxa"/>
            <w:vAlign w:val="bottom"/>
          </w:tcPr>
          <w:p>
            <w:pPr>
              <w:jc w:val="right"/>
              <w:ind w:right="5334"/>
              <w:spacing w:after="0"/>
              <w:rPr>
                <w:sz w:val="20"/>
                <w:szCs w:val="20"/>
                <w:color w:val="auto"/>
              </w:rPr>
            </w:pPr>
            <w:r>
              <w:rPr>
                <w:rFonts w:ascii="Arial" w:cs="Arial" w:eastAsia="Arial" w:hAnsi="Arial"/>
                <w:sz w:val="18"/>
                <w:szCs w:val="18"/>
                <w:b w:val="1"/>
                <w:bCs w:val="1"/>
                <w:color w:val="auto"/>
              </w:rPr>
              <w:t>0</w:t>
            </w:r>
          </w:p>
        </w:tc>
      </w:tr>
      <w:tr>
        <w:trPr>
          <w:trHeight w:val="326"/>
        </w:trPr>
        <w:tc>
          <w:tcPr>
            <w:tcW w:w="4620" w:type="dxa"/>
            <w:vAlign w:val="bottom"/>
          </w:tcPr>
          <w:p>
            <w:pPr>
              <w:spacing w:after="0"/>
              <w:rPr>
                <w:sz w:val="24"/>
                <w:szCs w:val="24"/>
                <w:color w:val="auto"/>
              </w:rPr>
            </w:pPr>
          </w:p>
        </w:tc>
        <w:tc>
          <w:tcPr>
            <w:tcW w:w="6800" w:type="dxa"/>
            <w:vAlign w:val="bottom"/>
          </w:tcPr>
          <w:p>
            <w:pPr>
              <w:jc w:val="right"/>
              <w:ind w:right="5594"/>
              <w:spacing w:after="0"/>
              <w:rPr>
                <w:sz w:val="20"/>
                <w:szCs w:val="20"/>
                <w:color w:val="auto"/>
              </w:rPr>
            </w:pPr>
            <w:r>
              <w:rPr>
                <w:rFonts w:ascii="Arial" w:cs="Arial" w:eastAsia="Arial" w:hAnsi="Arial"/>
                <w:sz w:val="14"/>
                <w:szCs w:val="14"/>
                <w:color w:val="auto"/>
              </w:rPr>
              <w:t>6</w:t>
            </w:r>
          </w:p>
        </w:tc>
      </w:tr>
      <w:tr>
        <w:trPr>
          <w:trHeight w:val="46"/>
        </w:trPr>
        <w:tc>
          <w:tcPr>
            <w:tcW w:w="4620" w:type="dxa"/>
            <w:vAlign w:val="bottom"/>
            <w:tcBorders>
              <w:bottom w:val="single" w:sz="8" w:color="auto"/>
            </w:tcBorders>
          </w:tcPr>
          <w:p>
            <w:pPr>
              <w:spacing w:after="0"/>
              <w:rPr>
                <w:sz w:val="4"/>
                <w:szCs w:val="4"/>
                <w:color w:val="auto"/>
              </w:rPr>
            </w:pPr>
          </w:p>
        </w:tc>
        <w:tc>
          <w:tcPr>
            <w:tcW w:w="68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81" w:right="239" w:bottom="1440" w:gutter="0" w:footer="0" w:header="0"/>
        </w:sectPr>
      </w:pPr>
    </w:p>
    <w:bookmarkStart w:id="6" w:name="page7"/>
    <w:bookmarkEnd w:id="6"/>
    <w:p>
      <w:pPr>
        <w:ind w:left="2060" w:hanging="755"/>
        <w:spacing w:after="0"/>
        <w:tabs>
          <w:tab w:leader="none" w:pos="2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tabs>
          <w:tab w:leader="none" w:pos="5920" w:val="left"/>
        </w:tabs>
        <w:rPr>
          <w:sz w:val="20"/>
          <w:szCs w:val="20"/>
          <w:color w:val="auto"/>
        </w:rPr>
      </w:pPr>
      <w:r>
        <w:rPr>
          <w:rFonts w:ascii="Arial" w:cs="Arial" w:eastAsia="Arial" w:hAnsi="Arial"/>
          <w:sz w:val="18"/>
          <w:szCs w:val="18"/>
          <w:b w:val="1"/>
          <w:bCs w:val="1"/>
          <w:color w:val="auto"/>
        </w:rPr>
        <w:t>PVAM Perlus Microcap Fund L.P.</w:t>
      </w:r>
      <w:r>
        <w:rPr>
          <w:sz w:val="20"/>
          <w:szCs w:val="20"/>
          <w:color w:val="auto"/>
        </w:rPr>
        <w:tab/>
      </w:r>
      <w:r>
        <w:rPr>
          <w:rFonts w:ascii="Arial" w:cs="Arial" w:eastAsia="Arial" w:hAnsi="Arial"/>
          <w:sz w:val="17"/>
          <w:szCs w:val="17"/>
          <w:b w:val="1"/>
          <w:bCs w:val="1"/>
          <w:color w:val="auto"/>
        </w:rPr>
        <w:t>941,029 shares of common stock</w:t>
      </w:r>
    </w:p>
    <w:p>
      <w:pPr>
        <w:spacing w:after="0"/>
        <w:tabs>
          <w:tab w:leader="none" w:pos="5920" w:val="left"/>
        </w:tabs>
        <w:rPr>
          <w:sz w:val="20"/>
          <w:szCs w:val="20"/>
          <w:color w:val="auto"/>
        </w:rPr>
      </w:pPr>
      <w:r>
        <w:rPr>
          <w:rFonts w:ascii="Arial" w:cs="Arial" w:eastAsia="Arial" w:hAnsi="Arial"/>
          <w:sz w:val="18"/>
          <w:szCs w:val="18"/>
          <w:b w:val="1"/>
          <w:bCs w:val="1"/>
          <w:color w:val="auto"/>
        </w:rPr>
        <w:t>PVAM Holdings Ltd.</w:t>
      </w:r>
      <w:r>
        <w:rPr>
          <w:sz w:val="20"/>
          <w:szCs w:val="20"/>
          <w:color w:val="auto"/>
        </w:rPr>
        <w:tab/>
      </w:r>
      <w:r>
        <w:rPr>
          <w:rFonts w:ascii="Arial" w:cs="Arial" w:eastAsia="Arial" w:hAnsi="Arial"/>
          <w:sz w:val="17"/>
          <w:szCs w:val="17"/>
          <w:b w:val="1"/>
          <w:bCs w:val="1"/>
          <w:color w:val="auto"/>
        </w:rPr>
        <w:t>941,029 shares of common stock</w:t>
      </w:r>
    </w:p>
    <w:p>
      <w:pPr>
        <w:spacing w:after="0" w:line="1"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b w:val="1"/>
          <w:bCs w:val="1"/>
          <w:color w:val="auto"/>
        </w:rPr>
        <w:t>Pacific View Asset Management (UK) LLP</w:t>
      </w:r>
      <w:r>
        <w:rPr>
          <w:sz w:val="20"/>
          <w:szCs w:val="20"/>
          <w:color w:val="auto"/>
        </w:rPr>
        <w:tab/>
      </w:r>
      <w:r>
        <w:rPr>
          <w:rFonts w:ascii="Arial" w:cs="Arial" w:eastAsia="Arial" w:hAnsi="Arial"/>
          <w:sz w:val="17"/>
          <w:szCs w:val="17"/>
          <w:b w:val="1"/>
          <w:bCs w:val="1"/>
          <w:color w:val="auto"/>
        </w:rPr>
        <w:t>941,029 shares of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 see §240.13d-3(d)(1).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3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 2016</w:t>
      </w:r>
    </w:p>
    <w:p>
      <w:pPr>
        <w:spacing w:after="0" w:line="19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PVAM PERLUS MICROCAP FUND L.P.</w:t>
      </w:r>
    </w:p>
    <w:tbl>
      <w:tblPr>
        <w:tblLayout w:type="fixed"/>
        <w:tblInd w:w="3900" w:type="dxa"/>
        <w:tblCellMar>
          <w:top w:w="0" w:type="dxa"/>
          <w:left w:w="0" w:type="dxa"/>
          <w:bottom w:w="0" w:type="dxa"/>
          <w:right w:w="0" w:type="dxa"/>
        </w:tblCellMar>
      </w:tblP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rPr>
              <w:t>By:</w:t>
            </w:r>
          </w:p>
        </w:tc>
        <w:tc>
          <w:tcPr>
            <w:tcW w:w="340" w:type="dxa"/>
            <w:vAlign w:val="bottom"/>
          </w:tcPr>
          <w:p>
            <w:pPr>
              <w:spacing w:after="0"/>
              <w:rPr>
                <w:sz w:val="15"/>
                <w:szCs w:val="15"/>
                <w:color w:val="auto"/>
              </w:rPr>
            </w:pPr>
          </w:p>
        </w:tc>
        <w:tc>
          <w:tcPr>
            <w:tcW w:w="3900" w:type="dxa"/>
            <w:vAlign w:val="bottom"/>
            <w:gridSpan w:val="2"/>
          </w:tcPr>
          <w:p>
            <w:pPr>
              <w:spacing w:after="0" w:line="176" w:lineRule="exact"/>
              <w:rPr>
                <w:sz w:val="20"/>
                <w:szCs w:val="20"/>
                <w:color w:val="auto"/>
              </w:rPr>
            </w:pPr>
            <w:r>
              <w:rPr>
                <w:rFonts w:ascii="Arial" w:cs="Arial" w:eastAsia="Arial" w:hAnsi="Arial"/>
                <w:sz w:val="18"/>
                <w:szCs w:val="18"/>
                <w:color w:val="auto"/>
              </w:rPr>
              <w:t>/s/ Steve Druskin</w:t>
            </w:r>
          </w:p>
        </w:tc>
      </w:tr>
      <w:tr>
        <w:trPr>
          <w:trHeight w:val="20"/>
        </w:trPr>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rPr>
              <w:t>Name: Steve Druskin</w:t>
            </w:r>
          </w:p>
        </w:tc>
      </w:tr>
      <w:tr>
        <w:trPr>
          <w:trHeight w:val="203"/>
        </w:trPr>
        <w:tc>
          <w:tcPr>
            <w:tcW w:w="460" w:type="dxa"/>
            <w:vAlign w:val="bottom"/>
          </w:tcPr>
          <w:p>
            <w:pPr>
              <w:spacing w:after="0"/>
              <w:rPr>
                <w:sz w:val="17"/>
                <w:szCs w:val="17"/>
                <w:color w:val="auto"/>
              </w:rPr>
            </w:pPr>
          </w:p>
        </w:tc>
        <w:tc>
          <w:tcPr>
            <w:tcW w:w="4240" w:type="dxa"/>
            <w:vAlign w:val="bottom"/>
            <w:gridSpan w:val="3"/>
          </w:tcPr>
          <w:p>
            <w:pPr>
              <w:ind w:left="180"/>
              <w:spacing w:after="0" w:line="202" w:lineRule="exact"/>
              <w:rPr>
                <w:sz w:val="20"/>
                <w:szCs w:val="20"/>
                <w:color w:val="auto"/>
              </w:rPr>
            </w:pPr>
            <w:r>
              <w:rPr>
                <w:rFonts w:ascii="Arial" w:cs="Arial" w:eastAsia="Arial" w:hAnsi="Arial"/>
                <w:sz w:val="18"/>
                <w:szCs w:val="18"/>
                <w:color w:val="auto"/>
                <w:w w:val="98"/>
              </w:rPr>
              <w:t>Title: Director of PVAM Limited, as General Partner</w:t>
            </w:r>
          </w:p>
        </w:tc>
      </w:tr>
      <w:tr>
        <w:trPr>
          <w:trHeight w:val="217"/>
        </w:trPr>
        <w:tc>
          <w:tcPr>
            <w:tcW w:w="4700" w:type="dxa"/>
            <w:vAlign w:val="bottom"/>
            <w:gridSpan w:val="4"/>
          </w:tcPr>
          <w:p>
            <w:pPr>
              <w:spacing w:after="0"/>
              <w:rPr>
                <w:sz w:val="20"/>
                <w:szCs w:val="20"/>
                <w:color w:val="auto"/>
              </w:rPr>
            </w:pPr>
            <w:r>
              <w:rPr>
                <w:rFonts w:ascii="Arial" w:cs="Arial" w:eastAsia="Arial" w:hAnsi="Arial"/>
                <w:sz w:val="18"/>
                <w:szCs w:val="18"/>
                <w:color w:val="auto"/>
              </w:rPr>
              <w:t>PVAM HOLDINGS LTD.</w:t>
            </w:r>
          </w:p>
        </w:tc>
      </w:tr>
      <w:tr>
        <w:trPr>
          <w:trHeight w:val="365"/>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/s/ Steve Druskin</w:t>
            </w:r>
          </w:p>
        </w:tc>
      </w:tr>
      <w:tr>
        <w:trPr>
          <w:trHeight w:val="20"/>
        </w:trPr>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rPr>
              <w:t>Name: Steve Druskin</w:t>
            </w:r>
          </w:p>
        </w:tc>
      </w:tr>
      <w:tr>
        <w:trPr>
          <w:trHeight w:val="217"/>
        </w:trPr>
        <w:tc>
          <w:tcPr>
            <w:tcW w:w="460" w:type="dxa"/>
            <w:vAlign w:val="bottom"/>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rPr>
              <w:t>Title: Director</w:t>
            </w:r>
          </w:p>
        </w:tc>
      </w:tr>
      <w:tr>
        <w:trPr>
          <w:trHeight w:val="405"/>
        </w:trPr>
        <w:tc>
          <w:tcPr>
            <w:tcW w:w="4700" w:type="dxa"/>
            <w:vAlign w:val="bottom"/>
            <w:gridSpan w:val="4"/>
          </w:tcPr>
          <w:p>
            <w:pPr>
              <w:spacing w:after="0"/>
              <w:rPr>
                <w:sz w:val="20"/>
                <w:szCs w:val="20"/>
                <w:color w:val="auto"/>
              </w:rPr>
            </w:pPr>
            <w:r>
              <w:rPr>
                <w:rFonts w:ascii="Arial" w:cs="Arial" w:eastAsia="Arial" w:hAnsi="Arial"/>
                <w:sz w:val="18"/>
                <w:szCs w:val="18"/>
                <w:color w:val="auto"/>
              </w:rPr>
              <w:t>PACIFIC VIEW ASSET MANAGEMENT (UK) LLP</w:t>
            </w:r>
          </w:p>
        </w:tc>
      </w:tr>
      <w:tr>
        <w:trPr>
          <w:trHeight w:val="365"/>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/s/ Steve Druskin</w:t>
            </w:r>
          </w:p>
        </w:tc>
      </w:tr>
      <w:tr>
        <w:trPr>
          <w:trHeight w:val="20"/>
        </w:trPr>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rPr>
              <w:t>Name: Steve Druskin</w:t>
            </w:r>
          </w:p>
        </w:tc>
      </w:tr>
      <w:tr>
        <w:trPr>
          <w:trHeight w:val="217"/>
        </w:trPr>
        <w:tc>
          <w:tcPr>
            <w:tcW w:w="460" w:type="dxa"/>
            <w:vAlign w:val="bottom"/>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rPr>
              <w:t>Title: Authorized Signatory</w:t>
            </w:r>
          </w:p>
        </w:tc>
      </w:tr>
      <w:tr>
        <w:trPr>
          <w:trHeight w:val="353"/>
        </w:trPr>
        <w:tc>
          <w:tcPr>
            <w:tcW w:w="460" w:type="dxa"/>
            <w:vAlign w:val="bottom"/>
          </w:tcPr>
          <w:p>
            <w:pPr>
              <w:spacing w:after="0"/>
              <w:rPr>
                <w:sz w:val="24"/>
                <w:szCs w:val="24"/>
                <w:color w:val="auto"/>
              </w:rPr>
            </w:pPr>
          </w:p>
        </w:tc>
        <w:tc>
          <w:tcPr>
            <w:tcW w:w="1700" w:type="dxa"/>
            <w:vAlign w:val="bottom"/>
            <w:gridSpan w:val="2"/>
          </w:tcPr>
          <w:p>
            <w:pPr>
              <w:ind w:left="1320"/>
              <w:spacing w:after="0"/>
              <w:rPr>
                <w:sz w:val="20"/>
                <w:szCs w:val="20"/>
                <w:color w:val="auto"/>
              </w:rPr>
            </w:pPr>
            <w:r>
              <w:rPr>
                <w:rFonts w:ascii="Arial" w:cs="Arial" w:eastAsia="Arial" w:hAnsi="Arial"/>
                <w:sz w:val="14"/>
                <w:szCs w:val="14"/>
                <w:color w:val="auto"/>
              </w:rPr>
              <w:t>8</w:t>
            </w:r>
          </w:p>
        </w:tc>
        <w:tc>
          <w:tcPr>
            <w:tcW w:w="25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00"/>
      </w:cols>
      <w:pgMar w:left="240" w:top="57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lvl w:ilvl="1">
      <w:lvlJc w:val="left"/>
      <w:lvlText w:val="(%2)"/>
      <w:numFmt w:val="lowerLetter"/>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lvl w:ilvl="1">
      <w:lvlJc w:val="left"/>
      <w:lvlText w:val="(%2)"/>
      <w:numFmt w:val="lowerLetter"/>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lvl w:ilvl="1">
      <w:lvlJc w:val="left"/>
      <w:lvlText w:val="(%2)"/>
      <w:numFmt w:val="lowerLetter"/>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4"/>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Roman"/>
      <w:start w:val="3"/>
    </w:lvl>
  </w:abstractNum>
  <w:abstractNum w:abstractNumId="15">
    <w:nsid w:val="6B68079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2019-12-06T18:24:27Z</dcterms:created>
  <dcterms:modified xsi:type="dcterms:W3CDTF">2019-12-06T18:24:27Z</dcterms:modified>
</cp:coreProperties>
</file>