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May 13,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41" w:right="63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000-30939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74-2961657</w:t>
      </w:r>
    </w:p>
    <w:p>
      <w:pPr>
        <w:spacing w:after="0" w:line="47" w:lineRule="exact"/>
        <w:rPr>
          <w:sz w:val="24"/>
          <w:szCs w:val="24"/>
          <w:color w:val="auto"/>
        </w:rPr>
      </w:pPr>
    </w:p>
    <w:p>
      <w:pPr>
        <w:sectPr>
          <w:pgSz w:w="11900" w:h="16838" w:orient="portrait"/>
          <w:cols w:equalWidth="0" w:num="3">
            <w:col w:w="4740" w:space="720"/>
            <w:col w:w="3000" w:space="720"/>
            <w:col w:w="1840"/>
          </w:cols>
          <w:pgMar w:left="240" w:top="341"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340" w:space="720"/>
            <w:col w:w="3280" w:space="720"/>
            <w:col w:w="1960"/>
          </w:cols>
          <w:pgMar w:left="240" w:top="341"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2128 W. Braker Lane, BK12</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6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(512) 836-6464</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187960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41" w:right="639" w:bottom="1440" w:gutter="0" w:footer="0" w:header="0"/>
          <w:type w:val="continuous"/>
        </w:sectPr>
      </w:pPr>
    </w:p>
    <w:p>
      <w:pPr>
        <w:spacing w:after="0" w:line="200" w:lineRule="exact"/>
        <w:rPr>
          <w:sz w:val="24"/>
          <w:szCs w:val="24"/>
          <w:color w:val="auto"/>
        </w:rPr>
      </w:pPr>
    </w:p>
    <w:p>
      <w:pPr>
        <w:spacing w:after="0" w:line="26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41" w:right="639" w:bottom="1440" w:gutter="0" w:footer="0" w:header="0"/>
          <w:type w:val="continuous"/>
        </w:sectPr>
      </w:pPr>
    </w:p>
    <w:bookmarkStart w:id="1" w:name="page2"/>
    <w:bookmarkEnd w:id="1"/>
    <w:p>
      <w:pPr>
        <w:ind w:left="1140" w:right="360" w:hanging="1133"/>
        <w:spacing w:after="0" w:line="275" w:lineRule="auto"/>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39"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Richard E. Anderson, a member of the Board of Directors of Active Power, Inc. (the “</w:t>
      </w:r>
      <w:r>
        <w:rPr>
          <w:rFonts w:ascii="Arial" w:cs="Arial" w:eastAsia="Arial" w:hAnsi="Arial"/>
          <w:sz w:val="18"/>
          <w:szCs w:val="18"/>
          <w:b w:val="1"/>
          <w:bCs w:val="1"/>
          <w:color w:val="auto"/>
        </w:rPr>
        <w:t>Company</w:t>
      </w:r>
      <w:r>
        <w:rPr>
          <w:rFonts w:ascii="Arial" w:cs="Arial" w:eastAsia="Arial" w:hAnsi="Arial"/>
          <w:sz w:val="18"/>
          <w:szCs w:val="18"/>
          <w:color w:val="auto"/>
        </w:rPr>
        <w:t>”), and a member of each of the Nominating and Corporate Governance Committee and the Compensation Committee, notified the Company in writing on May 13, 2009 that he intends to resign his position as a member of the Board of Directors effective May 18, 2009. Mr. Anderson confirmed to the Company that his resignation was not due to any disagreement with the Company on any matter relating to the Company’s operations, policies or practices.</w:t>
      </w:r>
    </w:p>
    <w:p>
      <w:pPr>
        <w:sectPr>
          <w:pgSz w:w="11900" w:h="16838" w:orient="portrait"/>
          <w:cols w:equalWidth="0" w:num="1">
            <w:col w:w="11420"/>
          </w:cols>
          <w:pgMar w:left="240" w:top="27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ACTIVE POWER, INC.</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May 14, 2009</w:t>
      </w:r>
      <w:r>
        <w:rPr>
          <w:sz w:val="20"/>
          <w:szCs w:val="20"/>
          <w:color w:val="auto"/>
        </w:rPr>
        <w:tab/>
      </w:r>
      <w:r>
        <w:rPr>
          <w:rFonts w:ascii="Arial" w:cs="Arial" w:eastAsia="Arial" w:hAnsi="Arial"/>
          <w:sz w:val="16"/>
          <w:szCs w:val="16"/>
          <w:color w:val="auto"/>
        </w:rPr>
        <w:t>By:  /S/ JOHN K.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John K. Penver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2019-12-10T16:19:12Z</dcterms:created>
  <dcterms:modified xsi:type="dcterms:W3CDTF">2019-12-10T16:19:12Z</dcterms:modified>
</cp:coreProperties>
</file>