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0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Active Power, Inc.</w:t>
      </w:r>
    </w:p>
    <w:p>
      <w:pPr>
        <w:jc w:val="center"/>
        <w:ind w:right="15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00504W100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779" w:hanging="5"/>
        <w:spacing w:after="0" w:line="235" w:lineRule="auto"/>
        <w:tabs>
          <w:tab w:leader="none" w:pos="7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 /X/ Rule 13d-1(c)</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4"/>
          <w:szCs w:val="24"/>
          <w:color w:val="auto"/>
        </w:rPr>
      </w:pPr>
    </w:p>
    <w:p>
      <w:pPr>
        <w:ind w:right="7059" w:firstLine="8"/>
        <w:spacing w:after="0" w:line="470"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Investments L.P.</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 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Voting Power:  Less than 5% of the Issuer's outstanding</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20" w:type="dxa"/>
            <w:vAlign w:val="bottom"/>
          </w:tcPr>
          <w:p>
            <w:pPr>
              <w:spacing w:after="0"/>
              <w:rPr>
                <w:sz w:val="17"/>
                <w:szCs w:val="17"/>
                <w:color w:val="auto"/>
              </w:rPr>
            </w:pP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of the class</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  Less than 5% of the Issuer's</w:t>
            </w:r>
          </w:p>
        </w:tc>
      </w:tr>
      <w:tr>
        <w:trPr>
          <w:trHeight w:val="203"/>
        </w:trPr>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outstanding shares of the class</w:t>
            </w:r>
          </w:p>
        </w:tc>
      </w:tr>
    </w:tbl>
    <w:p>
      <w:pPr>
        <w:spacing w:after="0" w:line="207" w:lineRule="exact"/>
        <w:rPr>
          <w:sz w:val="24"/>
          <w:szCs w:val="24"/>
          <w:color w:val="auto"/>
        </w:rPr>
      </w:pPr>
    </w:p>
    <w:p>
      <w:pPr>
        <w:ind w:right="3159" w:firstLine="8"/>
        <w:spacing w:after="0" w:line="536"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Less than 5% of the Issuer's outstanding shares of the class</w:t>
      </w: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Less than 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244" w:right="1440" w:bottom="51"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0"/>
          <w:szCs w:val="20"/>
          <w:color w:val="auto"/>
        </w:rPr>
      </w:pPr>
    </w:p>
    <w:p>
      <w:pPr>
        <w:ind w:right="705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Services LLC (1)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 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Voting Power:  Less than 5% of the Issuer's outstanding</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20" w:type="dxa"/>
            <w:vAlign w:val="bottom"/>
          </w:tcPr>
          <w:p>
            <w:pPr>
              <w:spacing w:after="0"/>
              <w:rPr>
                <w:sz w:val="17"/>
                <w:szCs w:val="17"/>
                <w:color w:val="auto"/>
              </w:rPr>
            </w:pP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of the class</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bl>
    <w:p>
      <w:pPr>
        <w:spacing w:after="0" w:line="4" w:lineRule="exact"/>
        <w:rPr>
          <w:sz w:val="20"/>
          <w:szCs w:val="20"/>
          <w:color w:val="auto"/>
        </w:rPr>
      </w:pPr>
    </w:p>
    <w:p>
      <w:pPr>
        <w:ind w:left="1900" w:right="2519" w:hanging="417"/>
        <w:spacing w:after="0" w:line="235" w:lineRule="auto"/>
        <w:tabs>
          <w:tab w:leader="none" w:pos="1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Less than 5% of the Issuer's outstanding shares of the class</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Less than 5% of the Issuer's outstanding shares of the class</w:t>
      </w:r>
    </w:p>
    <w:p>
      <w:pPr>
        <w:spacing w:after="0" w:line="201"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Less than 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779"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HBK Investments L.P. has delegated discretion to vote and dispose of the Securities to HBK Services LLC ("Services"). Services may, from time to time, delegate discretion to vote and dispose of certain of the Securities to HBK New York LLC, a Delaware limited liability company, HBK Virginia LLC, a Delaware limited liability company, and/or HBK Europe Management LLP, a limited liability partnership organized under the laws of the United Kingdom (collectively, the "Subadvisors"). Each of Services and the Subadvisors is under common control with HBK Investments L.P. The Subadvisors expressly declare that the filing of this statement on Schedule 13G shall not be construed as an admission that they are, for the purpose of Section 13(d) or 13(g) of the Securities Exchange Act of 1934, beneficial owners of the Securities.</w:t>
      </w:r>
    </w:p>
    <w:p>
      <w:pPr>
        <w:sectPr>
          <w:pgSz w:w="11900" w:h="16838" w:orient="portrait"/>
          <w:cols w:equalWidth="0" w:num="1">
            <w:col w:w="10219"/>
          </w:cols>
          <w:pgMar w:left="240" w:top="112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0"/>
          <w:szCs w:val="20"/>
          <w:color w:val="auto"/>
        </w:rPr>
      </w:pPr>
    </w:p>
    <w:p>
      <w:pPr>
        <w:ind w:right="7059" w:firstLine="8"/>
        <w:spacing w:after="0" w:line="470"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Partners II L.P.</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 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Voting Power:  Less than 5% of the Issuer's outstanding</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20" w:type="dxa"/>
            <w:vAlign w:val="bottom"/>
          </w:tcPr>
          <w:p>
            <w:pPr>
              <w:spacing w:after="0"/>
              <w:rPr>
                <w:sz w:val="17"/>
                <w:szCs w:val="17"/>
                <w:color w:val="auto"/>
              </w:rPr>
            </w:pP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of the class</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bl>
    <w:p>
      <w:pPr>
        <w:spacing w:after="0" w:line="4" w:lineRule="exact"/>
        <w:rPr>
          <w:sz w:val="20"/>
          <w:szCs w:val="20"/>
          <w:color w:val="auto"/>
        </w:rPr>
      </w:pPr>
    </w:p>
    <w:p>
      <w:pPr>
        <w:ind w:left="1900" w:right="2519" w:hanging="417"/>
        <w:spacing w:after="0" w:line="235" w:lineRule="auto"/>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Less than 5% of the Issuer's outstanding shares of the class</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Less than 5% of the Issuer's outstanding shares of the class</w:t>
      </w:r>
    </w:p>
    <w:p>
      <w:pPr>
        <w:spacing w:after="0" w:line="201"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Less than 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0"/>
          <w:szCs w:val="20"/>
          <w:color w:val="auto"/>
        </w:rPr>
      </w:pPr>
    </w:p>
    <w:p>
      <w:pPr>
        <w:ind w:right="7059" w:firstLine="8"/>
        <w:spacing w:after="0" w:line="470"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Management LLC</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 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Voting Power:  Less than 5% of the Issuer's outstanding</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20" w:type="dxa"/>
            <w:vAlign w:val="bottom"/>
          </w:tcPr>
          <w:p>
            <w:pPr>
              <w:spacing w:after="0"/>
              <w:rPr>
                <w:sz w:val="17"/>
                <w:szCs w:val="17"/>
                <w:color w:val="auto"/>
              </w:rPr>
            </w:pP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of the class</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bl>
    <w:p>
      <w:pPr>
        <w:spacing w:after="0" w:line="4" w:lineRule="exact"/>
        <w:rPr>
          <w:sz w:val="20"/>
          <w:szCs w:val="20"/>
          <w:color w:val="auto"/>
        </w:rPr>
      </w:pPr>
    </w:p>
    <w:p>
      <w:pPr>
        <w:ind w:left="1900" w:right="2519" w:hanging="417"/>
        <w:spacing w:after="0" w:line="235" w:lineRule="auto"/>
        <w:tabs>
          <w:tab w:leader="none" w:pos="19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Less than 5% of the Issuer's outstanding shares of the class</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Less than 5% of the Issuer's outstanding shares of the class</w:t>
      </w:r>
    </w:p>
    <w:p>
      <w:pPr>
        <w:spacing w:after="0" w:line="201"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Less than 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ectPr>
          <w:pgSz w:w="11900" w:h="16838" w:orient="portrait"/>
          <w:cols w:equalWidth="0" w:num="1">
            <w:col w:w="10219"/>
          </w:cols>
          <w:pgMar w:left="240" w:top="11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0"/>
          <w:szCs w:val="20"/>
          <w:color w:val="auto"/>
        </w:rPr>
      </w:pPr>
    </w:p>
    <w:p>
      <w:pPr>
        <w:ind w:right="7059" w:firstLine="8"/>
        <w:spacing w:after="0" w:line="470"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Master Fund L.P.</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 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Voting Power:  Less than 5% of the Issuer's outstanding</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20" w:type="dxa"/>
            <w:vAlign w:val="bottom"/>
          </w:tcPr>
          <w:p>
            <w:pPr>
              <w:spacing w:after="0"/>
              <w:rPr>
                <w:sz w:val="17"/>
                <w:szCs w:val="17"/>
                <w:color w:val="auto"/>
              </w:rPr>
            </w:pP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of the class</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bl>
    <w:p>
      <w:pPr>
        <w:spacing w:after="0" w:line="4" w:lineRule="exact"/>
        <w:rPr>
          <w:sz w:val="20"/>
          <w:szCs w:val="20"/>
          <w:color w:val="auto"/>
        </w:rPr>
      </w:pPr>
    </w:p>
    <w:p>
      <w:pPr>
        <w:ind w:left="1900" w:right="2519" w:hanging="417"/>
        <w:spacing w:after="0" w:line="235" w:lineRule="auto"/>
        <w:tabs>
          <w:tab w:leader="none" w:pos="19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Less than 5% of the Issuer's outstanding shares of the class</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Less than 5% of the Issuer's outstanding shares of the class</w:t>
      </w:r>
    </w:p>
    <w:p>
      <w:pPr>
        <w:spacing w:after="0" w:line="201"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Less than 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PN</w:t>
      </w:r>
    </w:p>
    <w:p>
      <w:pPr>
        <w:sectPr>
          <w:pgSz w:w="11900" w:h="16838" w:orient="portrait"/>
          <w:cols w:equalWidth="0" w:num="1">
            <w:col w:w="10219"/>
          </w:cols>
          <w:pgMar w:left="240" w:top="1122" w:right="1440" w:bottom="1440" w:gutter="0" w:footer="0" w:header="0"/>
        </w:sectPr>
      </w:pPr>
    </w:p>
    <w:bookmarkStart w:id="5" w:name="page6"/>
    <w:bookmarkEnd w:id="5"/>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name of the issuer is Active Power, Inc. (the "Issuer").</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principal executive offices of the Issuer are located at 2128 W. Braker Lane, BK12, Austin, Texas 78758</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Names of Persons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Schedule 13G statement is hereby filed by the persons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HBK Investments L.P.</w:t>
      </w:r>
    </w:p>
    <w:p>
      <w:pPr>
        <w:spacing w:after="0" w:line="238" w:lineRule="auto"/>
        <w:rPr>
          <w:sz w:val="20"/>
          <w:szCs w:val="20"/>
          <w:color w:val="auto"/>
        </w:rPr>
      </w:pPr>
      <w:r>
        <w:rPr>
          <w:rFonts w:ascii="Courier New" w:cs="Courier New" w:eastAsia="Courier New" w:hAnsi="Courier New"/>
          <w:sz w:val="18"/>
          <w:szCs w:val="18"/>
          <w:color w:val="auto"/>
        </w:rPr>
        <w:t>HBK Services LLC</w:t>
      </w:r>
    </w:p>
    <w:p>
      <w:pPr>
        <w:spacing w:after="0"/>
        <w:rPr>
          <w:sz w:val="20"/>
          <w:szCs w:val="20"/>
          <w:color w:val="auto"/>
        </w:rPr>
      </w:pPr>
      <w:r>
        <w:rPr>
          <w:rFonts w:ascii="Courier New" w:cs="Courier New" w:eastAsia="Courier New" w:hAnsi="Courier New"/>
          <w:sz w:val="18"/>
          <w:szCs w:val="18"/>
          <w:color w:val="auto"/>
        </w:rPr>
        <w:t>HBK Partners II L.P.</w:t>
      </w:r>
    </w:p>
    <w:p>
      <w:pPr>
        <w:spacing w:after="0" w:line="237" w:lineRule="auto"/>
        <w:rPr>
          <w:sz w:val="20"/>
          <w:szCs w:val="20"/>
          <w:color w:val="auto"/>
        </w:rPr>
      </w:pPr>
      <w:r>
        <w:rPr>
          <w:rFonts w:ascii="Courier New" w:cs="Courier New" w:eastAsia="Courier New" w:hAnsi="Courier New"/>
          <w:sz w:val="18"/>
          <w:szCs w:val="18"/>
          <w:color w:val="auto"/>
        </w:rPr>
        <w:t>HBK Management LLC</w:t>
      </w:r>
    </w:p>
    <w:p>
      <w:pPr>
        <w:spacing w:after="0" w:line="238" w:lineRule="auto"/>
        <w:rPr>
          <w:sz w:val="20"/>
          <w:szCs w:val="20"/>
          <w:color w:val="auto"/>
        </w:rPr>
      </w:pPr>
      <w:r>
        <w:rPr>
          <w:rFonts w:ascii="Courier New" w:cs="Courier New" w:eastAsia="Courier New" w:hAnsi="Courier New"/>
          <w:sz w:val="18"/>
          <w:szCs w:val="18"/>
          <w:color w:val="auto"/>
        </w:rPr>
        <w:t>HBK Master Fund L.P.</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address of the principal business office for each Reporting Person is set forth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HBK Investments L.P.: 2101 Cedar Springs Road, Suite 700, Dallas, Texas 75201.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HBK Services LLC: 2101 Cedar Springs Road, Suite 700, Dallas, Texas 75201.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HBK Partners II L.P.: 2101 Cedar Springs Road, Suite 700, Dallas, Texas 75201.</w:t>
      </w:r>
    </w:p>
    <w:p>
      <w:pPr>
        <w:spacing w:after="0" w:line="2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HBK Management LLC: 2101 Cedar Springs Road, Suite 700, Dallas, Texas 75201. HBK Master Fund L.P.: c/o HBK Services LLC, 2101 Cedar Springs Road, Suite 700, Dallas, Texas 75201.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HBK Investments L.P. is a Delaware limited partnership.</w:t>
      </w:r>
    </w:p>
    <w:p>
      <w:pPr>
        <w:spacing w:after="0" w:line="238" w:lineRule="auto"/>
        <w:rPr>
          <w:sz w:val="20"/>
          <w:szCs w:val="20"/>
          <w:color w:val="auto"/>
        </w:rPr>
      </w:pPr>
      <w:r>
        <w:rPr>
          <w:rFonts w:ascii="Courier New" w:cs="Courier New" w:eastAsia="Courier New" w:hAnsi="Courier New"/>
          <w:sz w:val="18"/>
          <w:szCs w:val="18"/>
          <w:color w:val="auto"/>
        </w:rPr>
        <w:t>HBK Services LLC is a Delaware limited liability company.</w:t>
      </w:r>
    </w:p>
    <w:p>
      <w:pPr>
        <w:spacing w:after="0"/>
        <w:rPr>
          <w:sz w:val="20"/>
          <w:szCs w:val="20"/>
          <w:color w:val="auto"/>
        </w:rPr>
      </w:pPr>
      <w:r>
        <w:rPr>
          <w:rFonts w:ascii="Courier New" w:cs="Courier New" w:eastAsia="Courier New" w:hAnsi="Courier New"/>
          <w:sz w:val="18"/>
          <w:szCs w:val="18"/>
          <w:color w:val="auto"/>
        </w:rPr>
        <w:t>HBK Partners II L.P. is a Delaware limited partnership.</w:t>
      </w:r>
    </w:p>
    <w:p>
      <w:pPr>
        <w:spacing w:after="0" w:line="237" w:lineRule="auto"/>
        <w:rPr>
          <w:sz w:val="20"/>
          <w:szCs w:val="20"/>
          <w:color w:val="auto"/>
        </w:rPr>
      </w:pPr>
      <w:r>
        <w:rPr>
          <w:rFonts w:ascii="Courier New" w:cs="Courier New" w:eastAsia="Courier New" w:hAnsi="Courier New"/>
          <w:sz w:val="18"/>
          <w:szCs w:val="18"/>
          <w:color w:val="auto"/>
        </w:rPr>
        <w:t>HBK Management LLC is a Delaware limited liability company.</w:t>
      </w:r>
    </w:p>
    <w:p>
      <w:pPr>
        <w:spacing w:after="0" w:line="238" w:lineRule="auto"/>
        <w:rPr>
          <w:sz w:val="20"/>
          <w:szCs w:val="20"/>
          <w:color w:val="auto"/>
        </w:rPr>
      </w:pPr>
      <w:r>
        <w:rPr>
          <w:rFonts w:ascii="Courier New" w:cs="Courier New" w:eastAsia="Courier New" w:hAnsi="Courier New"/>
          <w:sz w:val="18"/>
          <w:szCs w:val="18"/>
          <w:color w:val="auto"/>
        </w:rPr>
        <w:t>HBK Master Fund L.P. is a Cayman Islands limited partnership.</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statement relates to the Common Stock of the Issuer (the "Securities").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CUSIP number of the Securities is 00504W100.</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Item 3. If this statement is filed pursuant to Sections 240.13d-1(b) or 240.13d-2(b) or (c), check whether the person filing is a:</w:t>
      </w:r>
    </w:p>
    <w:p>
      <w:pPr>
        <w:spacing w:after="0" w:line="203" w:lineRule="exact"/>
        <w:rPr>
          <w:sz w:val="20"/>
          <w:szCs w:val="20"/>
          <w:color w:val="auto"/>
        </w:rPr>
      </w:pPr>
    </w:p>
    <w:p>
      <w:pPr>
        <w:ind w:left="420" w:hanging="412"/>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78o).</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78c).</w:t>
      </w:r>
    </w:p>
    <w:p>
      <w:pPr>
        <w:spacing w:after="0" w:line="207" w:lineRule="exact"/>
        <w:rPr>
          <w:rFonts w:ascii="Courier New" w:cs="Courier New" w:eastAsia="Courier New" w:hAnsi="Courier New"/>
          <w:sz w:val="16"/>
          <w:szCs w:val="16"/>
          <w:color w:val="auto"/>
        </w:rPr>
      </w:pPr>
    </w:p>
    <w:p>
      <w:pPr>
        <w:ind w:right="1879" w:firstLine="8"/>
        <w:spacing w:after="0" w:line="235"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 240.13d-</w:t>
      </w:r>
    </w:p>
    <w:p>
      <w:pPr>
        <w:spacing w:after="0" w:line="238" w:lineRule="auto"/>
        <w:rPr>
          <w:sz w:val="20"/>
          <w:szCs w:val="20"/>
          <w:color w:val="auto"/>
        </w:rPr>
      </w:pPr>
      <w:r>
        <w:rPr>
          <w:rFonts w:ascii="Courier New" w:cs="Courier New" w:eastAsia="Courier New" w:hAnsi="Courier New"/>
          <w:sz w:val="18"/>
          <w:szCs w:val="18"/>
          <w:color w:val="auto"/>
        </w:rPr>
        <w:t>1(b)(1)(ii)(E).</w:t>
      </w:r>
    </w:p>
    <w:p>
      <w:pPr>
        <w:spacing w:after="0" w:line="207" w:lineRule="exact"/>
        <w:rPr>
          <w:sz w:val="20"/>
          <w:szCs w:val="20"/>
          <w:color w:val="auto"/>
        </w:rPr>
      </w:pPr>
    </w:p>
    <w:p>
      <w:pPr>
        <w:ind w:left="420" w:hanging="412"/>
        <w:spacing w:after="0"/>
        <w:tabs>
          <w:tab w:leader="none" w:pos="4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employee benefit plan or endowment fund in accordance with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240.13d-1(b)(1)(ii)(F).</w:t>
      </w:r>
    </w:p>
    <w:p>
      <w:pPr>
        <w:spacing w:after="0" w:line="207"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parent holding company or control person in accordance with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240.13d-1(b)(1)(ii)(G).</w:t>
      </w:r>
    </w:p>
    <w:p>
      <w:pPr>
        <w:spacing w:after="0" w:line="207" w:lineRule="exact"/>
        <w:rPr>
          <w:rFonts w:ascii="Courier New" w:cs="Courier New" w:eastAsia="Courier New" w:hAnsi="Courier New"/>
          <w:sz w:val="16"/>
          <w:szCs w:val="16"/>
          <w:color w:val="auto"/>
        </w:rPr>
      </w:pPr>
    </w:p>
    <w:p>
      <w:pPr>
        <w:ind w:right="2519" w:firstLine="8"/>
        <w:spacing w:after="0" w:line="235"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right="1879" w:firstLine="8"/>
        <w:spacing w:after="0" w:line="236"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ectPr>
          <w:pgSz w:w="11900" w:h="16838" w:orient="portrait"/>
          <w:cols w:equalWidth="0" w:num="1">
            <w:col w:w="10219"/>
          </w:cols>
          <w:pgMar w:left="240" w:top="919" w:right="1440" w:bottom="0" w:gutter="0" w:footer="0" w:header="0"/>
        </w:sectPr>
      </w:pPr>
    </w:p>
    <w:bookmarkStart w:id="6" w:name="page7"/>
    <w:bookmarkEnd w:id="6"/>
    <w:p>
      <w:pPr>
        <w:ind w:right="3259" w:firstLine="8"/>
        <w:spacing w:after="0" w:line="470"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 Item 4. Ownership.</w:t>
      </w:r>
    </w:p>
    <w:p>
      <w:pPr>
        <w:spacing w:after="0" w:line="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Ownership is incorporated by reference to items 5-9 and 11 of the cover page of each Reporting Person.</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percentage disclosed in item 11 of the cover page of each Reporting Person is calculated based upon 60,458,311 shares of common stock issued and outstanding as reported in the Issuer's Form 10-Q filed with the Securities and Exchange Commission on October 28, 2008.</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Jamiel A. Akhtar, Richard L. Booth, David C. Haley, Lawrence H. Lebowitz, and William E. Rose are each managing members (collectively, the "Members") of HBK Management LLC. The Members expressly declare that the filing of this statement on Schedule 13G shall not be construed as an admission that they are, for the purpose of Section 13(d) or 13(g) of the Securities Exchange Act of 1934, beneficial owners of the Securities.</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42" w:right="1440" w:bottom="1440" w:gutter="0" w:footer="0" w:header="0"/>
        </w:sectPr>
      </w:pPr>
    </w:p>
    <w:bookmarkStart w:id="7" w:name="page8"/>
    <w:bookmarkEnd w:id="7"/>
    <w:p>
      <w:pPr>
        <w:jc w:val="center"/>
        <w:ind w:right="20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DATED: January 15, 2009</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INVESTMENTS L.P.</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SERVICES LLC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PARTNERS II L.P.</w:t>
      </w:r>
    </w:p>
    <w:p>
      <w:pPr>
        <w:ind w:left="4640"/>
        <w:spacing w:after="0" w:line="238" w:lineRule="auto"/>
        <w:rPr>
          <w:sz w:val="20"/>
          <w:szCs w:val="20"/>
          <w:color w:val="auto"/>
        </w:rPr>
      </w:pPr>
      <w:r>
        <w:rPr>
          <w:rFonts w:ascii="Courier New" w:cs="Courier New" w:eastAsia="Courier New" w:hAnsi="Courier New"/>
          <w:sz w:val="18"/>
          <w:szCs w:val="18"/>
          <w:color w:val="auto"/>
        </w:rPr>
        <w:t>By: HBK Management LLC</w:t>
      </w:r>
    </w:p>
    <w:p>
      <w:pPr>
        <w:ind w:left="506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MANAGEMENT LLC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MASTER FUND L.P.</w:t>
      </w:r>
    </w:p>
    <w:p>
      <w:pPr>
        <w:ind w:left="4640"/>
        <w:spacing w:after="0" w:line="238" w:lineRule="auto"/>
        <w:tabs>
          <w:tab w:leader="none" w:pos="5140" w:val="left"/>
        </w:tabs>
        <w:rPr>
          <w:sz w:val="20"/>
          <w:szCs w:val="20"/>
          <w:color w:val="auto"/>
        </w:rPr>
      </w:pPr>
      <w:r>
        <w:rPr>
          <w:rFonts w:ascii="Courier New" w:cs="Courier New" w:eastAsia="Courier New" w:hAnsi="Courier New"/>
          <w:sz w:val="18"/>
          <w:szCs w:val="18"/>
          <w:color w:val="auto"/>
        </w:rPr>
        <w:t>By:</w:t>
        <w:tab/>
        <w:t>HBK Services LLC</w:t>
      </w:r>
    </w:p>
    <w:p>
      <w:pPr>
        <w:ind w:left="5160"/>
        <w:spacing w:after="0"/>
        <w:rPr>
          <w:sz w:val="20"/>
          <w:szCs w:val="20"/>
          <w:color w:val="auto"/>
        </w:rPr>
      </w:pPr>
      <w:r>
        <w:rPr>
          <w:rFonts w:ascii="Courier New" w:cs="Courier New" w:eastAsia="Courier New" w:hAnsi="Courier New"/>
          <w:sz w:val="18"/>
          <w:szCs w:val="18"/>
          <w:color w:val="auto"/>
        </w:rPr>
        <w:t>Investment Advisor</w:t>
      </w:r>
    </w:p>
    <w:p>
      <w:pPr>
        <w:spacing w:after="0" w:line="200"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999" w:firstLine="8"/>
        <w:spacing w:after="0" w:line="235" w:lineRule="auto"/>
        <w:tabs>
          <w:tab w:leader="none" w:pos="52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Authorization Certificate authorizing Jon L. Mosle to act on behalf of each Reporting Person was previously filed.</w:t>
      </w:r>
    </w:p>
    <w:p>
      <w:pPr>
        <w:sectPr>
          <w:pgSz w:w="11900" w:h="16838" w:orient="portrait"/>
          <w:cols w:equalWidth="0" w:num="1">
            <w:col w:w="10219"/>
          </w:cols>
          <w:pgMar w:left="240" w:top="1122" w:right="1440"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
    </w:lvl>
    <w:lvl w:ilvl="1">
      <w:lvlJc w:val="left"/>
      <w:lvlText w:val="(%2)"/>
      <w:numFmt w:val="lowerLetter"/>
      <w:start w:val="1"/>
    </w:lvl>
  </w:abstractNum>
  <w:abstractNum w:abstractNumId="2">
    <w:nsid w:val="DED7263"/>
    <w:multiLevelType w:val="hybridMultilevel"/>
    <w:lvl w:ilvl="0">
      <w:lvlJc w:val="left"/>
      <w:lvlText w:val="%1."/>
      <w:numFmt w:val="decimal"/>
      <w:start w:val="9"/>
    </w:lvl>
  </w:abstractNum>
  <w:abstractNum w:abstractNumId="3">
    <w:nsid w:val="7FDCC233"/>
    <w:multiLevelType w:val="hybridMultilevel"/>
    <w:lvl w:ilvl="0">
      <w:lvlJc w:val="left"/>
      <w:lvlText w:val="%1."/>
      <w:numFmt w:val="decimal"/>
      <w:start w:val="11"/>
    </w:lvl>
  </w:abstractNum>
  <w:abstractNum w:abstractNumId="4">
    <w:nsid w:val="1BEFD79F"/>
    <w:multiLevelType w:val="hybridMultilevel"/>
    <w:lvl w:ilvl="0">
      <w:lvlJc w:val="left"/>
      <w:lvlText w:val="%1."/>
      <w:numFmt w:val="decimal"/>
      <w:start w:val="1"/>
    </w:lvl>
    <w:lvl w:ilvl="1">
      <w:lvlJc w:val="left"/>
      <w:lvlText w:val="(%2)"/>
      <w:numFmt w:val="lowerLetter"/>
      <w:start w:val="1"/>
    </w:lvl>
  </w:abstractNum>
  <w:abstractNum w:abstractNumId="5">
    <w:nsid w:val="41A7C4C9"/>
    <w:multiLevelType w:val="hybridMultilevel"/>
    <w:lvl w:ilvl="0">
      <w:lvlJc w:val="left"/>
      <w:lvlText w:val="%1"/>
      <w:numFmt w:val="decimal"/>
      <w:start w:val="1"/>
    </w:lvl>
    <w:lvl w:ilvl="1">
      <w:lvlJc w:val="left"/>
      <w:lvlText w:val="%2."/>
      <w:numFmt w:val="decimal"/>
      <w:start w:val="8"/>
    </w:lvl>
  </w:abstractNum>
  <w:abstractNum w:abstractNumId="6">
    <w:nsid w:val="6B68079A"/>
    <w:multiLevelType w:val="hybridMultilevel"/>
    <w:lvl w:ilvl="0">
      <w:lvlJc w:val="left"/>
      <w:lvlText w:val="%1."/>
      <w:numFmt w:val="decimal"/>
      <w:start w:val="9"/>
    </w:lvl>
    <w:lvl w:ilvl="1">
      <w:lvlJc w:val="left"/>
      <w:lvlText w:val="%2"/>
      <w:numFmt w:val="decimal"/>
      <w:start w:val="1"/>
    </w:lvl>
  </w:abstractNum>
  <w:abstractNum w:abstractNumId="7">
    <w:nsid w:val="4E6AFB66"/>
    <w:multiLevelType w:val="hybridMultilevel"/>
    <w:lvl w:ilvl="0">
      <w:lvlJc w:val="left"/>
      <w:lvlText w:val="%1."/>
      <w:numFmt w:val="decimal"/>
      <w:start w:val="1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lvl w:ilvl="1">
      <w:lvlJc w:val="left"/>
      <w:lvlText w:val="(%2)"/>
      <w:numFmt w:val="lowerLetter"/>
      <w:start w:val="1"/>
    </w:lvl>
  </w:abstractNum>
  <w:abstractNum w:abstractNumId="10">
    <w:nsid w:val="431BD7B7"/>
    <w:multiLevelType w:val="hybridMultilevel"/>
    <w:lvl w:ilvl="0">
      <w:lvlJc w:val="left"/>
      <w:lvlText w:val="%1"/>
      <w:numFmt w:val="decimal"/>
      <w:start w:val="1"/>
    </w:lvl>
    <w:lvl w:ilvl="1">
      <w:lvlJc w:val="left"/>
      <w:lvlText w:val="%2."/>
      <w:numFmt w:val="decimal"/>
      <w:start w:val="8"/>
    </w:lvl>
  </w:abstractNum>
  <w:abstractNum w:abstractNumId="11">
    <w:nsid w:val="3F2DBA31"/>
    <w:multiLevelType w:val="hybridMultilevel"/>
    <w:lvl w:ilvl="0">
      <w:lvlJc w:val="left"/>
      <w:lvlText w:val="%1."/>
      <w:numFmt w:val="decimal"/>
      <w:start w:val="9"/>
    </w:lvl>
    <w:lvl w:ilvl="1">
      <w:lvlJc w:val="left"/>
      <w:lvlText w:val="%2"/>
      <w:numFmt w:val="decimal"/>
      <w:start w:val="1"/>
    </w:lvl>
  </w:abstractNum>
  <w:abstractNum w:abstractNumId="12">
    <w:nsid w:val="7C83E458"/>
    <w:multiLevelType w:val="hybridMultilevel"/>
    <w:lvl w:ilvl="0">
      <w:lvlJc w:val="left"/>
      <w:lvlText w:val="%1."/>
      <w:numFmt w:val="decimal"/>
      <w:start w:val="11"/>
    </w:lvl>
  </w:abstractNum>
  <w:abstractNum w:abstractNumId="13">
    <w:nsid w:val="257130A3"/>
    <w:multiLevelType w:val="hybridMultilevel"/>
    <w:lvl w:ilvl="0">
      <w:lvlJc w:val="left"/>
      <w:lvlText w:val="%1."/>
      <w:numFmt w:val="decimal"/>
      <w:start w:val="1"/>
    </w:lvl>
    <w:lvl w:ilvl="1">
      <w:lvlJc w:val="left"/>
      <w:lvlText w:val="(%2)"/>
      <w:numFmt w:val="lowerLetter"/>
      <w:start w:val="1"/>
    </w:lvl>
  </w:abstractNum>
  <w:abstractNum w:abstractNumId="14">
    <w:nsid w:val="62BBD95A"/>
    <w:multiLevelType w:val="hybridMultilevel"/>
    <w:lvl w:ilvl="0">
      <w:lvlJc w:val="left"/>
      <w:lvlText w:val="%1"/>
      <w:numFmt w:val="decimal"/>
      <w:start w:val="1"/>
    </w:lvl>
    <w:lvl w:ilvl="1">
      <w:lvlJc w:val="left"/>
      <w:lvlText w:val="%2."/>
      <w:numFmt w:val="decimal"/>
      <w:start w:val="8"/>
    </w:lvl>
  </w:abstractNum>
  <w:abstractNum w:abstractNumId="15">
    <w:nsid w:val="436C6125"/>
    <w:multiLevelType w:val="hybridMultilevel"/>
    <w:lvl w:ilvl="0">
      <w:lvlJc w:val="left"/>
      <w:lvlText w:val="%1."/>
      <w:numFmt w:val="decimal"/>
      <w:start w:val="9"/>
    </w:lvl>
    <w:lvl w:ilvl="1">
      <w:lvlJc w:val="left"/>
      <w:lvlText w:val="%2"/>
      <w:numFmt w:val="decimal"/>
      <w:start w:val="1"/>
    </w:lvl>
  </w:abstractNum>
  <w:abstractNum w:abstractNumId="16">
    <w:nsid w:val="628C895D"/>
    <w:multiLevelType w:val="hybridMultilevel"/>
    <w:lvl w:ilvl="0">
      <w:lvlJc w:val="left"/>
      <w:lvlText w:val="%1."/>
      <w:numFmt w:val="decimal"/>
      <w:start w:val="11"/>
    </w:lvl>
  </w:abstractNum>
  <w:abstractNum w:abstractNumId="17">
    <w:nsid w:val="333AB105"/>
    <w:multiLevelType w:val="hybridMultilevel"/>
    <w:lvl w:ilvl="0">
      <w:lvlJc w:val="left"/>
      <w:lvlText w:val="%1."/>
      <w:numFmt w:val="decimal"/>
      <w:start w:val="1"/>
    </w:lvl>
    <w:lvl w:ilvl="1">
      <w:lvlJc w:val="left"/>
      <w:lvlText w:val="(%2)"/>
      <w:numFmt w:val="lowerLetter"/>
      <w:start w:val="1"/>
    </w:lvl>
  </w:abstractNum>
  <w:abstractNum w:abstractNumId="18">
    <w:nsid w:val="721DA317"/>
    <w:multiLevelType w:val="hybridMultilevel"/>
    <w:lvl w:ilvl="0">
      <w:lvlJc w:val="left"/>
      <w:lvlText w:val="%1"/>
      <w:numFmt w:val="decimal"/>
      <w:start w:val="1"/>
    </w:lvl>
    <w:lvl w:ilvl="1">
      <w:lvlJc w:val="left"/>
      <w:lvlText w:val="%2."/>
      <w:numFmt w:val="decimal"/>
      <w:start w:val="8"/>
    </w:lvl>
  </w:abstractNum>
  <w:abstractNum w:abstractNumId="19">
    <w:nsid w:val="2443A858"/>
    <w:multiLevelType w:val="hybridMultilevel"/>
    <w:lvl w:ilvl="0">
      <w:lvlJc w:val="left"/>
      <w:lvlText w:val="%1."/>
      <w:numFmt w:val="decimal"/>
      <w:start w:val="9"/>
    </w:lvl>
    <w:lvl w:ilvl="1">
      <w:lvlJc w:val="left"/>
      <w:lvlText w:val="%2"/>
      <w:numFmt w:val="decimal"/>
      <w:start w:val="1"/>
    </w:lvl>
  </w:abstractNum>
  <w:abstractNum w:abstractNumId="20">
    <w:nsid w:val="2D1D5AE9"/>
    <w:multiLevelType w:val="hybridMultilevel"/>
    <w:lvl w:ilvl="0">
      <w:lvlJc w:val="left"/>
      <w:lvlText w:val="%1."/>
      <w:numFmt w:val="decimal"/>
      <w:start w:val="1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6"/>
    </w:lvl>
  </w:abstractNum>
  <w:abstractNum w:abstractNumId="23">
    <w:nsid w:val="8EDBDAB"/>
    <w:multiLevelType w:val="hybridMultilevel"/>
    <w:lvl w:ilvl="0">
      <w:lvlJc w:val="left"/>
      <w:lvlText w:val="(%1)"/>
      <w:numFmt w:val="lowerLetter"/>
      <w:start w:val="10"/>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2019-12-10T15:50:10Z</dcterms:created>
  <dcterms:modified xsi:type="dcterms:W3CDTF">2019-12-10T15:50:10Z</dcterms:modified>
</cp:coreProperties>
</file>