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Schrader-Hausmann Uwe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29"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4"/>
        <w:spacing w:after="0"/>
        <w:rPr>
          <w:sz w:val="20"/>
          <w:szCs w:val="20"/>
          <w:color w:val="auto"/>
        </w:rPr>
      </w:pPr>
      <w:r>
        <w:rPr>
          <w:rFonts w:ascii="Arial" w:cs="Arial" w:eastAsia="Arial" w:hAnsi="Arial"/>
          <w:sz w:val="17"/>
          <w:szCs w:val="17"/>
          <w:color w:val="0000FF"/>
        </w:rPr>
        <w:t>Chief Technical Officer</w:t>
      </w:r>
    </w:p>
    <w:p>
      <w:pPr>
        <w:spacing w:after="0" w:line="440"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4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135,000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135,000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135,000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135,000 of which option shares became eligible for vesting on February 24, 2011 upon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John K. Penver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02/24/2011</w:t>
            </w: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847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2019-12-17T04:47:07Z</dcterms:created>
  <dcterms:modified xsi:type="dcterms:W3CDTF">2019-12-17T04:47:07Z</dcterms:modified>
</cp:coreProperties>
</file>