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Co-Chief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4514 Cole Avenue,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P10,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May 13,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0001841968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Alpert: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 Agreement, page 71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We note your response to comment 11 and your disclosure on page 71 that the 67%-33%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ownership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split was based on the relative fair market values of the assets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contributed by each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ECG and ECP, as determined by management. Please tell us why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used the fair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value of gross assets as the basis for the economic ownership 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you considered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using net assets is more appropriate noting that the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provided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10 shows ECG contributed net liabilities with a carrying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of $0.6 million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3399" w:hanging="5896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ECP contributed net assets with a carrying value of $20.6 million.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Alpert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 LastNameRobert Alpert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NameP10, Inc.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23,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10. We note the Enhanced Capital Group, LLC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 at September 30, 2020 on page F-152 includes an ECP Note Receivable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$30 million, Investment Firms Note Payable of $40 million and Redemption Notes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Payable of $19 million. Please tell us why these amounts were not included in the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ECG Pre-Reorg Balance Sheet column on page 7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revise the information provided in response 10 to include all amounts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on the ECG and ECP balance sheet immediately prior to the Reorganization.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response to comment 22, you state that the inter-company debt payable by ECP to ECG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remains subsequent to the ECG/ECP Reorganization and P10 acquisition. Please tell 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the amount is not included in the ECP Remains December 14, 2020 Balance Sheet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 on page 7 of the response. Additionally, please revise the information provided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10 to include all amounts recognized on the ECG and ECP balance sheet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immediately after the Reorganization and prior to the purchase accounting related to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 acquisition.</w:t>
      </w:r>
    </w:p>
    <w:p>
      <w:pPr>
        <w:spacing w:after="0"/>
        <w:tabs>
          <w:tab w:leader="none" w:pos="940" w:val="left"/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83 that,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Debt of ECG, which was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held by the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Permanent Capital Subsidiaries, totaling $64.4 million as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date was</w:t>
      </w:r>
    </w:p>
    <w:p>
      <w:pPr>
        <w:ind w:left="960"/>
        <w:spacing w:after="0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extinguished using the proceeds from the acquisition.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 if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extinguishment of this debt was part of the reorganization agreement. If not, clarify how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was accounted for in the purchase accounting including how it was or why it was not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recognized as part of the liabilities assumed.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information provided on page 7 of the response shows that ECP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ECG transferred certain liabilities to Enhanced PC. Please tell us is detail and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the rights and claims that these creditors have. Specifically, discuss if they have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to assets of other entities including ECP and ECG.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and tell us how many Members there are on Enhanced PC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 Board, which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entities appoint the Members, and how many votes are required to make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binding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decision.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comments 10 and 24. Please tell us your consideration of ASC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810-10-40-5, in your accounting for the derecognition of the permanent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in the reorganization. Include in your response your calculation of gain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 on the derecognition.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Statement of Operations for the year ended December 31, 2020, page 76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the historical information for Enhanced Capital Group, LLC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1, 2020 through December 14, 2020, the date of the acquisition in a separate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column. The historical amounts should not show the impact related to the Acquisition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Reorganization. Please show the impact of the Reorganization is a separate pro forma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column. Additionally, please disclose in the accompanying explanatory notes revenues,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expenses, gains and losses and related tax effects which will not recur in the income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 beyond 12 months after the transaction. Refer to SEC Release No. 33-10786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65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Robert Alpert P10, Inc.</w:t>
      </w:r>
    </w:p>
    <w:p>
      <w:pPr>
        <w:ind w:right="87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23, 2021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Rules 11-02(a)(6) and 11-02(a)(11)(i) of Regulation S-X for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(7), page 82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comment 16. You disclose that the pro forma net loss of $3.8 million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ECP does not reflect the effects of the Advisory Agreement. Please revise to include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effects of the Advisory Agreement on the pro forma loss for ECP or tell us why it should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included.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Enhanced, page F-23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refer to comment 23. In your response to comment 23, you refer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chart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below. However, we could not locate the chart. Please provide us the chart to the extent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needed.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from your response to comments 13 and 23 that ECP will receive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economics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the Administrative Services Agreement between ECG and EC Holdings for the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employees provided to ECG that in turn provide services to Enhanced PC. Please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to us the design and purpose of this Administrative Services Agreement, and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support the substance of the agreement when the employees provided to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ECG by EC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Holdings in turn provide services to EC Holdings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indirect</w:t>
      </w:r>
    </w:p>
    <w:p>
      <w:pPr>
        <w:spacing w:after="0" w:line="6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420"/>
            <w:col w:w="369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your exhibit index. We note several of the exhibits indicate that schedules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exhibits have been omitted pursuant to Item 601(b)(10). However, some of those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 appear to be redacting information pursuant to Item 601(b)(10)(iv) of Regulation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 As such, please revise the exhibit index for those exhibits, to clarify that portions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exhibits have been redacted in accordance with Item 601(b)(10)(iv) or advise.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remaining exhibits that are labeled as having schedules and exhibits that have been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omitted pursuant to Item 601(b)(10), please clarify which subsection of Item 601of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you are relying upon to omit schedules or exhibits. Refer generally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601(a)(5), 601(b)(2), and 601(b)(10)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William Schroeder at 202-551-3294 or Michael Volley at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3437 if you have questions regarding comments on the financial statements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Sonia Bednarowski at 202-551-3666 or Susan Block at 202-551-3210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LastNameRobert Alpert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NameP10,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720"/>
            <w:col w:w="3399"/>
          </w:cols>
          <w:pgMar w:left="320" w:top="136" w:right="1440" w:bottom="1440" w:gutter="0" w:footer="0" w:header="0"/>
          <w:type w:val="continuous"/>
        </w:sect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June 23, 2021 Page 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6020" w:space="720"/>
        <w:col w:w="33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D1B58BA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0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1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1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2022-03-08T21:38:44Z</dcterms:created>
  <dcterms:modified xsi:type="dcterms:W3CDTF">2022-03-08T21:38:44Z</dcterms:modified>
</cp:coreProperties>
</file>