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Blatherwick Nell M.</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11/18/2021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518" w:type="dxa"/>
        <w:tblCellMar>
          <w:top w:w="0" w:type="dxa"/>
          <w:left w:w="0" w:type="dxa"/>
          <w:bottom w:w="0" w:type="dxa"/>
          <w:right w:w="0" w:type="dxa"/>
        </w:tblCellMar>
      </w:tblPr>
      <w:tr>
        <w:trPr>
          <w:trHeight w:val="153"/>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0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58"/>
        <w:spacing w:after="0"/>
        <w:rPr>
          <w:sz w:val="20"/>
          <w:szCs w:val="20"/>
          <w:color w:val="auto"/>
        </w:rPr>
      </w:pPr>
      <w:r>
        <w:rPr>
          <w:rFonts w:ascii="Arial" w:cs="Arial" w:eastAsia="Arial" w:hAnsi="Arial"/>
          <w:sz w:val="16"/>
          <w:szCs w:val="16"/>
          <w:color w:val="0000FF"/>
        </w:rPr>
        <w:t>Member of 10% Owner Group</w:t>
      </w:r>
    </w:p>
    <w:p>
      <w:pPr>
        <w:spacing w:after="0" w:line="461" w:lineRule="exact"/>
        <w:rPr>
          <w:sz w:val="24"/>
          <w:szCs w:val="24"/>
          <w:color w:val="auto"/>
        </w:rPr>
      </w:pPr>
    </w:p>
    <w:p>
      <w:pPr>
        <w:sectPr>
          <w:pgSz w:w="11900" w:h="16838" w:orient="portrait"/>
          <w:cols w:equalWidth="0" w:num="3">
            <w:col w:w="3200" w:space="720"/>
            <w:col w:w="3102" w:space="720"/>
            <w:col w:w="3338"/>
          </w:cols>
          <w:pgMar w:left="460" w:top="220" w:right="359" w:bottom="5" w:gutter="0" w:footer="0" w:header="0"/>
          <w:type w:val="continuous"/>
        </w:sectPr>
      </w:pPr>
    </w:p>
    <w:tbl>
      <w:tblPr>
        <w:tblLayout w:type="fixed"/>
        <w:tblInd w:w="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368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ind w:left="20"/>
              <w:spacing w:after="0"/>
              <w:rPr>
                <w:sz w:val="20"/>
                <w:szCs w:val="20"/>
                <w:color w:val="auto"/>
              </w:rPr>
            </w:pPr>
            <w:r>
              <w:rPr>
                <w:rFonts w:ascii="Arial" w:cs="Arial" w:eastAsia="Arial" w:hAnsi="Arial"/>
                <w:sz w:val="16"/>
                <w:szCs w:val="16"/>
                <w:color w:val="0000FF"/>
              </w:rPr>
              <w:t>DALLAS</w:t>
            </w:r>
          </w:p>
        </w:tc>
        <w:tc>
          <w:tcPr>
            <w:tcW w:w="780" w:type="dxa"/>
            <w:vAlign w:val="bottom"/>
            <w:vMerge w:val="restart"/>
          </w:tcPr>
          <w:p>
            <w:pPr>
              <w:ind w:left="560"/>
              <w:spacing w:after="0"/>
              <w:rPr>
                <w:sz w:val="20"/>
                <w:szCs w:val="20"/>
                <w:color w:val="auto"/>
              </w:rPr>
            </w:pPr>
            <w:r>
              <w:rPr>
                <w:rFonts w:ascii="Arial" w:cs="Arial" w:eastAsia="Arial" w:hAnsi="Arial"/>
                <w:sz w:val="16"/>
                <w:szCs w:val="16"/>
                <w:color w:val="0000FF"/>
                <w:w w:val="97"/>
              </w:rPr>
              <w:t>TX</w:t>
            </w:r>
          </w:p>
        </w:tc>
        <w:tc>
          <w:tcPr>
            <w:tcW w:w="98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0000FF"/>
              </w:rPr>
              <w:t>75205</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vMerge w:val="restart"/>
          </w:tcPr>
          <w:p>
            <w:pPr>
              <w:ind w:left="54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tcBorders>
              <w:top w:val="single" w:sz="8" w:color="EEEEEE"/>
            </w:tcBorders>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5"/>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40,053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40,053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(4)</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40,053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(4)</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168,795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168,795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(5)</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168,795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(5)</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168,795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168,795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(6)</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168,795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(6)</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168,795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168,795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(7)</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168,795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(7)</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111,577</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111,577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(8)</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111,577</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(8)</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54,358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54,358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(9)</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54,358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(9)</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54,358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54,358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(10)</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54,358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(10)</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40,053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40,053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(11)</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11/18/2021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0000FF"/>
                <w:w w:val="89"/>
              </w:rPr>
              <w:t>40,053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(11)</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4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520" w:type="dxa"/>
            <w:vAlign w:val="bottom"/>
            <w:gridSpan w:val="5"/>
          </w:tcPr>
          <w:p>
            <w:pPr>
              <w:ind w:left="1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1"/>
                <w:szCs w:val="11"/>
                <w:color w:val="auto"/>
              </w:rPr>
            </w:pPr>
          </w:p>
        </w:tc>
        <w:tc>
          <w:tcPr>
            <w:tcW w:w="1520" w:type="dxa"/>
            <w:vAlign w:val="bottom"/>
            <w:gridSpan w:val="5"/>
          </w:tcPr>
          <w:p>
            <w:pPr>
              <w:ind w:left="12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112,603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jc w:val="center"/>
              <w:ind w:left="241"/>
              <w:spacing w:after="0" w:line="143" w:lineRule="exact"/>
              <w:rPr>
                <w:sz w:val="20"/>
                <w:szCs w:val="20"/>
                <w:color w:val="auto"/>
              </w:rPr>
            </w:pPr>
            <w:r>
              <w:rPr>
                <w:rFonts w:ascii="Arial" w:cs="Arial" w:eastAsia="Arial" w:hAnsi="Arial"/>
                <w:sz w:val="13"/>
                <w:szCs w:val="13"/>
                <w:color w:val="0000FF"/>
                <w:w w:val="85"/>
              </w:rPr>
              <w:t>40,053</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1,011,307</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474,540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(5)</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jc w:val="center"/>
              <w:ind w:left="241"/>
              <w:spacing w:after="0" w:line="143" w:lineRule="exact"/>
              <w:rPr>
                <w:sz w:val="20"/>
                <w:szCs w:val="20"/>
                <w:color w:val="auto"/>
              </w:rPr>
            </w:pPr>
            <w:r>
              <w:rPr>
                <w:rFonts w:ascii="Arial" w:cs="Arial" w:eastAsia="Arial" w:hAnsi="Arial"/>
                <w:sz w:val="13"/>
                <w:szCs w:val="13"/>
                <w:color w:val="0000FF"/>
                <w:w w:val="89"/>
              </w:rPr>
              <w:t>168,795</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4,261,939</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474,540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(6)</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jc w:val="center"/>
              <w:ind w:left="241"/>
              <w:spacing w:after="0" w:line="143" w:lineRule="exact"/>
              <w:rPr>
                <w:sz w:val="20"/>
                <w:szCs w:val="20"/>
                <w:color w:val="auto"/>
              </w:rPr>
            </w:pPr>
            <w:r>
              <w:rPr>
                <w:rFonts w:ascii="Arial" w:cs="Arial" w:eastAsia="Arial" w:hAnsi="Arial"/>
                <w:sz w:val="13"/>
                <w:szCs w:val="13"/>
                <w:color w:val="0000FF"/>
                <w:w w:val="89"/>
              </w:rPr>
              <w:t>168,795</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4,261,939</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474,540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(7)</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jc w:val="center"/>
              <w:ind w:left="241"/>
              <w:spacing w:after="0" w:line="143" w:lineRule="exact"/>
              <w:rPr>
                <w:sz w:val="20"/>
                <w:szCs w:val="20"/>
                <w:color w:val="auto"/>
              </w:rPr>
            </w:pPr>
            <w:r>
              <w:rPr>
                <w:rFonts w:ascii="Arial" w:cs="Arial" w:eastAsia="Arial" w:hAnsi="Arial"/>
                <w:sz w:val="13"/>
                <w:szCs w:val="13"/>
                <w:color w:val="0000FF"/>
                <w:w w:val="89"/>
              </w:rPr>
              <w:t>168,795</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4,261,939</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313,679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(8)</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11/18/2021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jc w:val="center"/>
              <w:ind w:left="261"/>
              <w:spacing w:after="0" w:line="143" w:lineRule="exact"/>
              <w:rPr>
                <w:sz w:val="20"/>
                <w:szCs w:val="20"/>
                <w:color w:val="auto"/>
              </w:rPr>
            </w:pPr>
            <w:r>
              <w:rPr>
                <w:rFonts w:ascii="Arial" w:cs="Arial" w:eastAsia="Arial" w:hAnsi="Arial"/>
                <w:sz w:val="13"/>
                <w:szCs w:val="13"/>
                <w:color w:val="0000FF"/>
                <w:w w:val="85"/>
              </w:rPr>
              <w:t>111,577</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2,817,213</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Borders>
              <w:bottom w:val="single" w:sz="8" w:color="808080"/>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-3202940</wp:posOffset>
            </wp:positionV>
            <wp:extent cx="28575" cy="3485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5515"/>
                    </a:xfrm>
                    <a:prstGeom prst="rect">
                      <a:avLst/>
                    </a:prstGeom>
                    <a:noFill/>
                  </pic:spPr>
                </pic:pic>
              </a:graphicData>
            </a:graphic>
          </wp:anchor>
        </w:drawing>
      </w:r>
    </w:p>
    <w:p>
      <w:pPr>
        <w:sectPr>
          <w:pgSz w:w="11900" w:h="16838" w:orient="portrait"/>
          <w:cols w:equalWidth="0" w:num="1">
            <w:col w:w="11080"/>
          </w:cols>
          <w:pgMar w:left="460" w:top="220" w:right="359" w:bottom="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10523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1052385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1"/>
                <w:szCs w:val="11"/>
                <w:color w:val="auto"/>
              </w:rPr>
            </w:pP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0" w:type="dxa"/>
            <w:vAlign w:val="bottom"/>
          </w:tcPr>
          <w:p>
            <w:pPr>
              <w:spacing w:after="0"/>
              <w:rPr>
                <w:sz w:val="11"/>
                <w:szCs w:val="11"/>
                <w:color w:val="auto"/>
              </w:rPr>
            </w:pP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80" w:type="dxa"/>
            <w:vAlign w:val="bottom"/>
          </w:tcPr>
          <w:p>
            <w:pPr>
              <w:spacing w:after="0"/>
              <w:rPr>
                <w:sz w:val="11"/>
                <w:szCs w:val="11"/>
                <w:color w:val="auto"/>
              </w:rPr>
            </w:pP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152,818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(9)</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00" w:type="dxa"/>
            <w:vAlign w:val="bottom"/>
          </w:tcPr>
          <w:p>
            <w:pPr>
              <w:ind w:left="220"/>
              <w:spacing w:after="0"/>
              <w:rPr>
                <w:sz w:val="20"/>
                <w:szCs w:val="20"/>
                <w:color w:val="auto"/>
              </w:rPr>
            </w:pPr>
            <w:r>
              <w:rPr>
                <w:rFonts w:ascii="Arial" w:cs="Arial" w:eastAsia="Arial" w:hAnsi="Arial"/>
                <w:sz w:val="11"/>
                <w:szCs w:val="11"/>
                <w:color w:val="008000"/>
              </w:rPr>
              <w:t>(2)(3)</w:t>
            </w:r>
          </w:p>
        </w:tc>
        <w:tc>
          <w:tcPr>
            <w:tcW w:w="1100" w:type="dxa"/>
            <w:vAlign w:val="bottom"/>
            <w:gridSpan w:val="6"/>
          </w:tcPr>
          <w:p>
            <w:pPr>
              <w:ind w:left="260"/>
              <w:spacing w:after="0" w:line="143" w:lineRule="exact"/>
              <w:rPr>
                <w:sz w:val="20"/>
                <w:szCs w:val="20"/>
                <w:color w:val="auto"/>
              </w:rPr>
            </w:pPr>
            <w:r>
              <w:rPr>
                <w:rFonts w:ascii="Arial" w:cs="Arial" w:eastAsia="Arial" w:hAnsi="Arial"/>
                <w:sz w:val="13"/>
                <w:szCs w:val="13"/>
                <w:color w:val="0000FF"/>
              </w:rPr>
              <w:t>11/18/2021</w:t>
            </w:r>
          </w:p>
        </w:tc>
        <w:tc>
          <w:tcPr>
            <w:tcW w:w="1060" w:type="dxa"/>
            <w:vAlign w:val="bottom"/>
          </w:tcPr>
          <w:p>
            <w:pPr>
              <w:spacing w:after="0"/>
              <w:rPr>
                <w:sz w:val="12"/>
                <w:szCs w:val="12"/>
                <w:color w:val="auto"/>
              </w:rPr>
            </w:pPr>
          </w:p>
        </w:tc>
        <w:tc>
          <w:tcPr>
            <w:tcW w:w="76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60" w:type="dxa"/>
            <w:vAlign w:val="bottom"/>
          </w:tcPr>
          <w:p>
            <w:pPr>
              <w:ind w:left="420"/>
              <w:spacing w:after="0" w:line="143" w:lineRule="exact"/>
              <w:rPr>
                <w:sz w:val="20"/>
                <w:szCs w:val="20"/>
                <w:color w:val="auto"/>
              </w:rPr>
            </w:pPr>
            <w:r>
              <w:rPr>
                <w:rFonts w:ascii="Arial" w:cs="Arial" w:eastAsia="Arial" w:hAnsi="Arial"/>
                <w:sz w:val="13"/>
                <w:szCs w:val="13"/>
                <w:color w:val="0000FF"/>
              </w:rPr>
              <w:t>54,358</w:t>
            </w:r>
          </w:p>
        </w:tc>
        <w:tc>
          <w:tcPr>
            <w:tcW w:w="780" w:type="dxa"/>
            <w:vAlign w:val="bottom"/>
          </w:tcPr>
          <w:p>
            <w:pPr>
              <w:ind w:left="28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920" w:type="dxa"/>
            <w:vAlign w:val="bottom"/>
          </w:tcPr>
          <w:p>
            <w:pPr>
              <w:ind w:left="220"/>
              <w:spacing w:after="0" w:line="143" w:lineRule="exact"/>
              <w:rPr>
                <w:sz w:val="20"/>
                <w:szCs w:val="20"/>
                <w:color w:val="auto"/>
              </w:rPr>
            </w:pPr>
            <w:r>
              <w:rPr>
                <w:rFonts w:ascii="Arial" w:cs="Arial" w:eastAsia="Arial" w:hAnsi="Arial"/>
                <w:sz w:val="13"/>
                <w:szCs w:val="13"/>
                <w:color w:val="0000FF"/>
              </w:rPr>
              <w:t>1,372,489</w:t>
            </w: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152,818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(10)</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00" w:type="dxa"/>
            <w:vAlign w:val="bottom"/>
          </w:tcPr>
          <w:p>
            <w:pPr>
              <w:ind w:left="220"/>
              <w:spacing w:after="0"/>
              <w:rPr>
                <w:sz w:val="20"/>
                <w:szCs w:val="20"/>
                <w:color w:val="auto"/>
              </w:rPr>
            </w:pPr>
            <w:r>
              <w:rPr>
                <w:rFonts w:ascii="Arial" w:cs="Arial" w:eastAsia="Arial" w:hAnsi="Arial"/>
                <w:sz w:val="11"/>
                <w:szCs w:val="11"/>
                <w:color w:val="008000"/>
              </w:rPr>
              <w:t>(2)(3)</w:t>
            </w:r>
          </w:p>
        </w:tc>
        <w:tc>
          <w:tcPr>
            <w:tcW w:w="1100" w:type="dxa"/>
            <w:vAlign w:val="bottom"/>
            <w:gridSpan w:val="6"/>
          </w:tcPr>
          <w:p>
            <w:pPr>
              <w:ind w:left="260"/>
              <w:spacing w:after="0" w:line="143" w:lineRule="exact"/>
              <w:rPr>
                <w:sz w:val="20"/>
                <w:szCs w:val="20"/>
                <w:color w:val="auto"/>
              </w:rPr>
            </w:pPr>
            <w:r>
              <w:rPr>
                <w:rFonts w:ascii="Arial" w:cs="Arial" w:eastAsia="Arial" w:hAnsi="Arial"/>
                <w:sz w:val="13"/>
                <w:szCs w:val="13"/>
                <w:color w:val="0000FF"/>
              </w:rPr>
              <w:t>11/18/2021</w:t>
            </w:r>
          </w:p>
        </w:tc>
        <w:tc>
          <w:tcPr>
            <w:tcW w:w="1060" w:type="dxa"/>
            <w:vAlign w:val="bottom"/>
          </w:tcPr>
          <w:p>
            <w:pPr>
              <w:spacing w:after="0"/>
              <w:rPr>
                <w:sz w:val="12"/>
                <w:szCs w:val="12"/>
                <w:color w:val="auto"/>
              </w:rPr>
            </w:pPr>
          </w:p>
        </w:tc>
        <w:tc>
          <w:tcPr>
            <w:tcW w:w="76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60" w:type="dxa"/>
            <w:vAlign w:val="bottom"/>
          </w:tcPr>
          <w:p>
            <w:pPr>
              <w:ind w:left="420"/>
              <w:spacing w:after="0" w:line="143" w:lineRule="exact"/>
              <w:rPr>
                <w:sz w:val="20"/>
                <w:szCs w:val="20"/>
                <w:color w:val="auto"/>
              </w:rPr>
            </w:pPr>
            <w:r>
              <w:rPr>
                <w:rFonts w:ascii="Arial" w:cs="Arial" w:eastAsia="Arial" w:hAnsi="Arial"/>
                <w:sz w:val="13"/>
                <w:szCs w:val="13"/>
                <w:color w:val="0000FF"/>
              </w:rPr>
              <w:t>54,358</w:t>
            </w:r>
          </w:p>
        </w:tc>
        <w:tc>
          <w:tcPr>
            <w:tcW w:w="780" w:type="dxa"/>
            <w:vAlign w:val="bottom"/>
          </w:tcPr>
          <w:p>
            <w:pPr>
              <w:ind w:left="28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920" w:type="dxa"/>
            <w:vAlign w:val="bottom"/>
          </w:tcPr>
          <w:p>
            <w:pPr>
              <w:ind w:left="220"/>
              <w:spacing w:after="0" w:line="143" w:lineRule="exact"/>
              <w:rPr>
                <w:sz w:val="20"/>
                <w:szCs w:val="20"/>
                <w:color w:val="auto"/>
              </w:rPr>
            </w:pPr>
            <w:r>
              <w:rPr>
                <w:rFonts w:ascii="Arial" w:cs="Arial" w:eastAsia="Arial" w:hAnsi="Arial"/>
                <w:sz w:val="13"/>
                <w:szCs w:val="13"/>
                <w:color w:val="0000FF"/>
              </w:rPr>
              <w:t>1,372,489</w:t>
            </w: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112,603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00" w:type="dxa"/>
            <w:vAlign w:val="bottom"/>
          </w:tcPr>
          <w:p>
            <w:pPr>
              <w:ind w:left="220"/>
              <w:spacing w:after="0"/>
              <w:rPr>
                <w:sz w:val="20"/>
                <w:szCs w:val="20"/>
                <w:color w:val="auto"/>
              </w:rPr>
            </w:pPr>
            <w:r>
              <w:rPr>
                <w:rFonts w:ascii="Arial" w:cs="Arial" w:eastAsia="Arial" w:hAnsi="Arial"/>
                <w:sz w:val="11"/>
                <w:szCs w:val="11"/>
                <w:color w:val="008000"/>
              </w:rPr>
              <w:t>(2)(3)</w:t>
            </w:r>
          </w:p>
        </w:tc>
        <w:tc>
          <w:tcPr>
            <w:tcW w:w="1100" w:type="dxa"/>
            <w:vAlign w:val="bottom"/>
            <w:gridSpan w:val="6"/>
          </w:tcPr>
          <w:p>
            <w:pPr>
              <w:ind w:left="260"/>
              <w:spacing w:after="0" w:line="143" w:lineRule="exact"/>
              <w:rPr>
                <w:sz w:val="20"/>
                <w:szCs w:val="20"/>
                <w:color w:val="auto"/>
              </w:rPr>
            </w:pPr>
            <w:r>
              <w:rPr>
                <w:rFonts w:ascii="Arial" w:cs="Arial" w:eastAsia="Arial" w:hAnsi="Arial"/>
                <w:sz w:val="13"/>
                <w:szCs w:val="13"/>
                <w:color w:val="0000FF"/>
              </w:rPr>
              <w:t>11/18/2021</w:t>
            </w:r>
          </w:p>
        </w:tc>
        <w:tc>
          <w:tcPr>
            <w:tcW w:w="1060" w:type="dxa"/>
            <w:vAlign w:val="bottom"/>
          </w:tcPr>
          <w:p>
            <w:pPr>
              <w:spacing w:after="0"/>
              <w:rPr>
                <w:sz w:val="12"/>
                <w:szCs w:val="12"/>
                <w:color w:val="auto"/>
              </w:rPr>
            </w:pPr>
          </w:p>
        </w:tc>
        <w:tc>
          <w:tcPr>
            <w:tcW w:w="76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60" w:type="dxa"/>
            <w:vAlign w:val="bottom"/>
          </w:tcPr>
          <w:p>
            <w:pPr>
              <w:ind w:left="420"/>
              <w:spacing w:after="0" w:line="143" w:lineRule="exact"/>
              <w:rPr>
                <w:sz w:val="20"/>
                <w:szCs w:val="20"/>
                <w:color w:val="auto"/>
              </w:rPr>
            </w:pPr>
            <w:r>
              <w:rPr>
                <w:rFonts w:ascii="Arial" w:cs="Arial" w:eastAsia="Arial" w:hAnsi="Arial"/>
                <w:sz w:val="13"/>
                <w:szCs w:val="13"/>
                <w:color w:val="0000FF"/>
              </w:rPr>
              <w:t>40,053</w:t>
            </w:r>
          </w:p>
        </w:tc>
        <w:tc>
          <w:tcPr>
            <w:tcW w:w="780" w:type="dxa"/>
            <w:vAlign w:val="bottom"/>
          </w:tcPr>
          <w:p>
            <w:pPr>
              <w:ind w:left="28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920" w:type="dxa"/>
            <w:vAlign w:val="bottom"/>
          </w:tcPr>
          <w:p>
            <w:pPr>
              <w:ind w:left="220"/>
              <w:spacing w:after="0" w:line="143" w:lineRule="exact"/>
              <w:rPr>
                <w:sz w:val="20"/>
                <w:szCs w:val="20"/>
                <w:color w:val="auto"/>
              </w:rPr>
            </w:pPr>
            <w:r>
              <w:rPr>
                <w:rFonts w:ascii="Arial" w:cs="Arial" w:eastAsia="Arial" w:hAnsi="Arial"/>
                <w:sz w:val="13"/>
                <w:szCs w:val="13"/>
                <w:color w:val="0000FF"/>
              </w:rPr>
              <w:t>1,011,307</w:t>
            </w: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10"/>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Blatherwick Nell M.</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6">
              <w:r>
                <w:rPr>
                  <w:rFonts w:ascii="Arial" w:cs="Arial" w:eastAsia="Arial" w:hAnsi="Arial"/>
                  <w:sz w:val="20"/>
                  <w:szCs w:val="20"/>
                  <w:color w:val="0000EE"/>
                </w:rPr>
                <w:t>McCoy David M.</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7">
              <w:r>
                <w:rPr>
                  <w:rFonts w:ascii="Arial" w:cs="Arial" w:eastAsia="Arial" w:hAnsi="Arial"/>
                  <w:sz w:val="20"/>
                  <w:szCs w:val="20"/>
                  <w:color w:val="0000EE"/>
                </w:rPr>
                <w:t>Abell Alexander I.</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8">
              <w:r>
                <w:rPr>
                  <w:rFonts w:ascii="Arial" w:cs="Arial" w:eastAsia="Arial" w:hAnsi="Arial"/>
                  <w:sz w:val="20"/>
                  <w:szCs w:val="20"/>
                  <w:color w:val="0000EE"/>
                </w:rPr>
                <w:t>Feinglass Michael</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9">
              <w:r>
                <w:rPr>
                  <w:rFonts w:ascii="Arial" w:cs="Arial" w:eastAsia="Arial" w:hAnsi="Arial"/>
                  <w:sz w:val="20"/>
                  <w:szCs w:val="20"/>
                  <w:color w:val="0000EE"/>
                </w:rPr>
                <w:t>Nelson Andrew Rowan</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ectPr>
          <w:pgSz w:w="11900" w:h="16838" w:orient="portrait"/>
          <w:cols w:equalWidth="0" w:num="1">
            <w:col w:w="11080"/>
          </w:cols>
          <w:pgMar w:left="460" w:top="186" w:right="359" w:bottom="0" w:gutter="0" w:footer="0" w:header="0"/>
        </w:sect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186" w:right="359"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209"/>
        </w:trPr>
        <w:tc>
          <w:tcPr>
            <w:tcW w:w="10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260" w:type="dxa"/>
            <w:vAlign w:val="bottom"/>
          </w:tcPr>
          <w:p>
            <w:pPr>
              <w:ind w:left="380"/>
              <w:spacing w:after="0"/>
              <w:rPr>
                <w:sz w:val="20"/>
                <w:szCs w:val="20"/>
                <w:color w:val="auto"/>
              </w:rPr>
            </w:pPr>
            <w:r>
              <w:rPr>
                <w:rFonts w:ascii="Arial" w:cs="Arial" w:eastAsia="Arial" w:hAnsi="Arial"/>
                <w:sz w:val="16"/>
                <w:szCs w:val="16"/>
                <w:color w:val="0000FF"/>
              </w:rPr>
              <w:t>TX</w:t>
            </w:r>
          </w:p>
        </w:tc>
        <w:tc>
          <w:tcPr>
            <w:tcW w:w="1900" w:type="dxa"/>
            <w:vAlign w:val="bottom"/>
          </w:tcPr>
          <w:p>
            <w:pPr>
              <w:ind w:left="520"/>
              <w:spacing w:after="0"/>
              <w:rPr>
                <w:sz w:val="20"/>
                <w:szCs w:val="20"/>
                <w:color w:val="auto"/>
              </w:rPr>
            </w:pPr>
            <w:r>
              <w:rPr>
                <w:rFonts w:ascii="Arial" w:cs="Arial" w:eastAsia="Arial" w:hAnsi="Arial"/>
                <w:sz w:val="16"/>
                <w:szCs w:val="16"/>
                <w:color w:val="0000FF"/>
              </w:rPr>
              <w:t>75205</w:t>
            </w:r>
          </w:p>
        </w:tc>
      </w:tr>
      <w:tr>
        <w:trPr>
          <w:trHeight w:val="148"/>
        </w:trPr>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-418465</wp:posOffset>
            </wp:positionV>
            <wp:extent cx="2813685" cy="2341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13685" cy="234124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8" w:lineRule="auto"/>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Thomas P. Danis, Jr. Revocable Living Trust dated</w:t>
        </w:r>
      </w:hyperlink>
    </w:p>
    <w:p>
      <w:pPr>
        <w:ind w:left="8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March 10, 2003</w:t>
        </w:r>
      </w:hyperlink>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C/O P10, INC.</w:t>
            </w: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54"/>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DALLAS</w:t>
            </w:r>
          </w:p>
        </w:tc>
        <w:tc>
          <w:tcPr>
            <w:tcW w:w="1420" w:type="dxa"/>
            <w:vAlign w:val="bottom"/>
          </w:tcPr>
          <w:p>
            <w:pPr>
              <w:ind w:left="220"/>
              <w:spacing w:after="0"/>
              <w:rPr>
                <w:sz w:val="20"/>
                <w:szCs w:val="20"/>
                <w:color w:val="auto"/>
              </w:rPr>
            </w:pPr>
            <w:r>
              <w:rPr>
                <w:rFonts w:ascii="Arial" w:cs="Arial" w:eastAsia="Arial" w:hAnsi="Arial"/>
                <w:sz w:val="16"/>
                <w:szCs w:val="16"/>
                <w:color w:val="0000FF"/>
              </w:rPr>
              <w:t>TX</w:t>
            </w:r>
          </w:p>
        </w:tc>
        <w:tc>
          <w:tcPr>
            <w:tcW w:w="1580" w:type="dxa"/>
            <w:vAlign w:val="bottom"/>
          </w:tcPr>
          <w:p>
            <w:pPr>
              <w:ind w:left="200"/>
              <w:spacing w:after="0"/>
              <w:rPr>
                <w:sz w:val="20"/>
                <w:szCs w:val="20"/>
                <w:color w:val="auto"/>
              </w:rPr>
            </w:pPr>
            <w:r>
              <w:rPr>
                <w:rFonts w:ascii="Arial" w:cs="Arial" w:eastAsia="Arial" w:hAnsi="Arial"/>
                <w:sz w:val="16"/>
                <w:szCs w:val="16"/>
                <w:color w:val="0000FF"/>
              </w:rPr>
              <w:t>75205</w:t>
            </w:r>
          </w:p>
        </w:tc>
      </w:tr>
      <w:tr>
        <w:trPr>
          <w:trHeight w:val="148"/>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right="40"/>
        <w:spacing w:after="0" w:line="230"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being filed by (i) Nell M. Blatherwick, (ii) the Thomas P. Danis, Jr. Revocable Living Trust (the "Danis Trust"), (iii) Thomas P. Danis, as trustee of the Danis Trust, (iv) the Charles K. Huebner Trust (the "Huebner Trust"), (v) Charles K. Huebner, as trustee of the Huebner Trust, (vi) the Jon I. Madorsky Revocable Trust (the "Madorsky Trust"), (vii) Jon I. Madorsky, as trustee of the Madorsky Trust, (viii) David McCoy, (ix) Alexander Abell, (x) Michael Feinglass and (xi) Andrew Nelson (collectively, the "Reporting Persons"). The Reporting Persons are members of a Section 13(d) group that collectively beneficially owns more than 10% of the Issuer's Common Stock. The securities reported herein do not include securities held by any group member other than the Reporting Persons, as such securities are being reported in separate Form 4 filings.</w:t>
      </w:r>
    </w:p>
    <w:p>
      <w:pPr>
        <w:spacing w:after="0" w:line="32" w:lineRule="exact"/>
        <w:rPr>
          <w:rFonts w:ascii="Arial" w:cs="Arial" w:eastAsia="Arial" w:hAnsi="Arial"/>
          <w:sz w:val="13"/>
          <w:szCs w:val="13"/>
          <w:color w:val="008000"/>
        </w:rPr>
      </w:pPr>
    </w:p>
    <w:p>
      <w:pPr>
        <w:ind w:right="140"/>
        <w:spacing w:after="0" w:line="242"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8" w:lineRule="exact"/>
        <w:rPr>
          <w:rFonts w:ascii="Arial" w:cs="Arial" w:eastAsia="Arial" w:hAnsi="Arial"/>
          <w:sz w:val="13"/>
          <w:szCs w:val="13"/>
          <w:color w:val="008000"/>
        </w:rPr>
      </w:pPr>
    </w:p>
    <w:p>
      <w:pPr>
        <w:spacing w:after="0" w:line="230"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18, 2021, each Reporting Person directed the sale of shares of Class B Common Stock, as reported herein, resulting in the automatic conversion of the shares into Class A Common Stock upon execution of the sale.</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Ms. Blatherwick.</w:t>
      </w:r>
    </w:p>
    <w:p>
      <w:pPr>
        <w:spacing w:after="0" w:line="40" w:lineRule="exact"/>
        <w:rPr>
          <w:rFonts w:ascii="Arial" w:cs="Arial" w:eastAsia="Arial" w:hAnsi="Arial"/>
          <w:sz w:val="13"/>
          <w:szCs w:val="13"/>
          <w:color w:val="008000"/>
        </w:rPr>
      </w:pPr>
    </w:p>
    <w:p>
      <w:pPr>
        <w:spacing w:after="0" w:line="282"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securities of the Issuer beneficially owned by the Danis Trust and includes securities owned directly by Prism 2 LLC, of which Mr. Danis and his wife are co-managers and of which the Danis Trust is a member. Mr. Danis, as trustee of the Danis Trust, may be deemed to beneficially own the shares of Class B Common Stock beneficially owned by the Danis Trust.</w:t>
      </w:r>
    </w:p>
    <w:p>
      <w:pPr>
        <w:spacing w:after="0" w:line="5" w:lineRule="exact"/>
        <w:rPr>
          <w:rFonts w:ascii="Arial" w:cs="Arial" w:eastAsia="Arial" w:hAnsi="Arial"/>
          <w:sz w:val="12"/>
          <w:szCs w:val="12"/>
          <w:color w:val="008000"/>
        </w:rPr>
      </w:pPr>
    </w:p>
    <w:p>
      <w:pPr>
        <w:ind w:right="360"/>
        <w:spacing w:after="0" w:line="242"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Huebner Trust. Mr. Huebner, as trustee of the Huebner Trust, may be deemed to beneficially own the securities of the Issuer owned directly by Mr. Huebner.</w:t>
      </w:r>
    </w:p>
    <w:p>
      <w:pPr>
        <w:spacing w:after="0" w:line="28" w:lineRule="exact"/>
        <w:rPr>
          <w:rFonts w:ascii="Arial" w:cs="Arial" w:eastAsia="Arial" w:hAnsi="Arial"/>
          <w:sz w:val="13"/>
          <w:szCs w:val="13"/>
          <w:color w:val="008000"/>
        </w:rPr>
      </w:pPr>
    </w:p>
    <w:p>
      <w:pPr>
        <w:ind w:right="180"/>
        <w:spacing w:after="0" w:line="242"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Madorsky Trust. Mr. Madorsky, as the trustee of the Madorsky Trust, may be deemed to beneficially own the shares of Class B Common Stock owned directly by the Madorsky Trust.</w:t>
      </w:r>
    </w:p>
    <w:p>
      <w:pPr>
        <w:spacing w:after="0" w:line="28"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Mr. McCoy.</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Mr. Abell.</w:t>
      </w:r>
    </w:p>
    <w:p>
      <w:pPr>
        <w:spacing w:after="0" w:line="40"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Mr. Feinglass.</w:t>
      </w:r>
    </w:p>
    <w:p>
      <w:pPr>
        <w:spacing w:after="0" w:line="40"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securities of the Issuer owned directly by Mr. Nelson.</w:t>
      </w:r>
    </w:p>
    <w:p>
      <w:pPr>
        <w:spacing w:after="0" w:line="52" w:lineRule="exact"/>
        <w:rPr>
          <w:rFonts w:ascii="Arial" w:cs="Arial" w:eastAsia="Arial" w:hAnsi="Arial"/>
          <w:sz w:val="12"/>
          <w:szCs w:val="12"/>
          <w:color w:val="008000"/>
        </w:rPr>
      </w:pPr>
    </w:p>
    <w:p>
      <w:pPr>
        <w:ind w:right="40"/>
        <w:spacing w:after="0" w:line="242"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of the Issuer reported herein, except to the extent of his, her or its pecuniary interest therein, and the filing of this Form 4 shall not be construed as an admission that the Reporting Persons are beneficial owners of the securities of the Issuer reported herein.</w:t>
      </w:r>
    </w:p>
    <w:p>
      <w:pPr>
        <w:spacing w:after="0" w:line="5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/s/William F. Souder,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11/22/2021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1867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675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770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2" Type="http://schemas.openxmlformats.org/officeDocument/2006/relationships/hyperlink" Target="http://www.sec.gov/cgi-bin/browse-edgar?action=getcompany&amp;CIK=0001888782" TargetMode="External"/><Relationship Id="rId13"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888953" TargetMode="External"/><Relationship Id="rId17" Type="http://schemas.openxmlformats.org/officeDocument/2006/relationships/hyperlink" Target="http://www.sec.gov/cgi-bin/browse-edgar?action=getcompany&amp;CIK=0001888941" TargetMode="External"/><Relationship Id="rId18" Type="http://schemas.openxmlformats.org/officeDocument/2006/relationships/hyperlink" Target="http://www.sec.gov/cgi-bin/browse-edgar?action=getcompany&amp;CIK=0001889108" TargetMode="External"/><Relationship Id="rId19" Type="http://schemas.openxmlformats.org/officeDocument/2006/relationships/hyperlink" Target="http://www.sec.gov/cgi-bin/browse-edgar?action=getcompany&amp;CIK=0001889330" TargetMode="External"/><Relationship Id="rId21" Type="http://schemas.openxmlformats.org/officeDocument/2006/relationships/hyperlink" Target="http://www.sec.gov/cgi-bin/browse-edgar?action=getcompany&amp;CIK=00018896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2021-11-22T18:22:11Z</dcterms:created>
  <dcterms:modified xsi:type="dcterms:W3CDTF">2021-11-22T18:22:11Z</dcterms:modified>
</cp:coreProperties>
</file>