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39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(Rule 13d-102)</w:t>
      </w:r>
    </w:p>
    <w:p>
      <w:pPr>
        <w:spacing w:after="0" w:line="263" w:lineRule="exact"/>
        <w:rPr>
          <w:sz w:val="24"/>
          <w:szCs w:val="24"/>
          <w:color w:val="auto"/>
        </w:rPr>
      </w:pPr>
    </w:p>
    <w:p>
      <w:pPr>
        <w:jc w:val="center"/>
        <w:ind w:left="340" w:right="2000"/>
        <w:spacing w:after="0" w:line="243" w:lineRule="auto"/>
        <w:rPr>
          <w:sz w:val="20"/>
          <w:szCs w:val="20"/>
          <w:color w:val="auto"/>
        </w:rPr>
      </w:pPr>
      <w:r>
        <w:rPr>
          <w:rFonts w:ascii="Arial" w:cs="Arial" w:eastAsia="Arial" w:hAnsi="Arial"/>
          <w:sz w:val="22"/>
          <w:szCs w:val="22"/>
          <w:b w:val="1"/>
          <w:bCs w:val="1"/>
          <w:color w:val="auto"/>
        </w:rPr>
        <w:t>INFORMATION TO BE INCLUDED IN STATEMENTS FILED PURSUANT TO RULES 13d-1(b), (c) and (d) AND AMENDMENTS THERETO FILED PURSUANT TO RULE 13d-2(b)</w:t>
      </w:r>
    </w:p>
    <w:p>
      <w:pPr>
        <w:spacing w:after="0" w:line="10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3)</w:t>
      </w:r>
      <w:r>
        <w:rPr>
          <w:rFonts w:ascii="Arial" w:cs="Arial" w:eastAsia="Arial" w:hAnsi="Arial"/>
          <w:sz w:val="11"/>
          <w:szCs w:val="11"/>
          <w:b w:val="1"/>
          <w:bCs w:val="1"/>
          <w:color w:val="auto"/>
        </w:rPr>
        <w:t>1</w:t>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Active Power,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of Issuer)</w:t>
      </w:r>
    </w:p>
    <w:p>
      <w:pPr>
        <w:spacing w:after="0" w:line="276"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00504W 10 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290"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December 31,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89" w:lineRule="exact"/>
        <w:rPr>
          <w:sz w:val="24"/>
          <w:szCs w:val="24"/>
          <w:color w:val="auto"/>
        </w:rPr>
      </w:pPr>
    </w:p>
    <w:p>
      <w:pPr>
        <w:spacing w:after="0"/>
        <w:rPr>
          <w:sz w:val="20"/>
          <w:szCs w:val="20"/>
          <w:color w:val="auto"/>
        </w:rPr>
      </w:pPr>
      <w:r>
        <w:rPr>
          <w:rFonts w:ascii="Arial" w:cs="Arial" w:eastAsia="Arial" w:hAnsi="Arial"/>
          <w:sz w:val="18"/>
          <w:szCs w:val="18"/>
          <w:color w:val="auto"/>
        </w:rPr>
        <w:t>Check the following box to designate the rule pursuant to which the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hanging="212"/>
        <w:spacing w:after="0" w:line="228" w:lineRule="auto"/>
        <w:tabs>
          <w:tab w:leader="none" w:pos="220"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4"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7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Page 1 of 5 pages</w:t>
      </w:r>
    </w:p>
    <w:p>
      <w:pPr>
        <w:sectPr>
          <w:pgSz w:w="11900" w:h="16838" w:orient="portrait"/>
          <w:cols w:equalWidth="0" w:num="1">
            <w:col w:w="11340"/>
          </w:cols>
          <w:pgMar w:left="240" w:top="516"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00504W100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ind w:left="480" w:hanging="384"/>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15"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38"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p>
      <w:pPr>
        <w:ind w:left="480" w:hanging="384"/>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760" w:hanging="279"/>
        <w:spacing w:after="0" w:line="207" w:lineRule="exact"/>
        <w:tabs>
          <w:tab w:leader="none" w:pos="7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780" w:hanging="299"/>
        <w:spacing w:after="0" w:line="207" w:lineRule="exact"/>
        <w:tabs>
          <w:tab w:leader="none" w:pos="7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38" w:lineRule="exact"/>
        <w:rPr>
          <w:rFonts w:ascii="Arial" w:cs="Arial" w:eastAsia="Arial" w:hAnsi="Arial"/>
          <w:sz w:val="18"/>
          <w:szCs w:val="18"/>
          <w:color w:val="auto"/>
        </w:rPr>
      </w:pPr>
    </w:p>
    <w:p>
      <w:pPr>
        <w:ind w:left="480" w:hanging="384"/>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480" w:hanging="384"/>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p>
      <w:pPr>
        <w:ind w:left="1820"/>
        <w:spacing w:after="0"/>
        <w:tabs>
          <w:tab w:leader="none" w:pos="210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Sole Voting Power</w:t>
      </w:r>
    </w:p>
    <w:p>
      <w:pPr>
        <w:spacing w:after="0" w:line="145" w:lineRule="exact"/>
        <w:rPr>
          <w:sz w:val="20"/>
          <w:szCs w:val="20"/>
          <w:color w:val="auto"/>
        </w:rPr>
      </w:pPr>
    </w:p>
    <w:tbl>
      <w:tblPr>
        <w:tblLayout w:type="fixed"/>
        <w:tblInd w:w="140" w:type="dxa"/>
        <w:tblCellMar>
          <w:top w:w="0" w:type="dxa"/>
          <w:left w:w="0" w:type="dxa"/>
          <w:bottom w:w="0" w:type="dxa"/>
          <w:right w:w="0" w:type="dxa"/>
        </w:tblCellMar>
      </w:tblPr>
      <w:tr>
        <w:trPr>
          <w:trHeight w:val="275"/>
        </w:trPr>
        <w:tc>
          <w:tcPr>
            <w:tcW w:w="1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380" w:type="dxa"/>
            <w:vAlign w:val="bottom"/>
          </w:tcPr>
          <w:p>
            <w:pPr>
              <w:ind w:left="540"/>
              <w:spacing w:after="0"/>
              <w:rPr>
                <w:sz w:val="20"/>
                <w:szCs w:val="20"/>
                <w:color w:val="auto"/>
              </w:rPr>
            </w:pPr>
            <w:r>
              <w:rPr>
                <w:rFonts w:ascii="Arial" w:cs="Arial" w:eastAsia="Arial" w:hAnsi="Arial"/>
                <w:sz w:val="22"/>
                <w:szCs w:val="22"/>
                <w:color w:val="auto"/>
              </w:rPr>
              <w:t>5,075,698</w:t>
            </w:r>
          </w:p>
        </w:tc>
        <w:tc>
          <w:tcPr>
            <w:tcW w:w="0" w:type="dxa"/>
            <w:vAlign w:val="bottom"/>
          </w:tcPr>
          <w:p>
            <w:pPr>
              <w:spacing w:after="0"/>
              <w:rPr>
                <w:sz w:val="1"/>
                <w:szCs w:val="1"/>
                <w:color w:val="auto"/>
              </w:rPr>
            </w:pPr>
          </w:p>
        </w:tc>
      </w:tr>
      <w:tr>
        <w:trPr>
          <w:trHeight w:val="98"/>
        </w:trPr>
        <w:tc>
          <w:tcPr>
            <w:tcW w:w="1580" w:type="dxa"/>
            <w:vAlign w:val="bottom"/>
            <w:vMerge w:val="restart"/>
          </w:tcPr>
          <w:p>
            <w:pPr>
              <w:jc w:val="center"/>
              <w:ind w:right="272"/>
              <w:spacing w:after="0"/>
              <w:rPr>
                <w:sz w:val="20"/>
                <w:szCs w:val="20"/>
                <w:color w:val="auto"/>
              </w:rPr>
            </w:pPr>
            <w:r>
              <w:rPr>
                <w:rFonts w:ascii="Arial" w:cs="Arial" w:eastAsia="Arial" w:hAnsi="Arial"/>
                <w:sz w:val="18"/>
                <w:szCs w:val="18"/>
                <w:color w:val="auto"/>
                <w:w w:val="94"/>
              </w:rPr>
              <w:t>NUMBER OF</w:t>
            </w:r>
          </w:p>
        </w:tc>
        <w:tc>
          <w:tcPr>
            <w:tcW w:w="320" w:type="dxa"/>
            <w:vAlign w:val="bottom"/>
            <w:tcBorders>
              <w:bottom w:val="single" w:sz="8" w:color="auto"/>
            </w:tcBorders>
          </w:tcPr>
          <w:p>
            <w:pPr>
              <w:spacing w:after="0"/>
              <w:rPr>
                <w:sz w:val="8"/>
                <w:szCs w:val="8"/>
                <w:color w:val="auto"/>
              </w:rPr>
            </w:pPr>
          </w:p>
        </w:tc>
        <w:tc>
          <w:tcPr>
            <w:tcW w:w="9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580" w:type="dxa"/>
            <w:vAlign w:val="bottom"/>
            <w:vMerge w:val="continue"/>
          </w:tcPr>
          <w:p>
            <w:pPr>
              <w:spacing w:after="0"/>
              <w:rPr>
                <w:sz w:val="13"/>
                <w:szCs w:val="13"/>
                <w:color w:val="auto"/>
              </w:rPr>
            </w:pPr>
          </w:p>
        </w:tc>
        <w:tc>
          <w:tcPr>
            <w:tcW w:w="320" w:type="dxa"/>
            <w:vAlign w:val="bottom"/>
            <w:vMerge w:val="restart"/>
          </w:tcPr>
          <w:p>
            <w:pPr>
              <w:jc w:val="right"/>
              <w:ind w:right="12"/>
              <w:spacing w:after="0"/>
              <w:rPr>
                <w:sz w:val="20"/>
                <w:szCs w:val="20"/>
                <w:color w:val="auto"/>
              </w:rPr>
            </w:pPr>
            <w:r>
              <w:rPr>
                <w:rFonts w:ascii="Arial" w:cs="Arial" w:eastAsia="Arial" w:hAnsi="Arial"/>
                <w:sz w:val="18"/>
                <w:szCs w:val="18"/>
                <w:color w:val="auto"/>
              </w:rPr>
              <w:t>6.</w:t>
            </w:r>
          </w:p>
        </w:tc>
        <w:tc>
          <w:tcPr>
            <w:tcW w:w="938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55"/>
        </w:trPr>
        <w:tc>
          <w:tcPr>
            <w:tcW w:w="1580" w:type="dxa"/>
            <w:vAlign w:val="bottom"/>
            <w:vMerge w:val="restart"/>
          </w:tcPr>
          <w:p>
            <w:pPr>
              <w:jc w:val="center"/>
              <w:ind w:right="272"/>
              <w:spacing w:after="0"/>
              <w:rPr>
                <w:sz w:val="20"/>
                <w:szCs w:val="20"/>
                <w:color w:val="auto"/>
              </w:rPr>
            </w:pPr>
            <w:r>
              <w:rPr>
                <w:rFonts w:ascii="Arial" w:cs="Arial" w:eastAsia="Arial" w:hAnsi="Arial"/>
                <w:sz w:val="18"/>
                <w:szCs w:val="18"/>
                <w:color w:val="auto"/>
                <w:w w:val="89"/>
              </w:rPr>
              <w:t>SHARES</w:t>
            </w:r>
          </w:p>
        </w:tc>
        <w:tc>
          <w:tcPr>
            <w:tcW w:w="320" w:type="dxa"/>
            <w:vAlign w:val="bottom"/>
            <w:vMerge w:val="continue"/>
          </w:tcPr>
          <w:p>
            <w:pPr>
              <w:spacing w:after="0"/>
              <w:rPr>
                <w:sz w:val="13"/>
                <w:szCs w:val="13"/>
                <w:color w:val="auto"/>
              </w:rPr>
            </w:pPr>
          </w:p>
        </w:tc>
        <w:tc>
          <w:tcPr>
            <w:tcW w:w="9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5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9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80" w:type="dxa"/>
            <w:vAlign w:val="bottom"/>
          </w:tcPr>
          <w:p>
            <w:pPr>
              <w:jc w:val="center"/>
              <w:ind w:right="252"/>
              <w:spacing w:after="0"/>
              <w:rPr>
                <w:sz w:val="20"/>
                <w:szCs w:val="20"/>
                <w:color w:val="auto"/>
              </w:rPr>
            </w:pPr>
            <w:r>
              <w:rPr>
                <w:rFonts w:ascii="Arial" w:cs="Arial" w:eastAsia="Arial" w:hAnsi="Arial"/>
                <w:sz w:val="18"/>
                <w:szCs w:val="18"/>
                <w:color w:val="auto"/>
                <w:w w:val="97"/>
              </w:rPr>
              <w:t>BENEFICIALLY</w:t>
            </w:r>
          </w:p>
        </w:tc>
        <w:tc>
          <w:tcPr>
            <w:tcW w:w="320" w:type="dxa"/>
            <w:vAlign w:val="bottom"/>
          </w:tcPr>
          <w:p>
            <w:pPr>
              <w:spacing w:after="0"/>
              <w:rPr>
                <w:sz w:val="18"/>
                <w:szCs w:val="18"/>
                <w:color w:val="auto"/>
              </w:rPr>
            </w:pPr>
          </w:p>
        </w:tc>
        <w:tc>
          <w:tcPr>
            <w:tcW w:w="9380" w:type="dxa"/>
            <w:vAlign w:val="bottom"/>
            <w:vMerge w:val="restart"/>
          </w:tcPr>
          <w:p>
            <w:pPr>
              <w:ind w:left="540"/>
              <w:spacing w:after="0"/>
              <w:rPr>
                <w:sz w:val="20"/>
                <w:szCs w:val="20"/>
                <w:color w:val="auto"/>
              </w:rPr>
            </w:pPr>
            <w:r>
              <w:rPr>
                <w:rFonts w:ascii="Arial" w:cs="Arial" w:eastAsia="Arial" w:hAnsi="Arial"/>
                <w:sz w:val="22"/>
                <w:szCs w:val="22"/>
                <w:color w:val="auto"/>
              </w:rPr>
              <w:t>465,597</w:t>
            </w:r>
          </w:p>
        </w:tc>
        <w:tc>
          <w:tcPr>
            <w:tcW w:w="0" w:type="dxa"/>
            <w:vAlign w:val="bottom"/>
          </w:tcPr>
          <w:p>
            <w:pPr>
              <w:spacing w:after="0"/>
              <w:rPr>
                <w:sz w:val="1"/>
                <w:szCs w:val="1"/>
                <w:color w:val="auto"/>
              </w:rPr>
            </w:pPr>
          </w:p>
        </w:tc>
      </w:tr>
      <w:tr>
        <w:trPr>
          <w:trHeight w:val="126"/>
        </w:trPr>
        <w:tc>
          <w:tcPr>
            <w:tcW w:w="1580" w:type="dxa"/>
            <w:vAlign w:val="bottom"/>
            <w:vMerge w:val="restart"/>
          </w:tcPr>
          <w:p>
            <w:pPr>
              <w:jc w:val="center"/>
              <w:ind w:right="272"/>
              <w:spacing w:after="0"/>
              <w:rPr>
                <w:sz w:val="20"/>
                <w:szCs w:val="20"/>
                <w:color w:val="auto"/>
              </w:rPr>
            </w:pPr>
            <w:r>
              <w:rPr>
                <w:rFonts w:ascii="Arial" w:cs="Arial" w:eastAsia="Arial" w:hAnsi="Arial"/>
                <w:sz w:val="18"/>
                <w:szCs w:val="18"/>
                <w:color w:val="auto"/>
                <w:w w:val="95"/>
              </w:rPr>
              <w:t>OWNED BY</w:t>
            </w:r>
          </w:p>
        </w:tc>
        <w:tc>
          <w:tcPr>
            <w:tcW w:w="320" w:type="dxa"/>
            <w:vAlign w:val="bottom"/>
          </w:tcPr>
          <w:p>
            <w:pPr>
              <w:spacing w:after="0"/>
              <w:rPr>
                <w:sz w:val="10"/>
                <w:szCs w:val="10"/>
                <w:color w:val="auto"/>
              </w:rPr>
            </w:pPr>
          </w:p>
        </w:tc>
        <w:tc>
          <w:tcPr>
            <w:tcW w:w="9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580" w:type="dxa"/>
            <w:vAlign w:val="bottom"/>
            <w:vMerge w:val="continue"/>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580" w:type="dxa"/>
            <w:vAlign w:val="bottom"/>
          </w:tcPr>
          <w:p>
            <w:pPr>
              <w:jc w:val="center"/>
              <w:ind w:right="272"/>
              <w:spacing w:after="0" w:line="190" w:lineRule="exact"/>
              <w:rPr>
                <w:sz w:val="20"/>
                <w:szCs w:val="20"/>
                <w:color w:val="auto"/>
              </w:rPr>
            </w:pPr>
            <w:r>
              <w:rPr>
                <w:rFonts w:ascii="Arial" w:cs="Arial" w:eastAsia="Arial" w:hAnsi="Arial"/>
                <w:sz w:val="18"/>
                <w:szCs w:val="18"/>
                <w:color w:val="auto"/>
                <w:w w:val="91"/>
              </w:rPr>
              <w:t>EACH</w:t>
            </w:r>
          </w:p>
        </w:tc>
        <w:tc>
          <w:tcPr>
            <w:tcW w:w="320" w:type="dxa"/>
            <w:vAlign w:val="bottom"/>
            <w:vMerge w:val="restart"/>
          </w:tcPr>
          <w:p>
            <w:pPr>
              <w:jc w:val="right"/>
              <w:ind w:right="12"/>
              <w:spacing w:after="0"/>
              <w:rPr>
                <w:sz w:val="20"/>
                <w:szCs w:val="20"/>
                <w:color w:val="auto"/>
              </w:rPr>
            </w:pPr>
            <w:r>
              <w:rPr>
                <w:rFonts w:ascii="Arial" w:cs="Arial" w:eastAsia="Arial" w:hAnsi="Arial"/>
                <w:sz w:val="18"/>
                <w:szCs w:val="18"/>
                <w:color w:val="auto"/>
              </w:rPr>
              <w:t>7.</w:t>
            </w:r>
          </w:p>
        </w:tc>
        <w:tc>
          <w:tcPr>
            <w:tcW w:w="938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8"/>
        </w:trPr>
        <w:tc>
          <w:tcPr>
            <w:tcW w:w="1580" w:type="dxa"/>
            <w:vAlign w:val="bottom"/>
            <w:vMerge w:val="restart"/>
          </w:tcPr>
          <w:p>
            <w:pPr>
              <w:jc w:val="center"/>
              <w:ind w:right="272"/>
              <w:spacing w:after="0"/>
              <w:rPr>
                <w:sz w:val="20"/>
                <w:szCs w:val="20"/>
                <w:color w:val="auto"/>
              </w:rPr>
            </w:pPr>
            <w:r>
              <w:rPr>
                <w:rFonts w:ascii="Arial" w:cs="Arial" w:eastAsia="Arial" w:hAnsi="Arial"/>
                <w:sz w:val="18"/>
                <w:szCs w:val="18"/>
                <w:color w:val="auto"/>
                <w:w w:val="91"/>
              </w:rPr>
              <w:t>REPORTING</w:t>
            </w:r>
          </w:p>
        </w:tc>
        <w:tc>
          <w:tcPr>
            <w:tcW w:w="320" w:type="dxa"/>
            <w:vAlign w:val="bottom"/>
            <w:vMerge w:val="continue"/>
          </w:tcPr>
          <w:p>
            <w:pPr>
              <w:spacing w:after="0"/>
              <w:rPr>
                <w:sz w:val="11"/>
                <w:szCs w:val="11"/>
                <w:color w:val="auto"/>
              </w:rPr>
            </w:pPr>
          </w:p>
        </w:tc>
        <w:tc>
          <w:tcPr>
            <w:tcW w:w="9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5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9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1580" w:type="dxa"/>
            <w:vAlign w:val="bottom"/>
          </w:tcPr>
          <w:p>
            <w:pPr>
              <w:jc w:val="center"/>
              <w:ind w:right="272"/>
              <w:spacing w:after="0"/>
              <w:rPr>
                <w:sz w:val="20"/>
                <w:szCs w:val="20"/>
                <w:color w:val="auto"/>
              </w:rPr>
            </w:pPr>
            <w:r>
              <w:rPr>
                <w:rFonts w:ascii="Arial" w:cs="Arial" w:eastAsia="Arial" w:hAnsi="Arial"/>
                <w:sz w:val="18"/>
                <w:szCs w:val="18"/>
                <w:color w:val="auto"/>
                <w:w w:val="86"/>
              </w:rPr>
              <w:t>PERSON</w:t>
            </w:r>
          </w:p>
        </w:tc>
        <w:tc>
          <w:tcPr>
            <w:tcW w:w="320" w:type="dxa"/>
            <w:vAlign w:val="bottom"/>
          </w:tcPr>
          <w:p>
            <w:pPr>
              <w:spacing w:after="0"/>
              <w:rPr>
                <w:sz w:val="21"/>
                <w:szCs w:val="21"/>
                <w:color w:val="auto"/>
              </w:rPr>
            </w:pPr>
          </w:p>
        </w:tc>
        <w:tc>
          <w:tcPr>
            <w:tcW w:w="9380" w:type="dxa"/>
            <w:vAlign w:val="bottom"/>
          </w:tcPr>
          <w:p>
            <w:pPr>
              <w:ind w:left="540"/>
              <w:spacing w:after="0" w:line="251" w:lineRule="exact"/>
              <w:rPr>
                <w:sz w:val="20"/>
                <w:szCs w:val="20"/>
                <w:color w:val="auto"/>
              </w:rPr>
            </w:pPr>
            <w:r>
              <w:rPr>
                <w:rFonts w:ascii="Arial" w:cs="Arial" w:eastAsia="Arial" w:hAnsi="Arial"/>
                <w:sz w:val="22"/>
                <w:szCs w:val="22"/>
                <w:color w:val="auto"/>
              </w:rPr>
              <w:t>5,075,698</w:t>
            </w:r>
          </w:p>
        </w:tc>
        <w:tc>
          <w:tcPr>
            <w:tcW w:w="0" w:type="dxa"/>
            <w:vAlign w:val="bottom"/>
          </w:tcPr>
          <w:p>
            <w:pPr>
              <w:spacing w:after="0"/>
              <w:rPr>
                <w:sz w:val="1"/>
                <w:szCs w:val="1"/>
                <w:color w:val="auto"/>
              </w:rPr>
            </w:pPr>
          </w:p>
        </w:tc>
      </w:tr>
      <w:tr>
        <w:trPr>
          <w:trHeight w:val="162"/>
        </w:trPr>
        <w:tc>
          <w:tcPr>
            <w:tcW w:w="1580" w:type="dxa"/>
            <w:vAlign w:val="bottom"/>
          </w:tcPr>
          <w:p>
            <w:pPr>
              <w:jc w:val="center"/>
              <w:ind w:right="272"/>
              <w:spacing w:after="0" w:line="162" w:lineRule="exact"/>
              <w:rPr>
                <w:sz w:val="20"/>
                <w:szCs w:val="20"/>
                <w:color w:val="auto"/>
              </w:rPr>
            </w:pPr>
            <w:r>
              <w:rPr>
                <w:rFonts w:ascii="Arial" w:cs="Arial" w:eastAsia="Arial" w:hAnsi="Arial"/>
                <w:sz w:val="18"/>
                <w:szCs w:val="18"/>
                <w:color w:val="auto"/>
                <w:w w:val="99"/>
              </w:rPr>
              <w:t>WITH</w:t>
            </w:r>
          </w:p>
        </w:tc>
        <w:tc>
          <w:tcPr>
            <w:tcW w:w="320" w:type="dxa"/>
            <w:vAlign w:val="bottom"/>
            <w:tcBorders>
              <w:bottom w:val="single" w:sz="8" w:color="auto"/>
            </w:tcBorders>
          </w:tcPr>
          <w:p>
            <w:pPr>
              <w:spacing w:after="0"/>
              <w:rPr>
                <w:sz w:val="14"/>
                <w:szCs w:val="14"/>
                <w:color w:val="auto"/>
              </w:rPr>
            </w:pPr>
          </w:p>
        </w:tc>
        <w:tc>
          <w:tcPr>
            <w:tcW w:w="9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1580" w:type="dxa"/>
            <w:vAlign w:val="bottom"/>
          </w:tcPr>
          <w:p>
            <w:pPr>
              <w:spacing w:after="0"/>
              <w:rPr>
                <w:sz w:val="24"/>
                <w:szCs w:val="24"/>
                <w:color w:val="auto"/>
              </w:rPr>
            </w:pP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938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04"/>
        </w:trPr>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380" w:type="dxa"/>
            <w:vAlign w:val="bottom"/>
          </w:tcPr>
          <w:p>
            <w:pPr>
              <w:ind w:left="540"/>
              <w:spacing w:after="0"/>
              <w:rPr>
                <w:sz w:val="20"/>
                <w:szCs w:val="20"/>
                <w:color w:val="auto"/>
              </w:rPr>
            </w:pPr>
            <w:r>
              <w:rPr>
                <w:rFonts w:ascii="Arial" w:cs="Arial" w:eastAsia="Arial" w:hAnsi="Arial"/>
                <w:sz w:val="22"/>
                <w:szCs w:val="22"/>
                <w:color w:val="auto"/>
              </w:rPr>
              <w:t>465,597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ind w:left="480" w:hanging="384"/>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45"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5,541,295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p>
      <w:pPr>
        <w:ind w:left="480" w:hanging="472"/>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118" w:lineRule="exact"/>
        <w:rPr>
          <w:sz w:val="20"/>
          <w:szCs w:val="20"/>
          <w:color w:val="auto"/>
        </w:rPr>
      </w:pPr>
    </w:p>
    <w:p>
      <w:pPr>
        <w:jc w:val="right"/>
        <w:ind w:right="88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9" w:lineRule="exact"/>
        <w:rPr>
          <w:sz w:val="20"/>
          <w:szCs w:val="20"/>
          <w:color w:val="auto"/>
        </w:rPr>
      </w:pPr>
    </w:p>
    <w:p>
      <w:pPr>
        <w:ind w:left="480" w:hanging="472"/>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145"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p>
      <w:pPr>
        <w:ind w:left="480" w:hanging="472"/>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45"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5 pages</w:t>
      </w:r>
    </w:p>
    <w:p>
      <w:pPr>
        <w:sectPr>
          <w:pgSz w:w="11900" w:h="16838" w:orient="portrait"/>
          <w:cols w:equalWidth="0" w:num="1">
            <w:col w:w="11420"/>
          </w:cols>
          <w:pgMar w:left="240" w:top="280" w:right="239" w:bottom="1440" w:gutter="0" w:footer="0" w:header="0"/>
        </w:sectPr>
      </w:pPr>
    </w:p>
    <w:bookmarkStart w:id="2" w:name="page3"/>
    <w:bookmarkEnd w:id="2"/>
    <w:p>
      <w:pPr>
        <w:spacing w:after="0"/>
        <w:tabs>
          <w:tab w:leader="none" w:pos="780" w:val="left"/>
          <w:tab w:leader="none" w:pos="16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5"/>
          <w:szCs w:val="15"/>
          <w:color w:val="auto"/>
        </w:rPr>
        <w:t>Name of Issuer</w:t>
      </w:r>
    </w:p>
    <w:p>
      <w:pPr>
        <w:spacing w:after="0" w:line="1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Active Power, Inc.</w:t>
      </w:r>
    </w:p>
    <w:p>
      <w:pPr>
        <w:spacing w:after="0" w:line="117" w:lineRule="exact"/>
        <w:rPr>
          <w:sz w:val="20"/>
          <w:szCs w:val="20"/>
          <w:color w:val="auto"/>
        </w:rPr>
      </w:pPr>
    </w:p>
    <w:p>
      <w:pPr>
        <w:ind w:left="1620" w:hanging="815"/>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17" w:lineRule="exact"/>
        <w:rPr>
          <w:rFonts w:ascii="Arial" w:cs="Arial" w:eastAsia="Arial" w:hAnsi="Arial"/>
          <w:sz w:val="18"/>
          <w:szCs w:val="18"/>
          <w:color w:val="auto"/>
        </w:rPr>
      </w:pPr>
    </w:p>
    <w:p>
      <w:pPr>
        <w:ind w:left="1620" w:right="6599"/>
        <w:spacing w:after="0" w:line="268" w:lineRule="auto"/>
        <w:rPr>
          <w:rFonts w:ascii="Arial" w:cs="Arial" w:eastAsia="Arial" w:hAnsi="Arial"/>
          <w:sz w:val="18"/>
          <w:szCs w:val="18"/>
          <w:color w:val="auto"/>
        </w:rPr>
      </w:pPr>
      <w:r>
        <w:rPr>
          <w:rFonts w:ascii="Arial" w:cs="Arial" w:eastAsia="Arial" w:hAnsi="Arial"/>
          <w:sz w:val="18"/>
          <w:szCs w:val="18"/>
          <w:color w:val="auto"/>
        </w:rPr>
        <w:t>2128 W. Braker Lane, BK12 Austin, TX 78758</w:t>
      </w:r>
    </w:p>
    <w:p>
      <w:pPr>
        <w:spacing w:after="0" w:line="85" w:lineRule="exact"/>
        <w:rPr>
          <w:sz w:val="20"/>
          <w:szCs w:val="20"/>
          <w:color w:val="auto"/>
        </w:rPr>
      </w:pPr>
    </w:p>
    <w:p>
      <w:pPr>
        <w:spacing w:after="0"/>
        <w:tabs>
          <w:tab w:leader="none" w:pos="780" w:val="left"/>
          <w:tab w:leader="none" w:pos="16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5"/>
          <w:szCs w:val="15"/>
          <w:color w:val="auto"/>
        </w:rPr>
        <w:t>Name of Person Filing</w:t>
      </w:r>
    </w:p>
    <w:p>
      <w:pPr>
        <w:spacing w:after="0" w:line="1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Joseph F. Pinkerton, III</w:t>
      </w:r>
    </w:p>
    <w:p>
      <w:pPr>
        <w:spacing w:after="0" w:line="117" w:lineRule="exact"/>
        <w:rPr>
          <w:sz w:val="20"/>
          <w:szCs w:val="20"/>
          <w:color w:val="auto"/>
        </w:rPr>
      </w:pPr>
    </w:p>
    <w:p>
      <w:pPr>
        <w:ind w:left="1620" w:hanging="815"/>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Address of Principal Business Offices or, if none, Residence</w:t>
      </w:r>
    </w:p>
    <w:p>
      <w:pPr>
        <w:spacing w:after="0" w:line="76"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c/o Active Power, Inc.</w:t>
      </w:r>
    </w:p>
    <w:p>
      <w:pPr>
        <w:spacing w:after="0" w:line="15" w:lineRule="exact"/>
        <w:rPr>
          <w:rFonts w:ascii="Arial" w:cs="Arial" w:eastAsia="Arial" w:hAnsi="Arial"/>
          <w:sz w:val="18"/>
          <w:szCs w:val="18"/>
          <w:color w:val="auto"/>
        </w:rPr>
      </w:pPr>
    </w:p>
    <w:p>
      <w:pPr>
        <w:ind w:left="1620" w:right="6599"/>
        <w:spacing w:after="0" w:line="261" w:lineRule="auto"/>
        <w:rPr>
          <w:rFonts w:ascii="Arial" w:cs="Arial" w:eastAsia="Arial" w:hAnsi="Arial"/>
          <w:sz w:val="18"/>
          <w:szCs w:val="18"/>
          <w:color w:val="auto"/>
        </w:rPr>
      </w:pPr>
      <w:r>
        <w:rPr>
          <w:rFonts w:ascii="Arial" w:cs="Arial" w:eastAsia="Arial" w:hAnsi="Arial"/>
          <w:sz w:val="18"/>
          <w:szCs w:val="18"/>
          <w:color w:val="auto"/>
        </w:rPr>
        <w:t>2128 W. Braker Lane, BK12 Austin, TX 78758</w:t>
      </w:r>
    </w:p>
    <w:p>
      <w:pPr>
        <w:spacing w:after="0" w:line="97" w:lineRule="exact"/>
        <w:rPr>
          <w:rFonts w:ascii="Arial" w:cs="Arial" w:eastAsia="Arial" w:hAnsi="Arial"/>
          <w:sz w:val="18"/>
          <w:szCs w:val="18"/>
          <w:color w:val="auto"/>
        </w:rPr>
      </w:pPr>
    </w:p>
    <w:p>
      <w:pPr>
        <w:ind w:left="1620" w:hanging="815"/>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117"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USA</w:t>
      </w:r>
    </w:p>
    <w:p>
      <w:pPr>
        <w:spacing w:after="0" w:line="117" w:lineRule="exact"/>
        <w:rPr>
          <w:rFonts w:ascii="Arial" w:cs="Arial" w:eastAsia="Arial" w:hAnsi="Arial"/>
          <w:sz w:val="18"/>
          <w:szCs w:val="18"/>
          <w:color w:val="auto"/>
        </w:rPr>
      </w:pPr>
    </w:p>
    <w:p>
      <w:pPr>
        <w:ind w:left="1620" w:right="6739" w:hanging="815"/>
        <w:spacing w:after="0" w:line="422" w:lineRule="auto"/>
        <w:tabs>
          <w:tab w:leader="none" w:pos="1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 w:lineRule="exact"/>
        <w:rPr>
          <w:rFonts w:ascii="Arial" w:cs="Arial" w:eastAsia="Arial" w:hAnsi="Arial"/>
          <w:sz w:val="16"/>
          <w:szCs w:val="16"/>
          <w:color w:val="auto"/>
        </w:rPr>
      </w:pPr>
    </w:p>
    <w:p>
      <w:pPr>
        <w:ind w:left="1620" w:hanging="815"/>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00504W 10 0</w:t>
      </w:r>
    </w:p>
    <w:p>
      <w:pPr>
        <w:spacing w:after="0" w:line="11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If this statement is filed pursuant to §§240.13d-1(b) or 240.13d-2(b) or (c), check whether the person filing is a:</w:t>
      </w:r>
    </w:p>
    <w:p>
      <w:pPr>
        <w:spacing w:after="0" w:line="12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Not applicable. This statement on Schedule 13G is not being filed pursuant to Rule 13d-1(b), 13d-2(b) or 13d-2(c).</w:t>
      </w:r>
    </w:p>
    <w:p>
      <w:pPr>
        <w:spacing w:after="0" w:line="108" w:lineRule="exact"/>
        <w:rPr>
          <w:sz w:val="20"/>
          <w:szCs w:val="20"/>
          <w:color w:val="auto"/>
        </w:rPr>
      </w:pPr>
    </w:p>
    <w:p>
      <w:pPr>
        <w:ind w:left="1620" w:hanging="815"/>
        <w:spacing w:after="0" w:line="207" w:lineRule="exact"/>
        <w:tabs>
          <w:tab w:leader="none" w:pos="16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620" w:hanging="815"/>
        <w:spacing w:after="0" w:line="207" w:lineRule="exact"/>
        <w:tabs>
          <w:tab w:leader="none" w:pos="16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620" w:hanging="815"/>
        <w:spacing w:after="0" w:line="207" w:lineRule="exact"/>
        <w:tabs>
          <w:tab w:leader="none" w:pos="16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620" w:hanging="815"/>
        <w:spacing w:after="0" w:line="184" w:lineRule="exact"/>
        <w:tabs>
          <w:tab w:leader="none" w:pos="1620" w:val="left"/>
        </w:tabs>
        <w:numPr>
          <w:ilvl w:val="0"/>
          <w:numId w:val="12"/>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Investment company registered under section 8 of the Investment Company Act of 1940 (15 U.S.C 80a-8).</w:t>
      </w:r>
    </w:p>
    <w:p>
      <w:pPr>
        <w:spacing w:after="0" w:line="140" w:lineRule="exact"/>
        <w:rPr>
          <w:rFonts w:ascii="Arial" w:cs="Arial" w:eastAsia="Arial" w:hAnsi="Arial"/>
          <w:sz w:val="16"/>
          <w:szCs w:val="16"/>
          <w:color w:val="auto"/>
        </w:rPr>
      </w:pPr>
    </w:p>
    <w:p>
      <w:pPr>
        <w:ind w:left="1620" w:hanging="815"/>
        <w:spacing w:after="0" w:line="207" w:lineRule="exact"/>
        <w:tabs>
          <w:tab w:leader="none" w:pos="16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1620" w:hanging="815"/>
        <w:spacing w:after="0" w:line="207" w:lineRule="exact"/>
        <w:tabs>
          <w:tab w:leader="none" w:pos="16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620" w:hanging="815"/>
        <w:spacing w:after="0" w:line="207" w:lineRule="exact"/>
        <w:tabs>
          <w:tab w:leader="none" w:pos="16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117" w:lineRule="exact"/>
        <w:rPr>
          <w:rFonts w:ascii="Arial" w:cs="Arial" w:eastAsia="Arial" w:hAnsi="Arial"/>
          <w:sz w:val="18"/>
          <w:szCs w:val="18"/>
          <w:color w:val="auto"/>
        </w:rPr>
      </w:pPr>
    </w:p>
    <w:p>
      <w:pPr>
        <w:ind w:left="1620" w:hanging="815"/>
        <w:spacing w:after="0" w:line="184" w:lineRule="exact"/>
        <w:tabs>
          <w:tab w:leader="none" w:pos="1620" w:val="left"/>
        </w:tabs>
        <w:numPr>
          <w:ilvl w:val="0"/>
          <w:numId w:val="12"/>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 savings associations as defined in Section 3(b) of the Federal Deposit Insurance Act (12 U.S.C. 1813);</w:t>
      </w:r>
    </w:p>
    <w:p>
      <w:pPr>
        <w:spacing w:after="0" w:line="140" w:lineRule="exact"/>
        <w:rPr>
          <w:rFonts w:ascii="Arial" w:cs="Arial" w:eastAsia="Arial" w:hAnsi="Arial"/>
          <w:sz w:val="16"/>
          <w:szCs w:val="16"/>
          <w:color w:val="auto"/>
        </w:rPr>
      </w:pPr>
    </w:p>
    <w:p>
      <w:pPr>
        <w:ind w:left="2020" w:right="739" w:hanging="1215"/>
        <w:spacing w:after="0" w:line="236" w:lineRule="exact"/>
        <w:tabs>
          <w:tab w:leader="none" w:pos="1615"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620" w:hanging="815"/>
        <w:spacing w:after="0" w:line="207" w:lineRule="exact"/>
        <w:tabs>
          <w:tab w:leader="none" w:pos="16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190"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Page 3 of 5 pages</w:t>
      </w:r>
    </w:p>
    <w:p>
      <w:pPr>
        <w:sectPr>
          <w:pgSz w:w="11900" w:h="16838" w:orient="portrait"/>
          <w:cols w:equalWidth="0" w:num="1">
            <w:col w:w="10219"/>
          </w:cols>
          <w:pgMar w:left="240" w:top="274" w:right="1440" w:bottom="1440" w:gutter="0" w:footer="0" w:header="0"/>
        </w:sectPr>
      </w:pPr>
    </w:p>
    <w:bookmarkStart w:id="3" w:name="page4"/>
    <w:bookmarkEnd w:id="3"/>
    <w:p>
      <w:pPr>
        <w:spacing w:after="0"/>
        <w:tabs>
          <w:tab w:leader="none" w:pos="8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color w:val="auto"/>
        </w:rPr>
        <w:t>Ownership</w:t>
      </w:r>
    </w:p>
    <w:p>
      <w:pPr>
        <w:spacing w:after="0" w:line="83" w:lineRule="exact"/>
        <w:rPr>
          <w:sz w:val="20"/>
          <w:szCs w:val="20"/>
          <w:color w:val="auto"/>
        </w:rPr>
      </w:pPr>
    </w:p>
    <w:p>
      <w:pPr>
        <w:ind w:left="820" w:right="1620" w:firstLine="432"/>
        <w:spacing w:after="0" w:line="268" w:lineRule="auto"/>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91" w:lineRule="exact"/>
        <w:rPr>
          <w:sz w:val="20"/>
          <w:szCs w:val="20"/>
          <w:color w:val="auto"/>
        </w:rPr>
      </w:pPr>
    </w:p>
    <w:p>
      <w:pPr>
        <w:ind w:left="1240" w:hanging="422"/>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117" w:lineRule="exact"/>
        <w:rPr>
          <w:rFonts w:ascii="Arial" w:cs="Arial" w:eastAsia="Arial" w:hAnsi="Arial"/>
          <w:sz w:val="18"/>
          <w:szCs w:val="18"/>
          <w:color w:val="auto"/>
        </w:rPr>
      </w:pPr>
    </w:p>
    <w:p>
      <w:pPr>
        <w:ind w:left="1240" w:right="1620"/>
        <w:spacing w:after="0" w:line="286" w:lineRule="auto"/>
        <w:rPr>
          <w:rFonts w:ascii="Arial" w:cs="Arial" w:eastAsia="Arial" w:hAnsi="Arial"/>
          <w:sz w:val="18"/>
          <w:szCs w:val="18"/>
          <w:color w:val="auto"/>
        </w:rPr>
      </w:pPr>
      <w:r>
        <w:rPr>
          <w:rFonts w:ascii="Arial" w:cs="Arial" w:eastAsia="Arial" w:hAnsi="Arial"/>
          <w:sz w:val="16"/>
          <w:szCs w:val="16"/>
          <w:color w:val="auto"/>
        </w:rPr>
        <w:t>As of December 31, 2003, Joseph F. Pinkerton, III is the record owner of 4,262,101 shares of Common Stock and is deemed to beneficially own an additional 348,000 shares of Common Stock which he may acquire through the exercise of stock options. He may also be deemed to beneficially own an additional 931,194 shares of Common Stock, of which 215,597 shares are held of record by a Grantor Retained Annuity Trust for the benefit of Mr. Pinkerton’s minor children and an additional 250,000 shares are held of record by a Grantor Retained Annuity Trust for the benefit of Mr. Pinkerton’s minor children, and for which Mr. Pinkerton is the trustee for both trusts, and 215,597 shares are held of record by a Grantor Retained Annuity Trust for the benefit of Mr. Pinkerton’s minor children and an additional 250,000 shares are held of record by a Grantor Retained Annuity Trust for the benefit of Mr. Pinkerton’s minor children, and for which Mr. Pinkerton’s wife is the trustee for both trusts. Mr. Pinkerton has the power to vote and dispose of the shares held by the trusts for which he is the trustee and has shared power to vote and dispose of the shares held by the trusts for which his spouse is the trustee. Therefore, Mr. Pinkerton may be deemed to beneficially own an aggregate of 5,541,295 shares of Common Stock as of December 31, 2003.</w:t>
      </w:r>
    </w:p>
    <w:p>
      <w:pPr>
        <w:spacing w:after="0" w:line="70" w:lineRule="exact"/>
        <w:rPr>
          <w:rFonts w:ascii="Arial" w:cs="Arial" w:eastAsia="Arial" w:hAnsi="Arial"/>
          <w:sz w:val="18"/>
          <w:szCs w:val="18"/>
          <w:color w:val="auto"/>
        </w:rPr>
      </w:pPr>
    </w:p>
    <w:p>
      <w:pPr>
        <w:ind w:left="1240" w:hanging="422"/>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Percent of class: </w:t>
      </w:r>
      <w:r>
        <w:rPr>
          <w:rFonts w:ascii="Arial" w:cs="Arial" w:eastAsia="Arial" w:hAnsi="Arial"/>
          <w:sz w:val="18"/>
          <w:szCs w:val="18"/>
          <w:u w:val="single" w:color="auto"/>
          <w:color w:val="auto"/>
        </w:rPr>
        <w:t>13.1%</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40" w:hanging="422"/>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17" w:lineRule="exact"/>
        <w:rPr>
          <w:rFonts w:ascii="Arial" w:cs="Arial" w:eastAsia="Arial" w:hAnsi="Arial"/>
          <w:sz w:val="18"/>
          <w:szCs w:val="18"/>
          <w:color w:val="auto"/>
        </w:rPr>
      </w:pPr>
    </w:p>
    <w:p>
      <w:pPr>
        <w:ind w:left="1700" w:hanging="463"/>
        <w:spacing w:after="0"/>
        <w:tabs>
          <w:tab w:leader="none" w:pos="17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Sole power to vote or to direct the vote: </w:t>
      </w:r>
      <w:r>
        <w:rPr>
          <w:rFonts w:ascii="Arial" w:cs="Arial" w:eastAsia="Arial" w:hAnsi="Arial"/>
          <w:sz w:val="18"/>
          <w:szCs w:val="18"/>
          <w:u w:val="single" w:color="auto"/>
          <w:color w:val="auto"/>
        </w:rPr>
        <w:t>5,075,698</w:t>
      </w:r>
      <w:r>
        <w:rPr>
          <w:rFonts w:ascii="Arial" w:cs="Arial" w:eastAsia="Arial" w:hAnsi="Arial"/>
          <w:sz w:val="18"/>
          <w:szCs w:val="18"/>
          <w:color w:val="auto"/>
        </w:rPr>
        <w:t xml:space="preserve"> .</w:t>
      </w:r>
    </w:p>
    <w:p>
      <w:pPr>
        <w:spacing w:after="0" w:line="117" w:lineRule="exact"/>
        <w:rPr>
          <w:rFonts w:ascii="Arial" w:cs="Arial" w:eastAsia="Arial" w:hAnsi="Arial"/>
          <w:sz w:val="18"/>
          <w:szCs w:val="18"/>
          <w:color w:val="auto"/>
        </w:rPr>
      </w:pPr>
    </w:p>
    <w:p>
      <w:pPr>
        <w:ind w:left="1700" w:hanging="463"/>
        <w:spacing w:after="0"/>
        <w:tabs>
          <w:tab w:leader="none" w:pos="17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Shared power to vote or to direct the vote: </w:t>
      </w:r>
      <w:r>
        <w:rPr>
          <w:rFonts w:ascii="Arial" w:cs="Arial" w:eastAsia="Arial" w:hAnsi="Arial"/>
          <w:sz w:val="18"/>
          <w:szCs w:val="18"/>
          <w:u w:val="single" w:color="auto"/>
          <w:color w:val="auto"/>
        </w:rPr>
        <w:t>465,597</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700" w:hanging="463"/>
        <w:spacing w:after="0"/>
        <w:tabs>
          <w:tab w:leader="none" w:pos="17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Sole power to dispose or to direct the disposition of: </w:t>
      </w:r>
      <w:r>
        <w:rPr>
          <w:rFonts w:ascii="Arial" w:cs="Arial" w:eastAsia="Arial" w:hAnsi="Arial"/>
          <w:sz w:val="18"/>
          <w:szCs w:val="18"/>
          <w:u w:val="single" w:color="auto"/>
          <w:color w:val="auto"/>
        </w:rPr>
        <w:t>5,075,698</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700" w:hanging="463"/>
        <w:spacing w:after="0"/>
        <w:tabs>
          <w:tab w:leader="none" w:pos="17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Shared power to dispose or to direct the disposition of: </w:t>
      </w:r>
      <w:r>
        <w:rPr>
          <w:rFonts w:ascii="Arial" w:cs="Arial" w:eastAsia="Arial" w:hAnsi="Arial"/>
          <w:sz w:val="18"/>
          <w:szCs w:val="18"/>
          <w:u w:val="single" w:color="auto"/>
          <w:color w:val="auto"/>
        </w:rPr>
        <w:t>465,597</w:t>
      </w:r>
      <w:r>
        <w:rPr>
          <w:rFonts w:ascii="Arial" w:cs="Arial" w:eastAsia="Arial" w:hAnsi="Arial"/>
          <w:sz w:val="18"/>
          <w:szCs w:val="18"/>
          <w:color w:val="auto"/>
        </w:rPr>
        <w:t>.</w:t>
      </w:r>
    </w:p>
    <w:p>
      <w:pPr>
        <w:spacing w:after="0" w:line="1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83" w:lineRule="exact"/>
        <w:rPr>
          <w:sz w:val="20"/>
          <w:szCs w:val="20"/>
          <w:color w:val="auto"/>
        </w:rPr>
      </w:pPr>
    </w:p>
    <w:p>
      <w:pPr>
        <w:ind w:left="820" w:right="1420" w:firstLine="432"/>
        <w:spacing w:after="0" w:line="229" w:lineRule="exact"/>
        <w:rPr>
          <w:sz w:val="20"/>
          <w:szCs w:val="20"/>
          <w:color w:val="auto"/>
        </w:rPr>
      </w:pPr>
      <w:r>
        <w:rPr>
          <w:rFonts w:ascii="Arial" w:cs="Arial" w:eastAsia="Arial" w:hAnsi="Arial"/>
          <w:sz w:val="18"/>
          <w:szCs w:val="18"/>
          <w:color w:val="auto"/>
        </w:rPr>
        <w:t xml:space="preserve">If this statement is being filed to report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9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8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Not applicable.</w:t>
      </w:r>
    </w:p>
    <w:p>
      <w:pPr>
        <w:spacing w:after="0" w:line="125" w:lineRule="exact"/>
        <w:rPr>
          <w:sz w:val="20"/>
          <w:szCs w:val="20"/>
          <w:color w:val="auto"/>
        </w:rPr>
      </w:pPr>
    </w:p>
    <w:p>
      <w:pPr>
        <w:ind w:left="820" w:right="2560" w:hanging="809"/>
        <w:spacing w:after="0" w:line="275" w:lineRule="auto"/>
        <w:tabs>
          <w:tab w:leader="none" w:pos="80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Not applicable.</w:t>
      </w:r>
    </w:p>
    <w:p>
      <w:pPr>
        <w:spacing w:after="0" w:line="1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8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Not applicable.</w:t>
      </w:r>
    </w:p>
    <w:p>
      <w:pPr>
        <w:spacing w:after="0" w:line="1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8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Not applicable.</w:t>
      </w:r>
    </w:p>
    <w:p>
      <w:pPr>
        <w:spacing w:after="0" w:line="1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jc w:val="cente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that information set forth in this statement is true, complete and correct.</w:t>
      </w:r>
    </w:p>
    <w:p>
      <w:pPr>
        <w:spacing w:after="0" w:line="248"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February 17,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6" w:lineRule="exact"/>
        <w:rPr>
          <w:sz w:val="20"/>
          <w:szCs w:val="20"/>
          <w:color w:val="auto"/>
        </w:rPr>
      </w:pPr>
    </w:p>
    <w:p>
      <w:pPr>
        <w:ind w:left="9020"/>
        <w:spacing w:after="0"/>
        <w:rPr>
          <w:sz w:val="20"/>
          <w:szCs w:val="20"/>
          <w:color w:val="auto"/>
        </w:rPr>
      </w:pPr>
      <w:r>
        <w:rPr>
          <w:rFonts w:ascii="Arial" w:cs="Arial" w:eastAsia="Arial" w:hAnsi="Arial"/>
          <w:sz w:val="14"/>
          <w:szCs w:val="14"/>
          <w:color w:val="auto"/>
        </w:rPr>
        <w:t>Date</w:t>
      </w:r>
    </w:p>
    <w:p>
      <w:pPr>
        <w:spacing w:after="0" w:line="206" w:lineRule="exact"/>
        <w:rPr>
          <w:sz w:val="20"/>
          <w:szCs w:val="20"/>
          <w:color w:val="auto"/>
        </w:rPr>
      </w:pPr>
    </w:p>
    <w:p>
      <w:pPr>
        <w:ind w:left="7980"/>
        <w:spacing w:after="0"/>
        <w:tabs>
          <w:tab w:leader="none" w:pos="83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6" w:lineRule="exact"/>
        <w:rPr>
          <w:sz w:val="20"/>
          <w:szCs w:val="20"/>
          <w:color w:val="auto"/>
        </w:rPr>
      </w:pPr>
    </w:p>
    <w:p>
      <w:pPr>
        <w:ind w:left="8880"/>
        <w:spacing w:after="0"/>
        <w:rPr>
          <w:sz w:val="20"/>
          <w:szCs w:val="20"/>
          <w:color w:val="auto"/>
        </w:rPr>
      </w:pPr>
      <w:r>
        <w:rPr>
          <w:rFonts w:ascii="Arial" w:cs="Arial" w:eastAsia="Arial" w:hAnsi="Arial"/>
          <w:sz w:val="14"/>
          <w:szCs w:val="14"/>
          <w:color w:val="auto"/>
        </w:rPr>
        <w:t>Signature</w:t>
      </w:r>
    </w:p>
    <w:p>
      <w:pPr>
        <w:spacing w:after="0" w:line="206"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6" w:lineRule="exact"/>
        <w:rPr>
          <w:sz w:val="20"/>
          <w:szCs w:val="20"/>
          <w:color w:val="auto"/>
        </w:rPr>
      </w:pPr>
    </w:p>
    <w:p>
      <w:pPr>
        <w:ind w:left="8840"/>
        <w:spacing w:after="0"/>
        <w:rPr>
          <w:sz w:val="20"/>
          <w:szCs w:val="20"/>
          <w:color w:val="auto"/>
        </w:rPr>
      </w:pPr>
      <w:r>
        <w:rPr>
          <w:rFonts w:ascii="Arial" w:cs="Arial" w:eastAsia="Arial" w:hAnsi="Arial"/>
          <w:sz w:val="14"/>
          <w:szCs w:val="14"/>
          <w:color w:val="auto"/>
        </w:rPr>
        <w:t>Name/Title</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4 of 5 pages</w:t>
      </w:r>
    </w:p>
    <w:p>
      <w:pPr>
        <w:sectPr>
          <w:pgSz w:w="11900" w:h="16838" w:orient="portrait"/>
          <w:cols w:equalWidth="0" w:num="1">
            <w:col w:w="11300"/>
          </w:cols>
          <w:pgMar w:left="240" w:top="382" w:right="359" w:bottom="1440" w:gutter="0" w:footer="0" w:header="0"/>
        </w:sectPr>
      </w:pPr>
    </w:p>
    <w:bookmarkStart w:id="4" w:name="page5"/>
    <w:bookmarkEnd w:id="4"/>
    <w:p>
      <w:pPr>
        <w:ind w:firstLine="456"/>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or attorney for this purpose which is already on file with the Commission may be incorporated by reference. The name and any title of each person who signs the statement shall be typed or printed beneath his signature.</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164"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Page 5 of 5 pages</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lvl w:ilvl="1">
      <w:lvlJc w:val="left"/>
      <w:lvlText w:val="(%2)"/>
      <w:numFmt w:val="lowerLetter"/>
      <w:start w:val="1"/>
    </w:lvl>
  </w:abstractNum>
  <w:abstractNum w:abstractNumId="5">
    <w:nsid w:val="12200854"/>
    <w:multiLevelType w:val="hybridMultilevel"/>
    <w:lvl w:ilvl="0">
      <w:lvlJc w:val="left"/>
      <w:lvlText w:val="%1."/>
      <w:numFmt w:val="decimal"/>
      <w:start w:val="9"/>
    </w:lvl>
  </w:abstractNum>
  <w:abstractNum w:abstractNumId="6">
    <w:nsid w:val="4DB127F8"/>
    <w:multiLevelType w:val="hybridMultilevel"/>
    <w:lvl w:ilvl="0">
      <w:lvlJc w:val="left"/>
      <w:lvlText w:val="%1."/>
      <w:numFmt w:val="decimal"/>
      <w:start w:val="10"/>
    </w:lvl>
  </w:abstractNum>
  <w:abstractNum w:abstractNumId="7">
    <w:nsid w:val="216231B"/>
    <w:multiLevelType w:val="hybridMultilevel"/>
    <w:lvl w:ilvl="0">
      <w:lvlJc w:val="left"/>
      <w:lvlText w:val="%1."/>
      <w:numFmt w:val="decimal"/>
      <w:start w:val="11"/>
    </w:lvl>
  </w:abstractNum>
  <w:abstractNum w:abstractNumId="8">
    <w:nsid w:val="1F16E9E8"/>
    <w:multiLevelType w:val="hybridMultilevel"/>
    <w:lvl w:ilvl="0">
      <w:lvlJc w:val="left"/>
      <w:lvlText w:val="%1."/>
      <w:numFmt w:val="decimal"/>
      <w:start w:val="12"/>
    </w:lvl>
  </w:abstractNum>
  <w:abstractNum w:abstractNumId="9">
    <w:nsid w:val="1190CDE7"/>
    <w:multiLevelType w:val="hybridMultilevel"/>
    <w:lvl w:ilvl="0">
      <w:lvlJc w:val="left"/>
      <w:lvlText w:val="(%1)"/>
      <w:numFmt w:val="lowerLetter"/>
      <w:start w:val="2"/>
    </w:lvl>
  </w:abstractNum>
  <w:abstractNum w:abstractNumId="10">
    <w:nsid w:val="66EF438D"/>
    <w:multiLevelType w:val="hybridMultilevel"/>
    <w:lvl w:ilvl="0">
      <w:lvlJc w:val="left"/>
      <w:lvlText w:val="(%1)"/>
      <w:numFmt w:val="lowerLetter"/>
      <w:start w:val="2"/>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2019-12-12T01:01:49Z</dcterms:created>
  <dcterms:modified xsi:type="dcterms:W3CDTF">2019-12-12T01:01:49Z</dcterms:modified>
</cp:coreProperties>
</file>