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748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7487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85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PINKERTON JOSEPH F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2128 W. BRAKER LANE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11/15/2004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Chairman, CEO, President</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85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AUSTIN</w:t>
            </w:r>
          </w:p>
        </w:tc>
        <w:tc>
          <w:tcPr>
            <w:tcW w:w="1160" w:type="dxa"/>
            <w:vAlign w:val="bottom"/>
          </w:tcPr>
          <w:p>
            <w:pPr>
              <w:ind w:left="3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78758</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85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11/15/2004</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Pr>
          <w:p>
            <w:pPr>
              <w:ind w:left="140"/>
              <w:spacing w:after="0"/>
              <w:rPr>
                <w:sz w:val="20"/>
                <w:szCs w:val="20"/>
                <w:color w:val="auto"/>
              </w:rPr>
            </w:pPr>
            <w:r>
              <w:rPr>
                <w:rFonts w:ascii="Arial" w:cs="Arial" w:eastAsia="Arial" w:hAnsi="Arial"/>
                <w:sz w:val="14"/>
                <w:szCs w:val="14"/>
                <w:color w:val="0000FF"/>
              </w:rPr>
              <w:t>V</w:t>
            </w:r>
          </w:p>
        </w:tc>
        <w:tc>
          <w:tcPr>
            <w:tcW w:w="600" w:type="dxa"/>
            <w:vAlign w:val="bottom"/>
          </w:tcPr>
          <w:p>
            <w:pPr>
              <w:ind w:left="180"/>
              <w:spacing w:after="0"/>
              <w:rPr>
                <w:sz w:val="20"/>
                <w:szCs w:val="20"/>
                <w:color w:val="auto"/>
              </w:rPr>
            </w:pPr>
            <w:r>
              <w:rPr>
                <w:rFonts w:ascii="Arial" w:cs="Arial" w:eastAsia="Arial" w:hAnsi="Arial"/>
                <w:sz w:val="18"/>
                <w:szCs w:val="18"/>
                <w:color w:val="0000FF"/>
                <w:w w:val="88"/>
              </w:rPr>
              <w:t>5,000</w:t>
            </w:r>
          </w:p>
        </w:tc>
        <w:tc>
          <w:tcPr>
            <w:tcW w:w="720" w:type="dxa"/>
            <w:vAlign w:val="bottom"/>
          </w:tcPr>
          <w:p>
            <w:pPr>
              <w:ind w:left="400"/>
              <w:spacing w:after="0"/>
              <w:rPr>
                <w:sz w:val="20"/>
                <w:szCs w:val="20"/>
                <w:color w:val="auto"/>
              </w:rPr>
            </w:pPr>
            <w:r>
              <w:rPr>
                <w:rFonts w:ascii="Arial" w:cs="Arial" w:eastAsia="Arial" w:hAnsi="Arial"/>
                <w:sz w:val="18"/>
                <w:szCs w:val="18"/>
                <w:color w:val="0000FF"/>
              </w:rPr>
              <w:t>D</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449,101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CJP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3,750,000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8"/>
              </w:rPr>
              <w:t>Partners,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Exercisable  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CJP Partners, Ltd., a limited partnership in which CJP Management, L.L.C. is the sole general partner and the Reporting Person and his spouse are the only limited partners.</w:t>
      </w:r>
    </w:p>
    <w:p>
      <w:pPr>
        <w:spacing w:after="0" w:line="64" w:lineRule="exact"/>
        <w:rPr>
          <w:rFonts w:ascii="Arial" w:cs="Arial" w:eastAsia="Arial" w:hAnsi="Arial"/>
          <w:sz w:val="12"/>
          <w:szCs w:val="12"/>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GRAT for Children for benefit of Reporting Person's minor children. Reporting person is trustee of the trust. Reporting person disclaims beneficial ownership of these securities, and this report shall not be deemed an admission that the reporting person is the beneficial owner of the shares for purposes of Section 16 or for any other purpose.</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GRAT for Children for benefit of Reporting Person's minor children. Reporting Person's spouse is trustee of the trust. Reporting person disclaims beneficial ownership of these securities, and this report shall not be deemed an admission that the reporting person is the beneficial owner of the shares for purposes of Section 16 or for any other purpose.</w:t>
      </w:r>
    </w:p>
    <w:tbl>
      <w:tblPr>
        <w:tblLayout w:type="fixed"/>
        <w:tblInd w:w="6860" w:type="dxa"/>
        <w:tblCellMar>
          <w:top w:w="0" w:type="dxa"/>
          <w:left w:w="0" w:type="dxa"/>
          <w:bottom w:w="0" w:type="dxa"/>
          <w:right w:w="0" w:type="dxa"/>
        </w:tblCellMar>
      </w:tblPr>
      <w:tr>
        <w:trPr>
          <w:trHeight w:val="199"/>
        </w:trPr>
        <w:tc>
          <w:tcPr>
            <w:tcW w:w="202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2"/>
              </w:rPr>
              <w:t>Michael Chibib (Attorney in</w:t>
            </w:r>
          </w:p>
        </w:tc>
        <w:tc>
          <w:tcPr>
            <w:tcW w:w="140" w:type="dxa"/>
            <w:vAlign w:val="bottom"/>
          </w:tcPr>
          <w:p>
            <w:pPr>
              <w:spacing w:after="0"/>
              <w:rPr>
                <w:sz w:val="17"/>
                <w:szCs w:val="17"/>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4"/>
              </w:rPr>
              <w:t>11/15/2004</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8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3466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2019-12-17T11:38:30Z</dcterms:created>
  <dcterms:modified xsi:type="dcterms:W3CDTF">2019-12-17T11:38:30Z</dcterms:modified>
</cp:coreProperties>
</file>