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939927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7"/>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210 Capital, LLC</w:t>
              </w:r>
            </w:hyperlink>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P10,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7"/>
            <w:vMerge w:val="continue"/>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7"/>
            <w:vMerge w:val="continue"/>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7"/>
            <w:vMerge w:val="continue"/>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P10, INC.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8"/>
          </w:tcPr>
          <w:p>
            <w:pPr>
              <w:ind w:left="240"/>
              <w:spacing w:after="0"/>
              <w:rPr>
                <w:sz w:val="20"/>
                <w:szCs w:val="20"/>
                <w:color w:val="auto"/>
              </w:rPr>
            </w:pPr>
            <w:r>
              <w:rPr>
                <w:rFonts w:ascii="Arial" w:cs="Arial" w:eastAsia="Arial" w:hAnsi="Arial"/>
                <w:sz w:val="17"/>
                <w:szCs w:val="17"/>
                <w:color w:val="0000FF"/>
              </w:rPr>
              <w:t>03/02/2022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9"/>
            <w:vMerge w:val="restart"/>
          </w:tcPr>
          <w:p>
            <w:pPr>
              <w:ind w:left="20"/>
              <w:spacing w:after="0"/>
              <w:rPr>
                <w:sz w:val="20"/>
                <w:szCs w:val="20"/>
                <w:color w:val="auto"/>
              </w:rPr>
            </w:pPr>
            <w:r>
              <w:rPr>
                <w:rFonts w:ascii="Arial" w:cs="Arial" w:eastAsia="Arial" w:hAnsi="Arial"/>
                <w:sz w:val="17"/>
                <w:szCs w:val="17"/>
                <w:color w:val="0000FF"/>
              </w:rPr>
              <w:t>4514 COLE AVENUE, SUITE 1600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5"/>
                <w:szCs w:val="5"/>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12"/>
            <w:vMerge w:val="continue"/>
          </w:tcPr>
          <w:p>
            <w:pPr>
              <w:spacing w:after="0"/>
              <w:rPr>
                <w:sz w:val="12"/>
                <w:szCs w:val="12"/>
                <w:color w:val="auto"/>
              </w:rPr>
            </w:pPr>
          </w:p>
        </w:tc>
        <w:tc>
          <w:tcPr>
            <w:tcW w:w="22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tcPr>
          <w:p>
            <w:pPr>
              <w:ind w:left="60"/>
              <w:spacing w:after="0" w:line="116"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4"/>
            <w:vMerge w:val="restart"/>
          </w:tcPr>
          <w:p>
            <w:pPr>
              <w:spacing w:after="0"/>
              <w:rPr>
                <w:sz w:val="20"/>
                <w:szCs w:val="20"/>
                <w:color w:val="auto"/>
              </w:rPr>
            </w:pPr>
            <w:r>
              <w:rPr>
                <w:rFonts w:ascii="Arial" w:cs="Arial" w:eastAsia="Arial" w:hAnsi="Arial"/>
                <w:sz w:val="17"/>
                <w:szCs w:val="17"/>
                <w:color w:val="0000FF"/>
              </w:rPr>
              <w:t>TX</w:t>
            </w:r>
          </w:p>
        </w:tc>
        <w:tc>
          <w:tcPr>
            <w:tcW w:w="680" w:type="dxa"/>
            <w:vAlign w:val="bottom"/>
            <w:vMerge w:val="restart"/>
          </w:tcPr>
          <w:p>
            <w:pPr>
              <w:spacing w:after="0"/>
              <w:rPr>
                <w:sz w:val="20"/>
                <w:szCs w:val="20"/>
                <w:color w:val="auto"/>
              </w:rPr>
            </w:pPr>
            <w:r>
              <w:rPr>
                <w:rFonts w:ascii="Arial" w:cs="Arial" w:eastAsia="Arial" w:hAnsi="Arial"/>
                <w:sz w:val="17"/>
                <w:szCs w:val="17"/>
                <w:color w:val="0000FF"/>
              </w:rPr>
              <w:t>75205</w:t>
            </w: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4"/>
                <w:szCs w:val="14"/>
                <w:color w:val="auto"/>
              </w:rPr>
            </w:pPr>
          </w:p>
        </w:tc>
        <w:tc>
          <w:tcPr>
            <w:tcW w:w="1140" w:type="dxa"/>
            <w:vAlign w:val="bottom"/>
            <w:gridSpan w:val="6"/>
          </w:tcPr>
          <w:p>
            <w:pPr>
              <w:ind w:left="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22"/>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6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5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560" w:type="dxa"/>
            <w:vAlign w:val="bottom"/>
            <w:gridSpan w:val="2"/>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33,540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vMerge w:val="restart"/>
          </w:tcPr>
          <w:p>
            <w:pPr>
              <w:ind w:left="2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(5)</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1"/>
                <w:szCs w:val="11"/>
                <w:color w:val="auto"/>
              </w:rPr>
            </w:pP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0000FF"/>
                <w:w w:val="98"/>
              </w:rPr>
              <w:t>03/02/2022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38" w:lineRule="exact"/>
              <w:rPr>
                <w:sz w:val="20"/>
                <w:szCs w:val="20"/>
                <w:color w:val="auto"/>
              </w:rPr>
            </w:pPr>
            <w:r>
              <w:rPr>
                <w:rFonts w:ascii="Arial" w:cs="Arial" w:eastAsia="Arial" w:hAnsi="Arial"/>
                <w:sz w:val="13"/>
                <w:szCs w:val="13"/>
                <w:color w:val="0000FF"/>
              </w:rPr>
              <w:t>A</w:t>
            </w:r>
          </w:p>
        </w:tc>
        <w:tc>
          <w:tcPr>
            <w:tcW w:w="580" w:type="dxa"/>
            <w:vAlign w:val="bottom"/>
            <w:gridSpan w:val="3"/>
          </w:tcPr>
          <w:p>
            <w:pPr>
              <w:ind w:left="160"/>
              <w:spacing w:after="0" w:line="138" w:lineRule="exact"/>
              <w:rPr>
                <w:sz w:val="20"/>
                <w:szCs w:val="20"/>
                <w:color w:val="auto"/>
              </w:rPr>
            </w:pPr>
            <w:r>
              <w:rPr>
                <w:rFonts w:ascii="Arial" w:cs="Arial" w:eastAsia="Arial" w:hAnsi="Arial"/>
                <w:sz w:val="13"/>
                <w:szCs w:val="13"/>
                <w:color w:val="0000FF"/>
              </w:rPr>
              <w:t>33,540</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(4)</w:t>
            </w: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38" w:lineRule="exact"/>
              <w:rPr>
                <w:sz w:val="20"/>
                <w:szCs w:val="20"/>
                <w:color w:val="auto"/>
              </w:rPr>
            </w:pPr>
            <w:r>
              <w:rPr>
                <w:rFonts w:ascii="Arial" w:cs="Arial" w:eastAsia="Arial" w:hAnsi="Arial"/>
                <w:sz w:val="13"/>
                <w:szCs w:val="13"/>
                <w:color w:val="0000FF"/>
                <w:w w:val="85"/>
              </w:rPr>
              <w:t>33,540</w:t>
            </w: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3" w:lineRule="exact"/>
              <w:rPr>
                <w:sz w:val="20"/>
                <w:szCs w:val="20"/>
                <w:color w:val="auto"/>
              </w:rPr>
            </w:pPr>
            <w:r>
              <w:rPr>
                <w:rFonts w:ascii="Arial" w:cs="Arial" w:eastAsia="Arial" w:hAnsi="Arial"/>
                <w:sz w:val="25"/>
                <w:szCs w:val="25"/>
                <w:color w:val="0000FF"/>
                <w:w w:val="92"/>
                <w:vertAlign w:val="subscript"/>
              </w:rPr>
              <w:t>Units</w:t>
            </w:r>
            <w:r>
              <w:rPr>
                <w:rFonts w:ascii="Arial" w:cs="Arial" w:eastAsia="Arial" w:hAnsi="Arial"/>
                <w:sz w:val="11"/>
                <w:szCs w:val="11"/>
                <w:color w:val="008000"/>
                <w:w w:val="92"/>
              </w:rPr>
              <w:t>(1)(2)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33,540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vMerge w:val="restart"/>
          </w:tcPr>
          <w:p>
            <w:pPr>
              <w:ind w:left="2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(7)</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1"/>
                <w:szCs w:val="11"/>
                <w:color w:val="auto"/>
              </w:rPr>
            </w:pP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0000FF"/>
                <w:w w:val="98"/>
              </w:rPr>
              <w:t>03/02/2022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38" w:lineRule="exact"/>
              <w:rPr>
                <w:sz w:val="20"/>
                <w:szCs w:val="20"/>
                <w:color w:val="auto"/>
              </w:rPr>
            </w:pPr>
            <w:r>
              <w:rPr>
                <w:rFonts w:ascii="Arial" w:cs="Arial" w:eastAsia="Arial" w:hAnsi="Arial"/>
                <w:sz w:val="13"/>
                <w:szCs w:val="13"/>
                <w:color w:val="0000FF"/>
              </w:rPr>
              <w:t>A</w:t>
            </w:r>
          </w:p>
        </w:tc>
        <w:tc>
          <w:tcPr>
            <w:tcW w:w="580" w:type="dxa"/>
            <w:vAlign w:val="bottom"/>
            <w:gridSpan w:val="3"/>
          </w:tcPr>
          <w:p>
            <w:pPr>
              <w:ind w:left="160"/>
              <w:spacing w:after="0" w:line="138" w:lineRule="exact"/>
              <w:rPr>
                <w:sz w:val="20"/>
                <w:szCs w:val="20"/>
                <w:color w:val="auto"/>
              </w:rPr>
            </w:pPr>
            <w:r>
              <w:rPr>
                <w:rFonts w:ascii="Arial" w:cs="Arial" w:eastAsia="Arial" w:hAnsi="Arial"/>
                <w:sz w:val="13"/>
                <w:szCs w:val="13"/>
                <w:color w:val="0000FF"/>
              </w:rPr>
              <w:t>33,540</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38" w:lineRule="exact"/>
              <w:rPr>
                <w:sz w:val="20"/>
                <w:szCs w:val="20"/>
                <w:color w:val="auto"/>
              </w:rPr>
            </w:pPr>
            <w:r>
              <w:rPr>
                <w:rFonts w:ascii="Arial" w:cs="Arial" w:eastAsia="Arial" w:hAnsi="Arial"/>
                <w:sz w:val="13"/>
                <w:szCs w:val="13"/>
                <w:color w:val="0000FF"/>
                <w:w w:val="85"/>
              </w:rPr>
              <w:t>33,540</w:t>
            </w: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3" w:lineRule="exact"/>
              <w:rPr>
                <w:sz w:val="20"/>
                <w:szCs w:val="20"/>
                <w:color w:val="auto"/>
              </w:rPr>
            </w:pPr>
            <w:r>
              <w:rPr>
                <w:rFonts w:ascii="Arial" w:cs="Arial" w:eastAsia="Arial" w:hAnsi="Arial"/>
                <w:sz w:val="25"/>
                <w:szCs w:val="25"/>
                <w:color w:val="0000FF"/>
                <w:w w:val="92"/>
                <w:vertAlign w:val="subscript"/>
              </w:rPr>
              <w:t>Units</w:t>
            </w:r>
            <w:r>
              <w:rPr>
                <w:rFonts w:ascii="Arial" w:cs="Arial" w:eastAsia="Arial" w:hAnsi="Arial"/>
                <w:sz w:val="11"/>
                <w:szCs w:val="11"/>
                <w:color w:val="008000"/>
                <w:w w:val="92"/>
              </w:rPr>
              <w:t>(1)(2)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210 Capital, LLC</w:t>
              </w:r>
            </w:hyperlink>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4514 COLE AVENUE, SUITE 1600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360"/>
              <w:spacing w:after="0"/>
              <w:rPr>
                <w:sz w:val="20"/>
                <w:szCs w:val="20"/>
                <w:color w:val="auto"/>
              </w:rPr>
            </w:pPr>
            <w:r>
              <w:rPr>
                <w:rFonts w:ascii="Arial" w:cs="Arial" w:eastAsia="Arial" w:hAnsi="Arial"/>
                <w:sz w:val="17"/>
                <w:szCs w:val="17"/>
                <w:color w:val="0000FF"/>
              </w:rPr>
              <w:t>75205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9"/>
          </w:tcPr>
          <w:p>
            <w:pPr>
              <w:ind w:left="20"/>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COVENANT RHA PARTNERS, L.P.</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4514 COLE AVENUE, SUITE 1600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360"/>
              <w:spacing w:after="0"/>
              <w:rPr>
                <w:sz w:val="20"/>
                <w:szCs w:val="20"/>
                <w:color w:val="auto"/>
              </w:rPr>
            </w:pPr>
            <w:r>
              <w:rPr>
                <w:rFonts w:ascii="Arial" w:cs="Arial" w:eastAsia="Arial" w:hAnsi="Arial"/>
                <w:sz w:val="17"/>
                <w:szCs w:val="17"/>
                <w:color w:val="0000FF"/>
              </w:rPr>
              <w:t>75205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CCW/LAW Holdings, LLC</w:t>
              </w:r>
            </w:hyperlink>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-6356985</wp:posOffset>
            </wp:positionV>
            <wp:extent cx="29210" cy="240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402840"/>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4514 COLE AVENUE, SUITE 1600</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14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1520" w:type="dxa"/>
            <w:vAlign w:val="bottom"/>
          </w:tcPr>
          <w:p>
            <w:pPr>
              <w:ind w:left="16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660" w:type="dxa"/>
            <w:vAlign w:val="bottom"/>
            <w:gridSpan w:val="6"/>
          </w:tcPr>
          <w:p>
            <w:pPr>
              <w:ind w:left="20"/>
              <w:spacing w:after="0" w:line="215" w:lineRule="exact"/>
              <w:rPr>
                <w:rFonts w:ascii="Arial" w:cs="Arial" w:eastAsia="Arial" w:hAnsi="Arial"/>
                <w:sz w:val="21"/>
                <w:szCs w:val="21"/>
                <w:color w:val="0000EE"/>
              </w:rPr>
            </w:pPr>
            <w:hyperlink r:id="rId17">
              <w:r>
                <w:rPr>
                  <w:rFonts w:ascii="Arial" w:cs="Arial" w:eastAsia="Arial" w:hAnsi="Arial"/>
                  <w:sz w:val="21"/>
                  <w:szCs w:val="21"/>
                  <w:color w:val="0000EE"/>
                </w:rPr>
                <w:t>RHA Investments, Inc.</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660" w:type="dxa"/>
            <w:vAlign w:val="bottom"/>
            <w:gridSpan w:val="6"/>
          </w:tcPr>
          <w:p>
            <w:pPr>
              <w:ind w:left="20"/>
              <w:spacing w:after="0"/>
              <w:rPr>
                <w:sz w:val="20"/>
                <w:szCs w:val="20"/>
                <w:color w:val="auto"/>
              </w:rPr>
            </w:pPr>
            <w:r>
              <w:rPr>
                <w:rFonts w:ascii="Arial" w:cs="Arial" w:eastAsia="Arial" w:hAnsi="Arial"/>
                <w:sz w:val="17"/>
                <w:szCs w:val="17"/>
                <w:color w:val="0000FF"/>
                <w:w w:val="98"/>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4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1520" w:type="dxa"/>
            <w:vAlign w:val="bottom"/>
          </w:tcPr>
          <w:p>
            <w:pPr>
              <w:ind w:left="16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1380" w:type="dxa"/>
            <w:vAlign w:val="bottom"/>
            <w:gridSpan w:val="4"/>
          </w:tcPr>
          <w:p>
            <w:pPr>
              <w:ind w:left="20"/>
              <w:spacing w:after="0" w:line="215" w:lineRule="exact"/>
              <w:rPr>
                <w:rFonts w:ascii="Arial" w:cs="Arial" w:eastAsia="Arial" w:hAnsi="Arial"/>
                <w:sz w:val="21"/>
                <w:szCs w:val="21"/>
                <w:color w:val="0000EE"/>
                <w:w w:val="92"/>
              </w:rPr>
            </w:pPr>
            <w:hyperlink r:id="rId18">
              <w:r>
                <w:rPr>
                  <w:rFonts w:ascii="Arial" w:cs="Arial" w:eastAsia="Arial" w:hAnsi="Arial"/>
                  <w:sz w:val="21"/>
                  <w:szCs w:val="21"/>
                  <w:color w:val="0000EE"/>
                  <w:w w:val="92"/>
                </w:rPr>
                <w:t>Alpert Robert H</w:t>
              </w:r>
            </w:hyperlink>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660" w:type="dxa"/>
            <w:vAlign w:val="bottom"/>
            <w:gridSpan w:val="6"/>
          </w:tcPr>
          <w:p>
            <w:pPr>
              <w:ind w:left="20"/>
              <w:spacing w:after="0"/>
              <w:rPr>
                <w:sz w:val="20"/>
                <w:szCs w:val="20"/>
                <w:color w:val="auto"/>
              </w:rPr>
            </w:pPr>
            <w:r>
              <w:rPr>
                <w:rFonts w:ascii="Arial" w:cs="Arial" w:eastAsia="Arial" w:hAnsi="Arial"/>
                <w:sz w:val="17"/>
                <w:szCs w:val="17"/>
                <w:color w:val="0000FF"/>
                <w:w w:val="98"/>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4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1520" w:type="dxa"/>
            <w:vAlign w:val="bottom"/>
          </w:tcPr>
          <w:p>
            <w:pPr>
              <w:ind w:left="16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1380" w:type="dxa"/>
            <w:vAlign w:val="bottom"/>
            <w:gridSpan w:val="4"/>
          </w:tcPr>
          <w:p>
            <w:pPr>
              <w:ind w:left="20"/>
              <w:spacing w:after="0" w:line="215" w:lineRule="exact"/>
              <w:rPr>
                <w:rFonts w:ascii="Arial" w:cs="Arial" w:eastAsia="Arial" w:hAnsi="Arial"/>
                <w:sz w:val="21"/>
                <w:szCs w:val="21"/>
                <w:color w:val="0000EE"/>
              </w:rPr>
            </w:pPr>
            <w:hyperlink r:id="rId19">
              <w:r>
                <w:rPr>
                  <w:rFonts w:ascii="Arial" w:cs="Arial" w:eastAsia="Arial" w:hAnsi="Arial"/>
                  <w:sz w:val="21"/>
                  <w:szCs w:val="21"/>
                  <w:color w:val="0000EE"/>
                </w:rPr>
                <w:t>Webb C Clark</w:t>
              </w:r>
            </w:hyperlink>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660" w:type="dxa"/>
            <w:vAlign w:val="bottom"/>
            <w:gridSpan w:val="6"/>
          </w:tcPr>
          <w:p>
            <w:pPr>
              <w:ind w:left="20"/>
              <w:spacing w:after="0"/>
              <w:rPr>
                <w:sz w:val="20"/>
                <w:szCs w:val="20"/>
                <w:color w:val="auto"/>
              </w:rPr>
            </w:pPr>
            <w:r>
              <w:rPr>
                <w:rFonts w:ascii="Arial" w:cs="Arial" w:eastAsia="Arial" w:hAnsi="Arial"/>
                <w:sz w:val="17"/>
                <w:szCs w:val="17"/>
                <w:color w:val="0000FF"/>
                <w:w w:val="98"/>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4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1520" w:type="dxa"/>
            <w:vAlign w:val="bottom"/>
          </w:tcPr>
          <w:p>
            <w:pPr>
              <w:ind w:left="16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5415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12415" cy="54152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left="20" w:firstLine="2"/>
        <w:spacing w:after="0" w:line="236"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being filed by 210/P10 Acquisition Partners, LLC ("210/P10"), in its capacity as direct holder of shares of Class B Common Stock, 210 Capital, LLC ("210 Capital"), in its capacity as sole member of 210/P10, Covenant RHA Partners, L.P. ("RHA Partners"), in its capacity as member of 210 Capital, CCW/LAW Holdings, LLC ("CCW Holdings"), in its capacity as member of 210 Capital, Mr. Webb, individually and in his capacity as sole member of CCW Holdings, RHA Investments, Inc. ("RHA Investments"), in its capacity as general partner of RHA Partners, and Mr. Alpert, individually and in his capacity as President and sole shareholder of RHA Investments (collectively, the "Reporting Persons").</w:t>
      </w:r>
    </w:p>
    <w:p>
      <w:pPr>
        <w:spacing w:after="0" w:line="31" w:lineRule="exact"/>
        <w:rPr>
          <w:rFonts w:ascii="Arial" w:cs="Arial" w:eastAsia="Arial" w:hAnsi="Arial"/>
          <w:sz w:val="13"/>
          <w:szCs w:val="13"/>
          <w:color w:val="008000"/>
        </w:rPr>
      </w:pPr>
    </w:p>
    <w:p>
      <w:pPr>
        <w:ind w:left="20" w:right="16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25"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Issuer's Class A Common Stock upon vesting.</w:t>
      </w:r>
    </w:p>
    <w:p>
      <w:pPr>
        <w:spacing w:after="0" w:line="44"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Webb was granted 33,540 RSUs which will vest on 3/2/2023, provided that Mr. Webb remains in continuous service.</w:t>
      </w:r>
    </w:p>
    <w:p>
      <w:pPr>
        <w:spacing w:after="0" w:line="44"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RSUs are owned directly by Mr. Webb.</w:t>
      </w:r>
    </w:p>
    <w:p>
      <w:pPr>
        <w:spacing w:after="0" w:line="44"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Alpert was granted 33,540 RSUs which will vest on 3/2/2023, provided that Mr. Alpert remains in continuous service.</w:t>
      </w:r>
    </w:p>
    <w:p>
      <w:pPr>
        <w:spacing w:after="0" w:line="44"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RSUs are owned directly by Mr. Alpert.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006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78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20" w:firstLine="2"/>
        <w:spacing w:after="0" w:line="335"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274195" TargetMode="External"/><Relationship Id="rId15" Type="http://schemas.openxmlformats.org/officeDocument/2006/relationships/hyperlink" Target="http://www.sec.gov/cgi-bin/browse-edgar?action=getcompany&amp;CIK=0001694778" TargetMode="External"/><Relationship Id="rId17" Type="http://schemas.openxmlformats.org/officeDocument/2006/relationships/hyperlink" Target="http://www.sec.gov/cgi-bin/browse-edgar?action=getcompany&amp;CIK=0001694781" TargetMode="External"/><Relationship Id="rId18" Type="http://schemas.openxmlformats.org/officeDocument/2006/relationships/hyperlink" Target="http://www.sec.gov/cgi-bin/browse-edgar?action=getcompany&amp;CIK=0001694574" TargetMode="External"/><Relationship Id="rId19" Type="http://schemas.openxmlformats.org/officeDocument/2006/relationships/hyperlink" Target="http://www.sec.gov/cgi-bin/browse-edgar?action=getcompany&amp;CIK=000169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2022-03-07T05:12:03Z</dcterms:created>
  <dcterms:modified xsi:type="dcterms:W3CDTF">2022-03-07T05:12:03Z</dcterms:modified>
</cp:coreProperties>
</file>