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OWER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(512) 836-6464</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May 13, 2005</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EDGARLINK TRANSMISSION AND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FACSIMILE (202) 942-9648</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H. Christopher Owings</w:t>
      </w:r>
    </w:p>
    <w:p>
      <w:pPr>
        <w:spacing w:after="0" w:line="151"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Active Power, Inc.</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Registration Statement on Form S-3 (Reg No. 333-123586)</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Dear Mr. Owings:</w:t>
      </w:r>
    </w:p>
    <w:p>
      <w:pPr>
        <w:spacing w:after="0" w:line="158" w:lineRule="exact"/>
        <w:rPr>
          <w:sz w:val="24"/>
          <w:szCs w:val="24"/>
          <w:color w:val="auto"/>
        </w:rPr>
      </w:pPr>
    </w:p>
    <w:p>
      <w:pPr>
        <w:ind w:right="340" w:firstLine="456"/>
        <w:spacing w:after="0" w:line="306" w:lineRule="auto"/>
        <w:rPr>
          <w:sz w:val="20"/>
          <w:szCs w:val="20"/>
          <w:color w:val="auto"/>
        </w:rPr>
      </w:pPr>
      <w:r>
        <w:rPr>
          <w:rFonts w:ascii="Arial" w:cs="Arial" w:eastAsia="Arial" w:hAnsi="Arial"/>
          <w:sz w:val="16"/>
          <w:szCs w:val="16"/>
          <w:color w:val="auto"/>
        </w:rPr>
        <w:t>Pursuant to Rule 461 of the General Rules and Regulations under the Securities Act of 1933, as amended, the undersigned registrant of the offering pursuant to the above-captioned Registration Statement hereby respectfully requests that the effective time of the above-captioned Registration Statement, as amended, be accelerated to 2:00 p.m. Washington, D.C. time, on May 17, 2005, or as soon thereafter as practicable.</w:t>
      </w:r>
    </w:p>
    <w:p>
      <w:pPr>
        <w:spacing w:after="0" w:line="9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addition, Active Power, Inc. herby acknowledges:</w:t>
      </w:r>
    </w:p>
    <w:p>
      <w:pPr>
        <w:spacing w:after="0" w:line="77" w:lineRule="exact"/>
        <w:rPr>
          <w:sz w:val="24"/>
          <w:szCs w:val="24"/>
          <w:color w:val="auto"/>
        </w:rPr>
      </w:pPr>
    </w:p>
    <w:p>
      <w:pPr>
        <w:ind w:left="900" w:right="22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Active Power, Inc. from its full responsibility for the adequacy and accuracy of the disclosure in the filing; and</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Active Power, Inc.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360"/>
          </w:cols>
          <w:pgMar w:left="240" w:top="233" w:right="299" w:bottom="1440" w:gutter="0" w:footer="0" w:header="0"/>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CTIVE</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and Chief Financial Officer</w:t>
      </w:r>
    </w:p>
    <w:p>
      <w:pPr>
        <w:spacing w:after="0" w:line="151" w:lineRule="exact"/>
        <w:rPr>
          <w:sz w:val="20"/>
          <w:szCs w:val="20"/>
          <w:color w:val="auto"/>
        </w:rPr>
      </w:pPr>
    </w:p>
    <w:p>
      <w:pPr>
        <w:ind w:left="460" w:right="8180" w:hanging="452"/>
        <w:spacing w:after="0" w:line="286"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Scott Anderegg [Staff] Ellie Quarles [Staff]</w:t>
      </w:r>
    </w:p>
    <w:p>
      <w:pPr>
        <w:ind w:left="460" w:right="7060"/>
        <w:spacing w:after="0" w:line="302" w:lineRule="auto"/>
        <w:rPr>
          <w:rFonts w:ascii="Arial" w:cs="Arial" w:eastAsia="Arial" w:hAnsi="Arial"/>
          <w:sz w:val="16"/>
          <w:szCs w:val="16"/>
          <w:color w:val="auto"/>
        </w:rPr>
      </w:pPr>
      <w:r>
        <w:rPr>
          <w:rFonts w:ascii="Arial" w:cs="Arial" w:eastAsia="Arial" w:hAnsi="Arial"/>
          <w:sz w:val="16"/>
          <w:szCs w:val="16"/>
          <w:color w:val="auto"/>
        </w:rPr>
        <w:t>Michael Chibib [Active Power, Inc.] Matthew Lyons [Andrews Kurth LLP] Ted Gilman [Andrews Kurth LLP]</w:t>
      </w:r>
    </w:p>
    <w:sectPr>
      <w:pgSz w:w="11900" w:h="16838" w:orient="portrait"/>
      <w:cols w:equalWidth="0" w:num="1">
        <w:col w:w="10220"/>
      </w:cols>
      <w:pgMar w:left="240" w:top="280"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2019-12-14T18:11:44Z</dcterms:created>
  <dcterms:modified xsi:type="dcterms:W3CDTF">2019-12-14T18:11:44Z</dcterms:modified>
</cp:coreProperties>
</file>