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ind w:left="4140" w:right="2260" w:hanging="4132"/>
        <w:spacing w:after="0" w:line="441" w:lineRule="auto"/>
        <w:tabs>
          <w:tab w:leader="none" w:pos="45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2005</w:t>
      </w:r>
    </w:p>
    <w:p>
      <w:pPr>
        <w:spacing w:after="0" w:line="1" w:lineRule="exact"/>
        <w:rPr>
          <w:rFonts w:ascii="MS PGothic" w:cs="MS PGothic" w:eastAsia="MS PGothic" w:hAnsi="MS PGothic"/>
          <w:sz w:val="18"/>
          <w:szCs w:val="18"/>
          <w:color w:val="auto"/>
          <w:highlight w:val="black"/>
        </w:rPr>
      </w:pP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4" w:lineRule="exact"/>
        <w:rPr>
          <w:sz w:val="24"/>
          <w:szCs w:val="24"/>
          <w:color w:val="auto"/>
        </w:rPr>
      </w:pPr>
    </w:p>
    <w:tbl>
      <w:tblPr>
        <w:tblLayout w:type="fixed"/>
        <w:tblInd w:w="3660" w:type="dxa"/>
        <w:tblCellMar>
          <w:top w:w="0" w:type="dxa"/>
          <w:left w:w="0" w:type="dxa"/>
          <w:bottom w:w="0" w:type="dxa"/>
          <w:right w:w="0" w:type="dxa"/>
        </w:tblCellMar>
      </w:tblPr>
      <w:tr>
        <w:trPr>
          <w:trHeight w:val="207"/>
        </w:trPr>
        <w:tc>
          <w:tcPr>
            <w:tcW w:w="2120" w:type="dxa"/>
            <w:vAlign w:val="bottom"/>
          </w:tcPr>
          <w:p>
            <w:pPr>
              <w:spacing w:after="0"/>
              <w:rPr>
                <w:sz w:val="20"/>
                <w:szCs w:val="20"/>
                <w:color w:val="auto"/>
              </w:rPr>
            </w:pPr>
            <w:r>
              <w:rPr>
                <w:rFonts w:ascii="Arial" w:cs="Arial" w:eastAsia="Arial" w:hAnsi="Arial"/>
                <w:sz w:val="18"/>
                <w:szCs w:val="18"/>
                <w:color w:val="auto"/>
                <w:w w:val="90"/>
              </w:rPr>
              <w:t>For the transition period from</w:t>
            </w:r>
          </w:p>
        </w:tc>
        <w:tc>
          <w:tcPr>
            <w:tcW w:w="8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to</w:t>
            </w:r>
          </w:p>
        </w:tc>
        <w:tc>
          <w:tcPr>
            <w:tcW w:w="860" w:type="dxa"/>
            <w:vAlign w:val="bottom"/>
            <w:tcBorders>
              <w:bottom w:val="single" w:sz="8" w:color="auto"/>
            </w:tcBorders>
          </w:tcPr>
          <w:p>
            <w:pPr>
              <w:spacing w:after="0"/>
              <w:rPr>
                <w:sz w:val="17"/>
                <w:szCs w:val="17"/>
                <w:color w:val="auto"/>
              </w:rPr>
            </w:pPr>
          </w:p>
        </w:tc>
      </w:tr>
      <w:tr>
        <w:trPr>
          <w:trHeight w:val="397"/>
        </w:trPr>
        <w:tc>
          <w:tcPr>
            <w:tcW w:w="4100" w:type="dxa"/>
            <w:vAlign w:val="bottom"/>
            <w:gridSpan w:val="4"/>
          </w:tcPr>
          <w:p>
            <w:pPr>
              <w:ind w:left="760"/>
              <w:spacing w:after="0"/>
              <w:rPr>
                <w:sz w:val="20"/>
                <w:szCs w:val="20"/>
                <w:color w:val="auto"/>
              </w:rPr>
            </w:pPr>
            <w:r>
              <w:rPr>
                <w:rFonts w:ascii="Arial" w:cs="Arial" w:eastAsia="Arial" w:hAnsi="Arial"/>
                <w:sz w:val="18"/>
                <w:szCs w:val="18"/>
                <w:color w:val="auto"/>
              </w:rPr>
              <w:t>Commission file number: 000-30939</w:t>
            </w:r>
          </w:p>
        </w:tc>
      </w:tr>
    </w:tbl>
    <w:p>
      <w:pPr>
        <w:spacing w:after="0" w:line="121"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7700" w:type="dxa"/>
            <w:vAlign w:val="bottom"/>
          </w:tcPr>
          <w:p>
            <w:pPr>
              <w:jc w:val="center"/>
              <w:ind w:right="1881"/>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7700" w:type="dxa"/>
            <w:vAlign w:val="bottom"/>
          </w:tcPr>
          <w:p>
            <w:pPr>
              <w:jc w:val="center"/>
              <w:ind w:right="190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700" w:type="dxa"/>
            <w:vAlign w:val="bottom"/>
          </w:tcPr>
          <w:p>
            <w:pPr>
              <w:jc w:val="center"/>
              <w:ind w:right="1901"/>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7700" w:type="dxa"/>
            <w:vAlign w:val="bottom"/>
          </w:tcPr>
          <w:p>
            <w:pPr>
              <w:jc w:val="center"/>
              <w:ind w:right="1881"/>
              <w:spacing w:after="0"/>
              <w:rPr>
                <w:sz w:val="20"/>
                <w:szCs w:val="20"/>
                <w:color w:val="auto"/>
              </w:rPr>
            </w:pPr>
            <w:r>
              <w:rPr>
                <w:rFonts w:ascii="Arial" w:cs="Arial" w:eastAsia="Arial" w:hAnsi="Arial"/>
                <w:sz w:val="18"/>
                <w:szCs w:val="18"/>
                <w:b w:val="1"/>
                <w:bCs w:val="1"/>
                <w:color w:val="auto"/>
                <w:w w:val="89"/>
              </w:rPr>
              <w:t>2128 W. Braker Lane, BK 12, Austin, Texas</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7700" w:type="dxa"/>
            <w:vAlign w:val="bottom"/>
          </w:tcPr>
          <w:p>
            <w:pPr>
              <w:jc w:val="center"/>
              <w:ind w:right="190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7700" w:type="dxa"/>
            <w:vAlign w:val="bottom"/>
          </w:tcPr>
          <w:p>
            <w:pPr>
              <w:jc w:val="right"/>
              <w:ind w:right="1361"/>
              <w:spacing w:after="0"/>
              <w:rPr>
                <w:sz w:val="20"/>
                <w:szCs w:val="20"/>
                <w:color w:val="auto"/>
              </w:rPr>
            </w:pPr>
            <w:r>
              <w:rPr>
                <w:rFonts w:ascii="Arial" w:cs="Arial" w:eastAsia="Arial" w:hAnsi="Arial"/>
                <w:sz w:val="18"/>
                <w:szCs w:val="18"/>
                <w:b w:val="1"/>
                <w:bCs w:val="1"/>
                <w:color w:val="auto"/>
              </w:rPr>
              <w:t>(512) 836-6464</w:t>
            </w:r>
          </w:p>
        </w:tc>
        <w:tc>
          <w:tcPr>
            <w:tcW w:w="1520" w:type="dxa"/>
            <w:vAlign w:val="bottom"/>
          </w:tcPr>
          <w:p>
            <w:pPr>
              <w:spacing w:after="0"/>
              <w:rPr>
                <w:sz w:val="24"/>
                <w:szCs w:val="24"/>
                <w:color w:val="auto"/>
              </w:rPr>
            </w:pPr>
          </w:p>
        </w:tc>
      </w:tr>
      <w:tr>
        <w:trPr>
          <w:trHeight w:val="174"/>
        </w:trPr>
        <w:tc>
          <w:tcPr>
            <w:tcW w:w="7700" w:type="dxa"/>
            <w:vAlign w:val="bottom"/>
          </w:tcPr>
          <w:p>
            <w:pPr>
              <w:jc w:val="center"/>
              <w:ind w:left="3641"/>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r>
        <w:trPr>
          <w:trHeight w:val="363"/>
        </w:trPr>
        <w:tc>
          <w:tcPr>
            <w:tcW w:w="7700" w:type="dxa"/>
            <w:vAlign w:val="bottom"/>
          </w:tcPr>
          <w:p>
            <w:pPr>
              <w:spacing w:after="0"/>
              <w:rPr>
                <w:sz w:val="20"/>
                <w:szCs w:val="20"/>
                <w:color w:val="auto"/>
              </w:rPr>
            </w:pPr>
            <w:r>
              <w:rPr>
                <w:rFonts w:ascii="Arial" w:cs="Arial" w:eastAsia="Arial" w:hAnsi="Arial"/>
                <w:sz w:val="18"/>
                <w:szCs w:val="18"/>
                <w:color w:val="auto"/>
              </w:rPr>
              <w:t xml:space="preserve">Securities registered pursuant to Section 12(b) of the Act: </w:t>
            </w:r>
            <w:r>
              <w:rPr>
                <w:rFonts w:ascii="Arial" w:cs="Arial" w:eastAsia="Arial" w:hAnsi="Arial"/>
                <w:sz w:val="18"/>
                <w:szCs w:val="18"/>
                <w:b w:val="1"/>
                <w:bCs w:val="1"/>
                <w:color w:val="auto"/>
              </w:rPr>
              <w:t>None</w:t>
            </w:r>
          </w:p>
        </w:tc>
        <w:tc>
          <w:tcPr>
            <w:tcW w:w="1520" w:type="dxa"/>
            <w:vAlign w:val="bottom"/>
          </w:tcPr>
          <w:p>
            <w:pPr>
              <w:spacing w:after="0"/>
              <w:rPr>
                <w:sz w:val="24"/>
                <w:szCs w:val="24"/>
                <w:color w:val="auto"/>
              </w:rPr>
            </w:pPr>
          </w:p>
        </w:tc>
      </w:tr>
      <w:tr>
        <w:trPr>
          <w:trHeight w:val="378"/>
        </w:trPr>
        <w:tc>
          <w:tcPr>
            <w:tcW w:w="7700" w:type="dxa"/>
            <w:vAlign w:val="bottom"/>
          </w:tcPr>
          <w:p>
            <w:pPr>
              <w:spacing w:after="0"/>
              <w:rPr>
                <w:sz w:val="20"/>
                <w:szCs w:val="20"/>
                <w:color w:val="auto"/>
              </w:rPr>
            </w:pPr>
            <w:r>
              <w:rPr>
                <w:rFonts w:ascii="Arial" w:cs="Arial" w:eastAsia="Arial" w:hAnsi="Arial"/>
                <w:sz w:val="18"/>
                <w:szCs w:val="18"/>
                <w:color w:val="auto"/>
              </w:rPr>
              <w:t>Securities registered pursuant to Section 12(g) of the Act:</w:t>
            </w:r>
          </w:p>
        </w:tc>
        <w:tc>
          <w:tcPr>
            <w:tcW w:w="1520" w:type="dxa"/>
            <w:vAlign w:val="bottom"/>
          </w:tcPr>
          <w:p>
            <w:pPr>
              <w:spacing w:after="0"/>
              <w:rPr>
                <w:sz w:val="24"/>
                <w:szCs w:val="24"/>
                <w:color w:val="auto"/>
              </w:rPr>
            </w:pPr>
          </w:p>
        </w:tc>
      </w:tr>
    </w:tbl>
    <w:p>
      <w:pPr>
        <w:spacing w:after="0" w:line="1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Preferred Share Purchase Rights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(Title of Class)</w:t>
      </w:r>
    </w:p>
    <w:p>
      <w:pPr>
        <w:spacing w:after="0" w:line="111" w:lineRule="exact"/>
        <w:rPr>
          <w:sz w:val="24"/>
          <w:szCs w:val="24"/>
          <w:color w:val="auto"/>
        </w:rPr>
      </w:pPr>
    </w:p>
    <w:p>
      <w:pPr>
        <w:ind w:left="460"/>
        <w:spacing w:after="0" w:line="184" w:lineRule="exact"/>
        <w:tabs>
          <w:tab w:leader="none" w:pos="9400" w:val="left"/>
        </w:tabs>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94" w:lineRule="exact"/>
        <w:rPr>
          <w:sz w:val="24"/>
          <w:szCs w:val="24"/>
          <w:color w:val="auto"/>
        </w:rPr>
      </w:pPr>
    </w:p>
    <w:p>
      <w:pPr>
        <w:ind w:left="460"/>
        <w:spacing w:after="0" w:line="184" w:lineRule="exact"/>
        <w:tabs>
          <w:tab w:leader="none" w:pos="10300" w:val="left"/>
        </w:tabs>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27"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99" w:lineRule="exact"/>
        <w:rPr>
          <w:sz w:val="24"/>
          <w:szCs w:val="24"/>
          <w:color w:val="auto"/>
        </w:rPr>
      </w:pPr>
    </w:p>
    <w:p>
      <w:pPr>
        <w:ind w:left="2740"/>
        <w:spacing w:after="0" w:line="207" w:lineRule="exact"/>
        <w:tabs>
          <w:tab w:leader="none" w:pos="5080" w:val="left"/>
          <w:tab w:leader="none" w:pos="69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ectPr>
          <w:pgSz w:w="11900" w:h="16838" w:orient="portrait"/>
          <w:cols w:equalWidth="0" w:num="1">
            <w:col w:w="11280"/>
          </w:cols>
          <w:pgMar w:left="240" w:top="230" w:right="379" w:bottom="1440" w:gutter="0" w:footer="0" w:header="0"/>
        </w:sectPr>
      </w:pPr>
    </w:p>
    <w:bookmarkStart w:id="1" w:name="page2"/>
    <w:bookmarkEnd w:id="1"/>
    <w:p>
      <w:pPr>
        <w:ind w:left="460"/>
        <w:spacing w:after="0" w:line="184" w:lineRule="exact"/>
        <w:tabs>
          <w:tab w:leader="none" w:pos="91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228"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upon the closing sale price of its common stock on the last day of registrant’s most recently completed second fiscal quarter, June 30, 2005, as reported on The Nasdaq Stock Market, was approximately $144 million (affiliates being, for these purposes only, directors and executive officers).</w:t>
      </w:r>
    </w:p>
    <w:p>
      <w:pPr>
        <w:spacing w:after="0" w:line="107" w:lineRule="exact"/>
        <w:rPr>
          <w:sz w:val="20"/>
          <w:szCs w:val="20"/>
          <w:color w:val="auto"/>
        </w:rPr>
      </w:pPr>
    </w:p>
    <w:p>
      <w:pPr>
        <w:jc w:val="right"/>
        <w:ind w:left="460" w:right="4320"/>
        <w:spacing w:after="0" w:line="438" w:lineRule="auto"/>
        <w:rPr>
          <w:sz w:val="20"/>
          <w:szCs w:val="20"/>
          <w:color w:val="auto"/>
        </w:rPr>
      </w:pPr>
      <w:r>
        <w:rPr>
          <w:rFonts w:ascii="Arial" w:cs="Arial" w:eastAsia="Arial" w:hAnsi="Arial"/>
          <w:sz w:val="18"/>
          <w:szCs w:val="18"/>
          <w:color w:val="auto"/>
        </w:rPr>
        <w:t>As of February 17, 2006, the Registrant had 49,229,296 outstanding shares of Common Stock. Documents Incorporated by Reference:</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information required by Part III of this Annual Report on Form 10-K is incorporated by reference from the registrant’s definitive proxy statement to be delivered to stockholders in connection with the Registrant’s 2006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Unless otherwise indicated, “we,” “us,” “our,” and “Active Power” mean Active Power, Inc., including our predecessor Texas corporation. References in this report to “$” or “dollars” are to United States of America currency.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80" w:type="dxa"/>
            <w:vAlign w:val="bottom"/>
            <w:gridSpan w:val="7"/>
          </w:tcPr>
          <w:p>
            <w:pPr>
              <w:ind w:left="380"/>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19"/>
                <w:szCs w:val="19"/>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84"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420" w:type="dxa"/>
            <w:vAlign w:val="bottom"/>
            <w:gridSpan w:val="19"/>
          </w:tcPr>
          <w:p>
            <w:pPr>
              <w:spacing w:after="0"/>
              <w:rPr>
                <w:sz w:val="15"/>
                <w:szCs w:val="15"/>
                <w:color w:val="auto"/>
              </w:rPr>
            </w:pPr>
          </w:p>
        </w:tc>
        <w:tc>
          <w:tcPr>
            <w:tcW w:w="136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8160" w:type="dxa"/>
            <w:vAlign w:val="bottom"/>
            <w:gridSpan w:val="17"/>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1B.</w:t>
            </w:r>
          </w:p>
        </w:tc>
        <w:tc>
          <w:tcPr>
            <w:tcW w:w="90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24"/>
                <w:szCs w:val="24"/>
                <w:color w:val="auto"/>
              </w:rPr>
            </w:pPr>
          </w:p>
        </w:tc>
        <w:tc>
          <w:tcPr>
            <w:tcW w:w="7060" w:type="dxa"/>
            <w:vAlign w:val="bottom"/>
            <w:gridSpan w:val="12"/>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0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0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06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Submission of Matters to a Vote of Security Holders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6"/>
        </w:trPr>
        <w:tc>
          <w:tcPr>
            <w:tcW w:w="1000" w:type="dxa"/>
            <w:vAlign w:val="bottom"/>
          </w:tcPr>
          <w:p>
            <w:pPr>
              <w:spacing w:after="0"/>
              <w:rPr>
                <w:sz w:val="20"/>
                <w:szCs w:val="20"/>
                <w:color w:val="auto"/>
              </w:rPr>
            </w:pPr>
            <w:r>
              <w:rPr>
                <w:rFonts w:ascii="Arial" w:cs="Arial" w:eastAsia="Arial" w:hAnsi="Arial"/>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5.</w:t>
            </w:r>
          </w:p>
        </w:tc>
        <w:tc>
          <w:tcPr>
            <w:tcW w:w="9060" w:type="dxa"/>
            <w:vAlign w:val="bottom"/>
            <w:gridSpan w:val="20"/>
          </w:tcPr>
          <w:p>
            <w:pPr>
              <w:spacing w:after="0" w:line="184" w:lineRule="exact"/>
              <w:rPr>
                <w:rFonts w:ascii="Arial" w:cs="Arial" w:eastAsia="Arial" w:hAnsi="Arial"/>
                <w:sz w:val="18"/>
                <w:szCs w:val="18"/>
                <w:color w:val="0000EE"/>
              </w:rPr>
            </w:pPr>
            <w:hyperlink w:anchor="page36">
              <w:r>
                <w:rPr>
                  <w:rFonts w:ascii="Arial" w:cs="Arial" w:eastAsia="Arial" w:hAnsi="Arial"/>
                  <w:sz w:val="18"/>
                  <w:szCs w:val="18"/>
                  <w:color w:val="0000EE"/>
                </w:rPr>
                <w:t>Market for Registrant’s Common Equity, Related Stockholder Matters and Issuer Purchases of Equity Securities</w:t>
              </w:r>
            </w:hyperlink>
          </w:p>
        </w:tc>
        <w:tc>
          <w:tcPr>
            <w:tcW w:w="1360" w:type="dxa"/>
            <w:vAlign w:val="bottom"/>
          </w:tcPr>
          <w:p>
            <w:pPr>
              <w:jc w:val="right"/>
              <w:spacing w:after="0" w:line="184" w:lineRule="exact"/>
              <w:rPr>
                <w:sz w:val="20"/>
                <w:szCs w:val="20"/>
                <w:color w:val="auto"/>
              </w:rPr>
            </w:pPr>
            <w:r>
              <w:rPr>
                <w:rFonts w:ascii="Arial" w:cs="Arial" w:eastAsia="Arial" w:hAnsi="Arial"/>
                <w:sz w:val="18"/>
                <w:szCs w:val="18"/>
                <w:color w:val="auto"/>
              </w:rPr>
              <w:t>32</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7.</w:t>
            </w:r>
          </w:p>
        </w:tc>
        <w:tc>
          <w:tcPr>
            <w:tcW w:w="906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276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8.</w:t>
            </w:r>
          </w:p>
        </w:tc>
        <w:tc>
          <w:tcPr>
            <w:tcW w:w="9060" w:type="dxa"/>
            <w:vAlign w:val="bottom"/>
            <w:gridSpan w:val="2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Financial Statements and Selected Quarterly Financial Data</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10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w:t>
            </w:r>
          </w:p>
        </w:tc>
        <w:tc>
          <w:tcPr>
            <w:tcW w:w="9060" w:type="dxa"/>
            <w:vAlign w:val="bottom"/>
            <w:gridSpan w:val="2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Changes in and Disagreements with Accountants on Accounting and Financial Disclosure</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54">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1"/>
          </w:tcPr>
          <w:p>
            <w:pPr>
              <w:spacing w:after="0"/>
              <w:rPr>
                <w:sz w:val="24"/>
                <w:szCs w:val="24"/>
                <w:color w:val="auto"/>
              </w:rPr>
            </w:pPr>
          </w:p>
        </w:tc>
        <w:tc>
          <w:tcPr>
            <w:tcW w:w="2740" w:type="dxa"/>
            <w:vAlign w:val="bottom"/>
            <w:gridSpan w:val="3"/>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9B .</w:t>
            </w:r>
          </w:p>
        </w:tc>
        <w:tc>
          <w:tcPr>
            <w:tcW w:w="9060" w:type="dxa"/>
            <w:vAlign w:val="bottom"/>
            <w:gridSpan w:val="2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36"/>
        </w:trPr>
        <w:tc>
          <w:tcPr>
            <w:tcW w:w="1000" w:type="dxa"/>
            <w:vAlign w:val="bottom"/>
          </w:tcPr>
          <w:p>
            <w:pPr>
              <w:spacing w:after="0"/>
              <w:rPr>
                <w:sz w:val="20"/>
                <w:szCs w:val="20"/>
                <w:color w:val="auto"/>
              </w:rPr>
            </w:pPr>
            <w:r>
              <w:rPr>
                <w:rFonts w:ascii="Arial" w:cs="Arial" w:eastAsia="Arial" w:hAnsi="Arial"/>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10.</w:t>
            </w:r>
          </w:p>
        </w:tc>
        <w:tc>
          <w:tcPr>
            <w:tcW w:w="3540" w:type="dxa"/>
            <w:vAlign w:val="bottom"/>
            <w:tcBorders>
              <w:bottom w:val="single" w:sz="8" w:color="0000EE"/>
            </w:tcBorders>
            <w:gridSpan w:val="12"/>
          </w:tcPr>
          <w:p>
            <w:pPr>
              <w:spacing w:after="0" w:line="184"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Directors and Executive Officers of the Registrant</w:t>
              </w:r>
            </w:hyperlink>
          </w:p>
        </w:tc>
        <w:tc>
          <w:tcPr>
            <w:tcW w:w="5520" w:type="dxa"/>
            <w:vAlign w:val="bottom"/>
            <w:gridSpan w:val="8"/>
          </w:tcPr>
          <w:p>
            <w:pPr>
              <w:spacing w:after="0"/>
              <w:rPr>
                <w:sz w:val="15"/>
                <w:szCs w:val="15"/>
                <w:color w:val="auto"/>
              </w:rPr>
            </w:pPr>
          </w:p>
        </w:tc>
        <w:tc>
          <w:tcPr>
            <w:tcW w:w="1360" w:type="dxa"/>
            <w:vAlign w:val="bottom"/>
          </w:tcPr>
          <w:p>
            <w:pPr>
              <w:jc w:val="right"/>
              <w:spacing w:after="0" w:line="184" w:lineRule="exact"/>
              <w:rPr>
                <w:sz w:val="20"/>
                <w:szCs w:val="20"/>
                <w:color w:val="auto"/>
              </w:rPr>
            </w:pPr>
            <w:r>
              <w:rPr>
                <w:rFonts w:ascii="Arial" w:cs="Arial" w:eastAsia="Arial" w:hAnsi="Arial"/>
                <w:sz w:val="18"/>
                <w:szCs w:val="18"/>
                <w:color w:val="auto"/>
              </w:rPr>
              <w:t>52</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11.</w:t>
            </w:r>
          </w:p>
        </w:tc>
        <w:tc>
          <w:tcPr>
            <w:tcW w:w="9060" w:type="dxa"/>
            <w:vAlign w:val="bottom"/>
            <w:gridSpan w:val="2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Executive Compensation</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100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12.</w:t>
            </w:r>
          </w:p>
        </w:tc>
        <w:tc>
          <w:tcPr>
            <w:tcW w:w="9060" w:type="dxa"/>
            <w:vAlign w:val="bottom"/>
            <w:gridSpan w:val="2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Security Ownership of Certain Beneficial Owners and Management and Related Stockholder Matters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13.</w:t>
            </w:r>
          </w:p>
        </w:tc>
        <w:tc>
          <w:tcPr>
            <w:tcW w:w="33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7"/>
              </w:rPr>
            </w:pPr>
            <w:hyperlink w:anchor="page57">
              <w:r>
                <w:rPr>
                  <w:rFonts w:ascii="Arial" w:cs="Arial" w:eastAsia="Arial" w:hAnsi="Arial"/>
                  <w:sz w:val="18"/>
                  <w:szCs w:val="18"/>
                  <w:color w:val="0000EE"/>
                  <w:w w:val="87"/>
                </w:rPr>
                <w:t>Certain Relationships and Related Transactions</w:t>
              </w:r>
            </w:hyperlink>
          </w:p>
        </w:tc>
        <w:tc>
          <w:tcPr>
            <w:tcW w:w="3780" w:type="dxa"/>
            <w:vAlign w:val="bottom"/>
            <w:tcBorders>
              <w:top w:val="single" w:sz="8" w:color="0000EE"/>
            </w:tcBorders>
            <w:gridSpan w:val="7"/>
          </w:tcPr>
          <w:p>
            <w:pPr>
              <w:spacing w:after="0"/>
              <w:rPr>
                <w:sz w:val="24"/>
                <w:szCs w:val="24"/>
                <w:color w:val="auto"/>
              </w:rPr>
            </w:pPr>
          </w:p>
        </w:tc>
        <w:tc>
          <w:tcPr>
            <w:tcW w:w="1940" w:type="dxa"/>
            <w:vAlign w:val="bottom"/>
            <w:gridSpan w:val="2"/>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14.</w:t>
            </w:r>
          </w:p>
        </w:tc>
        <w:tc>
          <w:tcPr>
            <w:tcW w:w="9060" w:type="dxa"/>
            <w:vAlign w:val="bottom"/>
            <w:gridSpan w:val="2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Principal Accountant Fees and Services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36"/>
        </w:trPr>
        <w:tc>
          <w:tcPr>
            <w:tcW w:w="1000" w:type="dxa"/>
            <w:vAlign w:val="bottom"/>
          </w:tcPr>
          <w:p>
            <w:pPr>
              <w:spacing w:after="0"/>
              <w:rPr>
                <w:sz w:val="20"/>
                <w:szCs w:val="20"/>
                <w:color w:val="auto"/>
              </w:rPr>
            </w:pPr>
            <w:r>
              <w:rPr>
                <w:rFonts w:ascii="Arial" w:cs="Arial" w:eastAsia="Arial" w:hAnsi="Arial"/>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15.</w:t>
            </w:r>
          </w:p>
        </w:tc>
        <w:tc>
          <w:tcPr>
            <w:tcW w:w="9060" w:type="dxa"/>
            <w:vAlign w:val="bottom"/>
            <w:gridSpan w:val="20"/>
          </w:tcPr>
          <w:p>
            <w:pPr>
              <w:spacing w:after="0" w:line="184" w:lineRule="exact"/>
              <w:rPr>
                <w:rFonts w:ascii="Arial" w:cs="Arial" w:eastAsia="Arial" w:hAnsi="Arial"/>
                <w:sz w:val="18"/>
                <w:szCs w:val="18"/>
                <w:color w:val="0000EE"/>
              </w:rPr>
            </w:pPr>
            <w:hyperlink w:anchor="page58">
              <w:r>
                <w:rPr>
                  <w:rFonts w:ascii="Arial" w:cs="Arial" w:eastAsia="Arial" w:hAnsi="Arial"/>
                  <w:sz w:val="18"/>
                  <w:szCs w:val="18"/>
                  <w:color w:val="0000EE"/>
                </w:rPr>
                <w:t>Exhibits and Financial Statement Schedules</w:t>
              </w:r>
            </w:hyperlink>
          </w:p>
        </w:tc>
        <w:tc>
          <w:tcPr>
            <w:tcW w:w="1360" w:type="dxa"/>
            <w:vAlign w:val="bottom"/>
          </w:tcPr>
          <w:p>
            <w:pPr>
              <w:jc w:val="right"/>
              <w:spacing w:after="0" w:line="184" w:lineRule="exact"/>
              <w:rPr>
                <w:sz w:val="20"/>
                <w:szCs w:val="20"/>
                <w:color w:val="auto"/>
              </w:rPr>
            </w:pPr>
            <w:r>
              <w:rPr>
                <w:rFonts w:ascii="Arial" w:cs="Arial" w:eastAsia="Arial" w:hAnsi="Arial"/>
                <w:sz w:val="18"/>
                <w:szCs w:val="18"/>
                <w:color w:val="auto"/>
              </w:rPr>
              <w:t>54</w:t>
            </w: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This report on Form 10-K contains forward-looking statements within the meaning of Section 27A of the Securities Act of 1933, as amended, and Section 21E of the Securities Exchange Act of 1934, as amended. All statements other than historical or current facts, including, without limitation, statements about our business strategy, plans and objectives of management and our future prospects, are forward-looking statements. Although we believe that the expectations reflected in such forward-looking statements are reasonable, such forward-looking statements are subject to risks and uncertainties that could cause actual results to differ materially from these expectations. Such risks and uncertainties include, without limitation, the following:</w:t>
      </w:r>
    </w:p>
    <w:p>
      <w:pPr>
        <w:spacing w:after="0" w:line="35"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relationships with third parties;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for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and future operating results;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our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product offerings and sales channels;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benefits attributable to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technologies and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trends;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economic, business and regulatory conditions.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 captioned “Risk Factors” in Item 1A of this report as well as any cautionary language in this report, provide examples of risks, uncertainties and events that may cause our actual results to differ materially from the expectations we described in our forward-looking statements.</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66"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customers during electric utility disturbances. We believe that we are the first company to commercialize a flywheel energy storage system that provides a highly reliable, cost-effective and non-toxic replacement for the lead-acid batteries used in conventional power quality installations. Our first commercial product was a battery-free DC system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DC) that is used as a bridging energy source in typical power quality installations and is compatible with all major uninterruptible power supply (UPS) brands. Leveraging our expertise in this technology, we have also developed a battery-free UPS system that incorporates our flywheel technology. This system is marketed by us as the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It is also marketed by Caterpillar Inc., the leading maker of engine generators for the power reliability market, under the Caterpillar brand name “Cat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Between 2003 and 2005, we broadened our product offerings and expanded our available markets by developing additional flywheel UPS systems to address customer needs at both higher and lower power levels. Our family of battery-free UPS products range from 65 kVA – 1200 kVA. By paralleling our megawatt-class UPS (1000 kVA through 1200 kVA) systems together, we currently provide 2400 kVA UPS systems and are able to provide up to a 3600 kVA battery-free UPS system to customers. In addition, we also provide customers with continuous power systems (CPS), which are comprised of our UPS systems, third party ancillary equipment such as engine generators and transfer switches, and installation and start-up services.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2004 and 2005 we developed a battery-free extended runtime technology (one that provides backup power from minutes to hours depending on the application) that utilizes thermal and compressed air storage (“TACAS”). Our first product based on this TACAS technology is being marketed as CoolAir DC. CoolAir DC is initially targeted at lower power levels than our flywheel products, and is sold as a minute-for-minute replacement for lead-acid batteries. In December 2004, we shipped the first evaluation unit of this extended runtime product that is based on the TACAS technology. We shipped additional evaluation units throughout 2005 and formally launched this product for commercial sale in the fourth quarter of 2005. We recorded our first sale of a CoolAir DC in December 2005, and will begin commercial production in 2006. In addition, where customers desire a complete backup solution with an extended runtime, we have introduced the CoolAir UPS that couples our CoolAir DC product with a third party double-conversion UPS. We entered into a supply arrangement with a division of General Electric in 2005 to provide us with the UPS component of this product offering.</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products are sold for use in the facilities of companies across many different industries that all share a critical need for reliable, high-quality power, such as broadcasters, hospitals, credit card processing centers, semiconductor manufacturers, pharmaceutical manufacturers, plastics manufacturers, datacenters and electric utilities. Sales have been spread across many different countries from many regions of the world. Our primary markets are currently North America and Europe, Middle East and Africa (EMEA).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provide installation, start-up and repair services for our products under contracts with our customers.</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were founded as a Texas corporation in 1992. We began our efforts to develop a flywheel energy storage product for the power quality market in 1996 and subsequently changed our name from Magnetic Bearing Technologies, Inc. to Active Power, Inc. We re-incorporated in Delaware in 2000.</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Requirements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worldwide demand for high quality electricity continues to increase each year, driven in large part by growth in the use of computers and machinery which are making our world more automated, productive and efficient. The demand for high quality electricity exists across many industries and businesses, ranging from digital broadcasting stations to plastic extrusion facilities to datacenters.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this trend proliferates, the dependence on high quality and reliable power becomes paramount. However, despite this dramatic need for reliable power, the distribution system used to provide it has not improved. The power delivered over the electric utility grid today is subject to power disturbances, such as voltage sags and surges, and power outages. According to Lawrence Berkeley National Laboratory in a report prepared for the Department of Energy (November 2003), generally the longer the power outage, the greater the cost of the outage. However, their results do reveal an interesting deviation from the trend. For a one to two second outage in the commercial and industrial sectors, the cost per outage event of $23,097 is significantly higher than events on either side of the duration curve (i.e., voltage sag costs $15,601 per event while a one minute outage costs $12,944 per event). While 98% of power quality events are shorter than 15 seconds, the majority of them last less than two seconds, thus they can have significant financial and operational effects on companies requiring continual power. Leaving microprocessor-based commercial and industrial process machinery unprotected from these brief disturbances or fluctuations can have significant and negative effects on the commercial and industrial segments by damaging sensitive machinery or causing microprocessor-based equipment to become inoperable for lengthy periods of time and result in lost data or production</w:t>
      </w:r>
    </w:p>
    <w:p>
      <w:pPr>
        <w:spacing w:after="0" w:line="12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a follow on report for the Department of Energy by Lawrence Berkeley National Laboratories (September 2004), their findings suggest that the total annual costs of power interruptions can range from $30 billion to more than $130 billion. 98% of these costs are borne by the industrial and commercial markets. These costs tend to be driven by the frequency of events rather than the duration of events, thus momentary interruptions account for two thirds of the overall cost of power interruptions. As the use of power-sensitive equipment grows, preventing downtime due to power-related problems will become even more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93345</wp:posOffset>
            </wp:positionV>
            <wp:extent cx="5574030" cy="130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4030" cy="130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Electric utilities are dependent on the electric utility grid for transmission and distribution of electric power. The electric utility grid is unable to provide high quality, uninterrupted power due in large part to accidents, animal activity, being exposed to severe weather and other external events. While substantial upgrades and other investments could improve overall utility grid reliability, the level of power quality required for these sophisticated electronic applications is difficult to achieve without local uninterrupted power protection close to the point of use.</w:t>
      </w:r>
    </w:p>
    <w:p>
      <w:pPr>
        <w:spacing w:after="0" w:line="11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electrical power grid produces and delivers three-phase electrical power to its customers. Industrial users consume this three-phase power directly to energize their high power equipment. Most residential and some commercial users require much lower power levels and often use electricity with one phase that is derived from the three-phase grid. This is called single-phase power. The UPS industry serves both single and three-phase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Quality Systems: Uninterruptible Power Supplies and Continuous Power Systems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are a variety of solutions that attempt to overcome the deficiencies of power delivered by the electric utility grid. Conventional power quality systems have been constructed from an array of devices, including batteries for short-term power disturbances, engine generators (“gensets”) for longer-term outages, and electronics to control the two. Power electronics that continuously monitor and adjust, thereby smoothing out and maintaining frequency, are referred to as an uninterruptible power supply, or UPS. A UPS coupled with a short-term (seconds to minutes) energy storage device and a genset to protect against longer-term outages (minutes to hours or days) is referred to as a continuous power system, or CPS.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UPS protects sensitive systems from sags, surges and other temporary interruptions in utility-supplied power. A UPS consists of solid-state switches and electronics that are connected to both the electric utility grid and a short-term backup power source, typically lead-acid batteries. The UPS electronics monitor the power from the electric utility grid. If the UPS determines that the power being supplied from the grid is unacceptable or that insufficient power is being supplied, it will draw power from the backup power source to ensure uninterrupted quality power. These conventional backup power sources typically provide 5 to 15 minutes of backup power before the batteries are depleted.</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CPS provides backup power indefinitely. As described above, if the UPS determines that there is a power quality or power reliability problem, it initially switches to the short-term backup power source to provide power to the load. If, however, the disturbance lasts for an extended period (typically, more than 5 to 10 seconds), the CPS genset is activated and begins to provide backup power. The genset can remain operational for as long as it has adequate fuel. Internet service providers, data processing centers, semiconductor plants, hospitals and broadcast facilities all use CPSs to keep critical business equipment operating when electric utility grid power falters.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diagrams depict a conventional UPS and CPS: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Conventional UPS and CPS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Conventional battery-based UPS and CPS devices have evolved out of a makeshift combination of diesel engines, generators, lead-acid based batteries and UPS electronics. We believe that this patchwork approach to UPS and CPS has resulted in systems that are less efficient, less reliable and more expensive than necessary. The lead-acid batteries that provide “ride-through,” or short-term backup power, for the UPS and CPS, are the most unreliable and most costly element of conventional power quality and reliability solutions. Lead-acid batteries have numerous problems, including: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Reliability</w:t>
      </w:r>
    </w:p>
    <w:p>
      <w:pPr>
        <w:spacing w:after="0" w:line="90" w:lineRule="exact"/>
        <w:rPr>
          <w:sz w:val="20"/>
          <w:szCs w:val="20"/>
          <w:color w:val="auto"/>
        </w:rPr>
      </w:pPr>
    </w:p>
    <w:p>
      <w:pPr>
        <w:ind w:left="7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Relatively high failure rate—Batteries are deployed in strings (several battery cells connected in series) and have high failure rates due to heat build-up and acid leaks, among other reasons.</w:t>
      </w:r>
    </w:p>
    <w:p>
      <w:pPr>
        <w:spacing w:after="0" w:line="5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life based on usage—When batteries are repeatedly used at close to their maximum power output, their power output capacity can rapidly decrease, reducing the batteries’ effectiveness over time.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w:t>
      </w:r>
    </w:p>
    <w:p>
      <w:pPr>
        <w:spacing w:after="0" w:line="90" w:lineRule="exact"/>
        <w:rPr>
          <w:sz w:val="20"/>
          <w:szCs w:val="20"/>
          <w:color w:val="auto"/>
        </w:rPr>
      </w:pPr>
    </w:p>
    <w:p>
      <w:pPr>
        <w:ind w:left="780" w:right="1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Frequent replacement required—Regardless of usage, batteries have a limited useful life and must be replaced every 2 to 7 years, depending upon the type of battery, its use, environment and other factors.</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maintenance—Batteries must be regularly inspected, generally every three months, to detect problems. Batteries also require periodic testing to determine their power output capacity, which degrades over time.</w:t>
      </w:r>
    </w:p>
    <w:p>
      <w:pPr>
        <w:spacing w:after="0" w:line="5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Bulky—Generally, multiple batteries forming banks or strings must be used to support UPS functions. Batteries therefore can consume valuable space which otherwise could be allocated to revenue generating equipment.</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Temperature sensitivity—Unless cooled and ventilated by costly air conditioning systems, battery life will rapidly degrade.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Environmental</w:t>
      </w:r>
    </w:p>
    <w:p>
      <w:pPr>
        <w:spacing w:after="0" w:line="90"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Toxicity—Batteries contain toxic materials such as lead and sulfuric acid.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Disposal—State and federal environmental regulations governing battery disposal are rigorous and costly.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Power’s Products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Rather than adopt conventional approaches to power quality systems, we design new solutions specifically for the 3-phase power quality market which typically use 20kW or more of electrical power. As a result, we believe that we create products that are less expensive, more efficient and more reliable than other power systems presently available. We now offer a complete product portfolio to cover a wide range of power and runtime needs.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DC</w:t>
      </w:r>
    </w:p>
    <w:p>
      <w:pPr>
        <w:spacing w:after="0" w:line="4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CleanSource DC is the first commercially viable, non-chemical replacement for lead-acid batteries used for short-term backup power in power quality installations. As opposed to the chemical energy stored by batteries, our patented flywheel energy storage system stores kinetic energy by spinning constantly in a patented low-friction environment. When the UPS electronics detect a power disturbance, CleanSource DC draws upon the power stored as kinetic energy in the flywheel to generate backup power. Our CleanSource flywheel energy storage system is compact, quiet and has demonstrated field proven reliability. The CleanSource DC is compatible with all major brands of UPS.</w:t>
      </w:r>
    </w:p>
    <w:p>
      <w:pPr>
        <w:spacing w:after="0" w:line="14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CleanSource DC can operate in conjunction with or can replace battery strings used in UPS and CPS systems. It can also replace the batteries now used with fuel cells and microturbines to meet peak power demands. This system is available in a variety of delivered power ratings up to 500 kW per flywheel system. We also can configure the units in parallel to meet higher power requirements. CleanSource DC has been designed for much longer service intervals and more extreme operating environments than typical lead-acid battery installations. Our first CleanSource DC unit has been in continual service since March 1997. Our installed CleanSource DC units have accumulated over 6 million hours of field proven reliability through December 31, 2005. The CleanSource DC comprised approximately 13% of our total revenue during 2005.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UPS</w:t>
      </w:r>
    </w:p>
    <w:p>
      <w:pPr>
        <w:spacing w:after="0" w:line="46"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We built on the technological success of CleanSource DC by creating a battery-free UPS, CleanSource UPS, which represents the majority of our current revenues. Instead of a UPS and string of batteries in two separate cabinets, we have integrated the UPS electronics and our flywheel energy storage system into one compact cabinet. Our installed CleanSource UPS units have accumulated over 11 million hours of field operation at December 31, 2005. The CleanSource UPS comprised approximately 69% of our total revenue during 2005.</w:t>
      </w:r>
    </w:p>
    <w:p>
      <w:pPr>
        <w:spacing w:after="0" w:line="14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CleanSource UPS design takes advantage of the many component similarities between CleanSource DC and standard UPS electronics. Each system requires power conversion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332" w:lineRule="auto"/>
        <w:rPr>
          <w:sz w:val="20"/>
          <w:szCs w:val="20"/>
          <w:color w:val="auto"/>
        </w:rPr>
      </w:pPr>
      <w:r>
        <w:rPr>
          <w:rFonts w:ascii="Arial" w:cs="Arial" w:eastAsia="Arial" w:hAnsi="Arial"/>
          <w:sz w:val="16"/>
          <w:szCs w:val="16"/>
          <w:color w:val="auto"/>
        </w:rPr>
        <w:t>electronics, fans for cooling, a frame for structural support, a user display with data reporting capability, and other overlapping functions. By combining these functions into a single system, as shown in the figure below, we can provide a highly reliable power quality solution while achieving significant cost savings.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111125</wp:posOffset>
            </wp:positionV>
            <wp:extent cx="3009900" cy="20840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990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Due to its unique design, CleanSource UPS can be competitively priced versus the installed cost of a conventional battery-based UPS. Due to its high efficiency, small footprint and long service life, we believe that the total cost of ownership of CleanSource UPS, which includes the purchase price, installation, maintenance and energy costs accumulated over a ten year period, is less than half of that of conventional battery-based UPS systems. We designed CleanSource UPS to be compatible with new and installed standby generators, extending their application to use in a CPS. The power range offerings of our CleanSource UPS product line is currently at 65 kVA – 2400 kVA and can be paralleled up to 3600 kVA.</w:t>
      </w:r>
    </w:p>
    <w:p>
      <w:pPr>
        <w:spacing w:after="0" w:line="116"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Our megawatt-class CleanSource UPS platform can be deployed in parallel configurations to provide up to a 3600 kVA power quality system. The customers of high power UPS systems demand that they be highly configurable. We believe that the ability to parallel our high power UPS will allow us to address the multi-megawatt market for power quality equipment by offering our customers a large building block, thereby requiring fewer UPS systems, to address their multi-megawatt power quality needs. We installed our first paralleled megawatt-class UPS system in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DC</w:t>
      </w:r>
    </w:p>
    <w:p>
      <w:pPr>
        <w:spacing w:after="0" w:line="4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developed a battery-free extended runtime technology (one that provides backup power for minutes to hours depending on the application) that utilizes TACAS. While CoolAir DC provides extended runtimes similar to those of batteries, it does so without any of their inherent limitations related to reliability, manageability and maintainability. CoolAir DC utilizes simple mechanical components that combine to produce a predictable and reliable source of DC power that does not degrade over time. In addition, CoolAir DC has the capability to provide backup cooling that has become an important requirement of today’s datacenters because of the ever-increasing power densities. In December 2004, we shipped an evaluation unit of our first extended runtime product that is based on the TACAS technology. We shipped additional evaluation units throughout 2005, and formally launched this product for commercial sale in the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of 2005. We recorded our first sale of a CoolAir DC in December 2005, and will begin commercial production during 2006.</w:t>
      </w:r>
    </w:p>
    <w:p>
      <w:pPr>
        <w:spacing w:after="0" w:line="17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CoolAir DC was developed to meet the needs of segments of the market where customers require minutes to hours of backup power because they typically do not have backup generators. Similarly, this market segment does not typically have their HVAC system on backup power, meaning that during an outage critical equipment is not being cooled, even if it has backup power. Thus, having the CoolAir DC expel cool air during a discharge is of value to these customers by reducing the chance of thermal shutdown and allowing critical equipment to run for a longer duration in the event of an extended power outage. CoolAir DC is flexible in its configuration and can easily extend the runtime by simply adding more compressed air tanks. Applications demanding such extended runtime are, for example, the mid-range UPS market (roughly defined as five to 200 kVA), where 15 minutes of backup power is required to allow the customer a graceful shutdown of its critical equipment The CoolAir DC system is available for a power rating from 32 to 80 kW. In 2006, we plan to electrically parallel CoolAir DC units together in order to provide customers a higher power solution.</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CoolAir DC has lower lifecycle costs than batteries due to its projected 20 year lifespan, as well as low maintenance and replacement requirements. In some instances, the initial cost of CoolAir DC may be higher than batteries for a customer. To help mitigate this financial impact on customers, we intend to offer customers a usage or rental option in addition to the ability to purchase. The usage option, in essence, spreads out the payments over an agreed upon term, and offers customers a consistent, predictable cost over time. The CoolAir DC can be sold with a UPS or into existing UPS installations to simply replace lead-acid batteries.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CoolAir™ UPS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 provide the fastest route to market for a complete UPS solution for our customers requiring extended runtime, we have teamed with a division of General Electric Corporation (“GE”) to provide an Active Power-branded UPS, which is marketed as CoolAir UPS. This CoolAir UPS solution leverages the TACAS technology and simply couples the CoolAir DC unit with a GE sourced double-conversion UPS. We can also sell the GE-sourced double conversion UPS directly to customers without the CoolAir DC.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goal is to become a leading supplier of battery-free 3-phase power quality and reliability equipment and services. Key elements of our strategy include: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 and Manufacture Optimal Solutions For Targeted Markets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design products for specific needs in the 3-phase power markets. Our first products, CleanSource DC and CleanSource UPS, put this principle into practice. With CleanSource DC, we created a flywheel product to meet the specific runtime and power needs of the 3-phase UPS market. In so doing, we overcame the design constraints that had hampered preceding flywheel programs and produced the first commercially viable alternative to lead-acid batteries. We built on the success of CleanSource DC by developing our second product, the CleanSource UPS, 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specifically address the market’s growing demand for compact and reliable power protection. We leveraged our market knowledge and our expertise in battery-free energy storage to develop our CoolAir product line to address those markets where customers want minutes to hours of backup power runtime. We intend to continue to identify market needs for the power industry and design products to address those specific needs.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state of the art manufacturing facility enables us to fabricate certain components, as well as the assembly, functional testing and quality control of our finished products.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continue to optimize our designs for simplicity and low cost. We will continue with cost reductions to ensure a competitively priced solution.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Our Core Technologies to Develop Next Generation Products</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We intend to continue to use our expertise in power electronics and advanced electromechanical technologies, combined with an integrated solutions approach to developing new products, to create innovative products that lower the cost and increase the quality of electric power.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Distribute and Market Our Products and Services Through Multiple Channels</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currently sell our products through multiple channels. We sell our high power CleanSource UPS products and our CleanSource DC products through leading original equipment manufacturer, or OEM, customers, as well as though our own Active Power branded sales channel.</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believe that the OEM sales channel enables us to rapidly introduce our products into established customer and dealer networks and promote the adoption of our innovative technologies. The OEM customers also give our technology credibility and accelerate its acceptance with end-user customers. To date, our most important OEM relationship is with Caterpillar, a worldwide distributor of the CleanSource UPS product line. Additionally, we have consolidated the domestic OEM distribution of our CleanSource DC product with a leading UPS company, Eaton Powerware.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Active Power branded sales channel consists of direct sales employees, sales agents and manufacturer’s representatives throughout North America and in several other global regions. This Active Power branded sales and distribution channel has increased our end-user interaction and allowed us to serve regions and customers not covered by our OEM customers. We believe this multiple channel distribution model provides us the broadest market coverage and gives us the best opportunity to efficiently maximize customer awareness and sell our products. We intend to increase our coverage via more manufacturer’s representatives as well as enlarging our direct sales force, both domestically and abroad. Internationally, we rely on our OEM customers such as Caterpillar, Fuji Electric (in Japan) and Vega Power (ASEA E&amp;T) (in Korea) to sell our products. In addition, similar to our domestic strategy we have broadened our market reach by selling directly into countries that are not covered by our OEM customers.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intend to further support our sales channels by increasing our marketing focus. We believe a structured approach is necessary to create an integrated marketing plan, so that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go-to-market tactics support each channel, for each product, for each geography. We expect greater sales success given more sales tools, more lead generation, and more brand awareness.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intend to expand our Services business by growing our offerings, expanding our coverage, and by adding Service personnel, both directly and through partnerships. We also believe that increased sales through our Active Power branded sales channel will increase our Services business due to better account control.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Outsource Components to Rapidly Scale Manufacturing</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intend to continue to outsource the manufacturing of a significant number of our non-proprietary hardware and electronics components by maintaining and building on multiple supplier relationships so that we can respond quickly to significant increases in demand. We intend to internally focus on the final assembly and testing of our products, which we anticipate will decrease production cycle times and increase volume production capability.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Aggressively Protect Our Intellectual Property</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seek to aggressively identify and protect our key intellectual property, primarily through the use of patents. We believe that a policy of actively protecting intellectual property is an important component of our strategy to serve as a leading innovator in power quality technology and will provide us with a long-term competitive advantage.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9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A 2004 study by the Lawrence Berkeley National Laboratory estimated that electric power disturbances annually cost the U.S. between $30 and $130 billion. According to industry sources, businesses are spending billions annually on power quality and reliability products in an attempt to prevent these losses. According to a 2004 Frost and Sullivan report, the overall worldwide UPS market exceeds $5 billion. Our existing products, and products currently under development, are targeted at the three phase market covering 20 kVA and higher, estimated to make up nearly half of the $5.0 billion total. We believe that our products are superior alternatives or improvements to conventional UPS and CPS products and should be able to penetrate this segment of the power quality industry. To capture more of the UPS market during 2005, we expanded our product line by adding products that focus on the lower power segments of the market with longer runtime options. With our current product portfolio, we intend to focus on the following opportunities: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Industrial</w:t>
      </w:r>
      <w:r>
        <w:rPr>
          <w:rFonts w:ascii="Arial" w:cs="Arial" w:eastAsia="Arial" w:hAnsi="Arial"/>
          <w:sz w:val="16"/>
          <w:szCs w:val="16"/>
          <w:color w:val="auto"/>
        </w:rPr>
        <w:t>. A 2004 Lawrence Berkeley National Laboratory study on U.S. power disruption costs estimated that 26% of the total cost of power disturbances</w:t>
      </w:r>
      <w:r>
        <w:rPr>
          <w:rFonts w:ascii="Arial" w:cs="Arial" w:eastAsia="Arial" w:hAnsi="Arial"/>
          <w:sz w:val="16"/>
          <w:szCs w:val="16"/>
          <w:i w:val="1"/>
          <w:iCs w:val="1"/>
          <w:color w:val="auto"/>
        </w:rPr>
        <w:t xml:space="preserve"> </w:t>
      </w:r>
      <w:r>
        <w:rPr>
          <w:rFonts w:ascii="Arial" w:cs="Arial" w:eastAsia="Arial" w:hAnsi="Arial"/>
          <w:sz w:val="16"/>
          <w:szCs w:val="16"/>
          <w:color w:val="auto"/>
        </w:rPr>
        <w:t>were borne by the industrial sector. Exacerbating this problem, manufacturing organizations are employing increasing levels of automation, especially process and machine control, communications and computerized optimization of material flow. Brief power disturbances result in lost material, lost data and worker and plant down time, and can be very expensive. Industries with the potential to suffer significant loss from power disturbances include semiconductor and pharmaceutical manufacturing, textiles, batch processing and precision machining. Moreover, the environments of many industrial applications can be severe, and our flywheel-based products are much more capable of operating in these conditions than battery-based systems.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Commercial Facilities</w:t>
      </w:r>
      <w:r>
        <w:rPr>
          <w:rFonts w:ascii="Arial" w:cs="Arial" w:eastAsia="Arial" w:hAnsi="Arial"/>
          <w:sz w:val="16"/>
          <w:szCs w:val="16"/>
          <w:color w:val="auto"/>
        </w:rPr>
        <w:t>. In the same Lawrence Berkeley study, the results reveal that 72% of the costs of power disturbances impact the commercial sector.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Many commercial facilities such as office buildings, hospitals, broadcast TV and government facilities have a large and growing number of computers or servers.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Historically, these businesses and their personal computer networks have been unprotected from power disturbances or have only been spot-protected. A single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CleanSource UPS system can protect as few as 200 PCs more cost-effectively than many small PC UPS products.</w:t>
      </w:r>
    </w:p>
    <w:p>
      <w:pPr>
        <w:spacing w:after="0" w:line="165"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i w:val="1"/>
          <w:iCs w:val="1"/>
          <w:color w:val="auto"/>
        </w:rPr>
        <w:t xml:space="preserve">High Power Installations. </w:t>
      </w:r>
      <w:r>
        <w:rPr>
          <w:rFonts w:ascii="Arial" w:cs="Arial" w:eastAsia="Arial" w:hAnsi="Arial"/>
          <w:sz w:val="15"/>
          <w:szCs w:val="15"/>
          <w:color w:val="auto"/>
        </w:rPr>
        <w:t>With our megawatt-class UPS family of products, we have a competitive product for the mega-watt class UPS market. High</w:t>
      </w:r>
      <w:r>
        <w:rPr>
          <w:rFonts w:ascii="Arial" w:cs="Arial" w:eastAsia="Arial" w:hAnsi="Arial"/>
          <w:sz w:val="15"/>
          <w:szCs w:val="15"/>
          <w:i w:val="1"/>
          <w:iCs w:val="1"/>
          <w:color w:val="auto"/>
        </w:rPr>
        <w:t xml:space="preserve"> </w:t>
      </w:r>
      <w:r>
        <w:rPr>
          <w:rFonts w:ascii="Arial" w:cs="Arial" w:eastAsia="Arial" w:hAnsi="Arial"/>
          <w:sz w:val="15"/>
          <w:szCs w:val="15"/>
          <w:color w:val="auto"/>
        </w:rPr>
        <w:t>power installations are not limited to any one particular industry, but, by way of example, can include semiconductor plants, large hospital or medical complexes, large industrial manufacturing plants, large data centers and airports. Our megawatt-class UPS platform allows us to compete for large system deals where there are fewer competitors. Furthermore, because batteries are typically not as practical in high power installations, customers are more likely to be comfortable with our products because they are already familiar with battery-free alternative technologies such as flywheels and more likely to be using a backup generator.</w:t>
      </w:r>
    </w:p>
    <w:p>
      <w:pPr>
        <w:spacing w:after="0" w:line="10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Extended Run-Time Applications. </w:t>
      </w:r>
      <w:r>
        <w:rPr>
          <w:rFonts w:ascii="Arial" w:cs="Arial" w:eastAsia="Arial" w:hAnsi="Arial"/>
          <w:sz w:val="16"/>
          <w:szCs w:val="16"/>
          <w:color w:val="auto"/>
        </w:rPr>
        <w:t>As we enter into commercial production of CoolAir DC, we will focus on the mid-range 3-phase UPS market. Because</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product can provide a minute-for-minute replacement for batteries, our product will be sold to the very same customers that currently buy battery-based UPS systems. Specifically, a large portion of the five to 200 kVA UPS market does not have a backup generator. These customers need five to 15 minutes of runtime from the energy storage system, and can benefit from additional cooling as HVAC systems typically are not on backup power.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Caterpillar – UPS Distributor</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1999 we established a strategic relationship with Caterpillar, pursuant to which we granted Caterpillar the worldwide right to distribute many of our CleanSource UPS products under the “Cat UPS” brand name. Caterpillar is a market leader in new genset sales and has the largest installed base of existing standby generators in the world. By offering the Cat UPS with a standby genset, Caterpillar can transform a standby power system into a CPS. The combined solution reduces maintenance costs and increases reliability relative to traditional CPS products. Moreover, because Caterpillar’s product line now includes both a UPS and a genset, Caterpillar is now selling, installing and servicing a complete CPS under a single brand name. We believe that this total solution gives both Caterpillar and Active Power a significant competitive advantage in the power quality market.</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UPS Development Agreement</w:t>
      </w:r>
      <w:r>
        <w:rPr>
          <w:rFonts w:ascii="Arial" w:cs="Arial" w:eastAsia="Arial" w:hAnsi="Arial"/>
          <w:sz w:val="16"/>
          <w:szCs w:val="16"/>
          <w:color w:val="auto"/>
        </w:rPr>
        <w:t>. We entered into a development agreement with Caterpillar in January 1999 for the creation and distribution of Cat UPS</w:t>
      </w:r>
      <w:r>
        <w:rPr>
          <w:rFonts w:ascii="Arial" w:cs="Arial" w:eastAsia="Arial" w:hAnsi="Arial"/>
          <w:sz w:val="16"/>
          <w:szCs w:val="16"/>
          <w:i w:val="1"/>
          <w:iCs w:val="1"/>
          <w:color w:val="auto"/>
        </w:rPr>
        <w:t xml:space="preserve"> </w:t>
      </w:r>
      <w:r>
        <w:rPr>
          <w:rFonts w:ascii="Arial" w:cs="Arial" w:eastAsia="Arial" w:hAnsi="Arial"/>
          <w:sz w:val="16"/>
          <w:szCs w:val="16"/>
          <w:color w:val="auto"/>
        </w:rPr>
        <w:t>marketed under the Caterpillar brand name. Under the development agreement, Caterpillar provided us with $5.0 million in funding to support the initial development of the Cat UPS. In 2001 Caterpillar agreed to provide us with another $5.0 million in funding for the development of a high power platform that will complement the Cat UPS. During 2002 we completed the remaining development milestones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associated with the $5.0 million in funding and collected the final four $1.0 million development payments. We began shipments of this new high power UPS in the third quarter of 2003.</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While we retained sole ownership of the underlying flywheel energy storage technology, we jointly own with Caterpillar intellectual property directed to the integration of UPS electronics with CleanSource DC. Either we or Caterpillar may license to others the intellectual property that we jointly own without seeking the consent of the other and the licensing party will solely retain all licensing revenue generated by licensing the joint intellectual property. However, we may not license the joint intellectual property to specifically identified competitors of Caterpillar until January 1, 2007. To date neither party has licensed the technology to a third party.</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Distribution Agreement</w:t>
      </w:r>
      <w:r>
        <w:rPr>
          <w:rFonts w:ascii="Arial" w:cs="Arial" w:eastAsia="Arial" w:hAnsi="Arial"/>
          <w:sz w:val="18"/>
          <w:szCs w:val="18"/>
          <w:color w:val="auto"/>
        </w:rPr>
        <w:t>. We also have a distribution agreement with Caterpillar. During 2005, 2004, and 2003, we received approximately 42%, 54% and</w:t>
      </w:r>
      <w:r>
        <w:rPr>
          <w:rFonts w:ascii="Arial" w:cs="Arial" w:eastAsia="Arial" w:hAnsi="Arial"/>
          <w:sz w:val="18"/>
          <w:szCs w:val="18"/>
          <w:i w:val="1"/>
          <w:iCs w:val="1"/>
          <w:color w:val="auto"/>
        </w:rPr>
        <w:t xml:space="preserve"> </w:t>
      </w:r>
      <w:r>
        <w:rPr>
          <w:rFonts w:ascii="Arial" w:cs="Arial" w:eastAsia="Arial" w:hAnsi="Arial"/>
          <w:sz w:val="18"/>
          <w:szCs w:val="18"/>
          <w:color w:val="auto"/>
        </w:rPr>
        <w:t>60%, respectively, of our product revenue from Caterpillar and its dealer network under this agreement. The principal provisions of this agreement are summarized below:</w:t>
      </w:r>
    </w:p>
    <w:p>
      <w:pPr>
        <w:spacing w:after="0" w:line="59"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Caterpillar has semi-exclusive worldwide rights to distribute Cat UPS under the Caterpillar brand name;</w:t>
      </w:r>
    </w:p>
    <w:p>
      <w:pPr>
        <w:spacing w:after="0" w:line="90" w:lineRule="exact"/>
        <w:rPr>
          <w:rFonts w:ascii="Arial" w:cs="Arial" w:eastAsia="Arial" w:hAnsi="Arial"/>
          <w:sz w:val="18"/>
          <w:szCs w:val="18"/>
          <w:color w:val="auto"/>
        </w:rPr>
      </w:pPr>
    </w:p>
    <w:p>
      <w:pPr>
        <w:ind w:left="780" w:right="420" w:hanging="326"/>
        <w:spacing w:after="0" w:line="332"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Caterpillar meets minimum semi-annual sales requirements, we will not sell Cat UPS to specifically identified competitors of Caterpillar until January 1, 2007 or the termination of the distribution agreement (Caterpillar has not met the minimum annual sales requirements); and</w:t>
      </w:r>
    </w:p>
    <w:p>
      <w:pPr>
        <w:spacing w:after="0" w:line="4" w:lineRule="exact"/>
        <w:rPr>
          <w:rFonts w:ascii="Arial" w:cs="Arial" w:eastAsia="Arial" w:hAnsi="Arial"/>
          <w:sz w:val="16"/>
          <w:szCs w:val="16"/>
          <w:color w:val="auto"/>
        </w:rPr>
      </w:pPr>
    </w:p>
    <w:p>
      <w:pPr>
        <w:ind w:left="780" w:right="14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provide Caterpillar the same warranty Caterpillar provides to its customers who purchase electric power generation products (one year from delivery to the end-user).</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Under our existing agreement, Caterpillar may continue to distribute Cat UPS until January 1, 2007. At such time the agreement will continue for additional six-month periods unless either party provides to the other, within ninety days of the end of a period, written notice of its decision not to renew the distribution agreement. The agreement may also be terminated by Caterpillar if we fail to cure any material breach by us, if the Cat UPS we manufacture consistently and materially fails to meet our published specifications, or if we substantially and continuously fail to meet agreed shipment dates for products ordered by Caterpillar. Finally, either party may terminate the agreement in the event of a change in control of the other. To date, sales by Caterpillar have been well short of the contractual minimums necessary for Caterpillar to retain semi-exclusivity; however, we have continued to work with Caterpillar as our primary UPS OEM customer and have not sold the UPS to any of Caterpillar’s identified competitors.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CleanSource DC Distributors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Eaton Powerware</w:t>
      </w:r>
      <w:r>
        <w:rPr>
          <w:rFonts w:ascii="Arial" w:cs="Arial" w:eastAsia="Arial" w:hAnsi="Arial"/>
          <w:sz w:val="18"/>
          <w:szCs w:val="18"/>
          <w:color w:val="auto"/>
        </w:rPr>
        <w:t>. In addition to our direct distribution of the CleanSource DC products, we also sell these products through OEM customers domestically</w:t>
      </w:r>
      <w:r>
        <w:rPr>
          <w:rFonts w:ascii="Arial" w:cs="Arial" w:eastAsia="Arial" w:hAnsi="Arial"/>
          <w:sz w:val="18"/>
          <w:szCs w:val="18"/>
          <w:i w:val="1"/>
          <w:iCs w:val="1"/>
          <w:color w:val="auto"/>
        </w:rPr>
        <w:t xml:space="preserve"> </w:t>
      </w:r>
      <w:r>
        <w:rPr>
          <w:rFonts w:ascii="Arial" w:cs="Arial" w:eastAsia="Arial" w:hAnsi="Arial"/>
          <w:sz w:val="18"/>
          <w:szCs w:val="18"/>
          <w:color w:val="auto"/>
        </w:rPr>
        <w:t>and abroad. Eaton Powerware is a global leader in power systems technology and has a broad range of UPS products and services available worldwide. Eaton Powerware sells and services the CleanSource DC product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with its uninterruptible power systems, delivering a battery-free power solution. Eaton Powerware has a well established sales and service network that allows it to provide an effective sales channel and quality service to our end-users around the world.</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GE Consumer and Industrial (formerly GE Digital Energy)</w:t>
      </w:r>
      <w:r>
        <w:rPr>
          <w:rFonts w:ascii="Arial" w:cs="Arial" w:eastAsia="Arial" w:hAnsi="Arial"/>
          <w:sz w:val="16"/>
          <w:szCs w:val="16"/>
          <w:color w:val="auto"/>
        </w:rPr>
        <w:t>. We have a purchase agreement with a division of General Electric responsible for power</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equipment. GE has the non-exclusive right to purchase and sell our CleanSource DC products. Sales of our products through this channel were negligible in 2005; however, we are anticipating additional sales of our CleanSource DC products through this channel in 2006.</w:t>
      </w:r>
    </w:p>
    <w:p>
      <w:pPr>
        <w:spacing w:after="0" w:line="10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to Eaton Powerware and GE, we have distribution agreements with other OEM customers that seek to address other geographical areas (e.g., Japan and The Republic of South Korea). To date, however, none of these distributors have generated significant revenue for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Sourcing Agreement</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2005, GE Zenith Controls and Active Power entered into a long term supply agreement for uninterruptible power supplies and related accessories. This agreement allows us to buy and resell GE’s 60 Hz double-conversion UPS line in North America. Our current plan is to sell these GE UPS systems along side our CoolAir DC product through our direct and manufacturer’s representative sales channels.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Support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last several years our sales activity was focused principally on training and supporting our OEM customers. Since 2000 we have hosted numerous Caterpillar dealers and Eaton Powerware sales representatives to promote awareness of our UPS and DC products and to demonstrate the capabilities and market opportunities of these products. We further implemented several programs aimed at increasing OEM engagement and focusing on selling our products. We also conduct regular intensive sales programs in conjunction with our OEM customers throughout the United States and in Europe. These sales programs were used to increase product awareness and to generate sales leads for the OEM customer.</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continued to expand our distribution channels throughout 2005, which has increased product acceptance and helped us build upon the success of our established OEM channels. We complement our OEM channels by using manufacturer’s representatives, direct sales employees and sales agents for certain products and geographic regions to increase our market coverage. In addition, we are also growing our direct sales force, who are geographically dispersed to not only assist our channel partners in their sales efforts, but also to focus on national accounts.</w:t>
      </w:r>
    </w:p>
    <w:p>
      <w:pPr>
        <w:spacing w:after="0" w:line="113"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Our marketing efforts focus on developing and sustaining key relationships with our channel partners, participating in trade shows to promote and launch our products, and training the salespeople employed by our channel partners. We also work with OEM partners on promotional activities such as advertising development, direct mail and seminar strategies. We use our marketing resources to stimulate end-user sales through trade press articles, participation</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 industry conferences and limited direct mail to specific power quality customers. In 2005 we increased our marketing efforts in support of our manufacturer’s representatives and more actively promoted our Active Power branded products through trade show and conference appearances.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Support</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Similar to our sales and marketing activities, 2005 focused on educating and training our OEM customers on the service and maintenance of our products. We believe their engagement will reduce the need for a large internal support organization by enabling our OEMs to provide installation, service and primary support to their customers. We also trained personnel from third party service organizations, who provide service support for our Active Power branded channel in areas where it is impractical or inefficient to staff with an Active Power employee. The training programs are hosted at our Austin, Texas location where we have a sophisticated training facility, and where the service people can get hands on experience working on our products. All of our OEM customers must be certified by Active Power in order to service our products.</w:t>
      </w:r>
    </w:p>
    <w:p>
      <w:pPr>
        <w:spacing w:after="0" w:line="120"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In 2006 we anticipate that our service organization will become more focused on generating revenue through the sale of Active Power service contracts. Our OEM customers sell service contracts for our products that they sell and, therefore, our service department has historically focused on training those OEM customers. As the Active Power branded channel continues to grow, we anticipate that we will increase our service revenue. We believe that in 2006 our service organization will continue its shift in focus from OEM support to revenue generation.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Up to 2003 our primary customers were OEMs. Our most significant OEM customer has been and continues to be Caterpillar, which distributes CleanSource UPS under its own brand name.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2004 and 2005 we continued to make progress with our Active Power branded sales channel by selling CleanSource UPS and DC products directly and through manufacturer’s representatives throughout North America and in several other global regions. This sales and distribution channel has increased our end-user interaction and allowed us to respond to customer needs more quickly. Our Active Power branded sales channel contributed 49% of our revenues during 2005, as compared to 40% in 2004 and 25% in 2003. We believe this multiple channel distribution model provides us the broadest market coverage and gives us the best opportunity to maximize customer awareness and sell our products. We intend to continue to evaluate selected development and distribution partnerships to develop and distribute our products into selected markets in order to achieve broad market penetration.</w:t>
      </w:r>
    </w:p>
    <w:p>
      <w:pPr>
        <w:spacing w:after="0" w:line="120"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End use industries for our products include airports, plastics manufacturers, hospitals, paper products manufacturers, credit card processors, advanced datacenters, broadcasters, semiconductor manufacturers, pharmaceutical manufacturers, casinos and electric utilities. We see this broad industry application continuing through 2006, as we believe that our products address the power quality requirements of a wide range of industries. We further believe that the</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CoolAir DC will provide us additional inroads into these, as well as other, markets, such as the small to mid-sized datacenter market.</w:t>
      </w:r>
    </w:p>
    <w:p>
      <w:pPr>
        <w:spacing w:after="0" w:line="171"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During 2005, 2004 and 2003, Caterpillar and its dealer network accounted for 42%, 54% and 60%, respectively, of our total revenue. One other customer, to whom we sold directly, located in Africa accounted for 10%, 26% and 4% of revenue in 2005, 2004 and 2003, respectively. No other customer accounted for more than 10% of our revenue during 2005, 2004 and 2003. Due to our distribution agreement with Caterpillar, we anticipate that revenue from Caterpillar will continue to comprise the largest single percentage of our revenue from any customer in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Flywheel Energy Storage System</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patented flywheel energy storage system stores kinetic energy — energy produced by motion — by constantly spinning a compact rotor in a low-friction environment. When the user requires short-term backup power — i.e., when the electric power used to spin the flywheel fluctuates or is lost — the wheel’s inertia causes it to continue spinning. The resulting kinetic energy of the spinning flywheel generates electricity for short periods. We believe that, relative to other energy storage alternatives, our system provides high quality, reliable power at an effective cost.</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Over the past 20 years, attempts at commercializing flywheel systems have been based on technology used in aerospace applications, such as satellite momentum control, that attempt to maximize the amount of stored energy with the absolute minimum system weight. Cost has been a secondary concern for such applications. As a result of these design goals, these flywheel designs require extremely high rotational speeds in excess of 50,000 rotations per minute. In order to achieve such high speeds, the flywheel must be made of expensive materials, such as composite carbon fiber. As a result, high-speed flywheel concepts require a number of expensive safety systems, including extensive inertial containment and “active” magnetic bearing systems that use sophisticated computer controls to continuously monitor the position and balance of the flywheel.</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Rather than rely on the flywheel concepts developed for other applications, we focused our development efforts on providing products that meet the specific needs of the power quality and reliability market. Users requiring backup power products want products that can deliver high quality, reliable power at an effective cost. As a result of these needs, we developed a flywheel system that operates at significantly lower speeds, under 8,000 rotations per minute. These speeds are comparable to those of automobile engines and industrial machinery. This lower flywheel speed has allowed us to develop a lower cost design by using an inexpensive bearing system and conventional steel in place of expensive composite materials.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design of our flywheel system, which is displayed below, integrates the function of a motor (which utilizes electric current from the electric utility grid to provide the energy to rotate the flywheel), flywheel rotor (which spins constantly to maintain a ready source of kinetic energy) and generator (which converts the kinetic energy of the flywheel into electricity) into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single system. This integration further reduces the cost of our product and increases its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165735</wp:posOffset>
            </wp:positionV>
            <wp:extent cx="2941320" cy="2040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41320"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flywheel rotor is designed to spin in a near frictionless environment by the use of a low-cost, combination magnetic and mechanical bearing system. The friction in the spinning chamber is further reduced by the creation of a partial vacuum, which reduces the amount of air in the chamber that otherwise creates drag on the flywheel rotor. The flywheel rotor stores energy in the form of kinetic energy by constantly rotating within the vacuum container. As the flywheel rotor slows down when a user requires power, the rotor’s magnetism is increased as it rotates past copper coils contained in the armature to generate constant output power. This enables the flywheel system to provide between 10 and 60 seconds of electricity during power disturbances. While a lead-acid battery can typically provide backup power for a much longer period, this capability usually is not required when a customer also employs a backup generator. Our flywheel-based system can provide ride-through, or temporary, power for the majority of power disturbances, such as voltage sags and surges, and can bridge the gap between a power outage and the time required to switch to generator power.</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CleanSource Flywheel Products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unique flywheel energy storage system device is being used in our CleanSource DC and CleanSource UPS products. The CleanSource UPS design takes advantage of the many component similarities between the CleanSource DC and a traditional UPS system. The UPS electronics we use in the CleanSource UPS product line are the latest in power semiconductor devices, which use highly reliable and efficient insulated gate bipolar transistors. This results in an efficient, highly responsive power conditioning system that can protect sensitive customer power requirements from even the briefest of electric power anomalies. Tightly integrating these power electronics with our flywheel energy storage system results in an efficient and compact UPS system.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megawatt-class CleanSource UPS offering uses a separate power electronics platform than the CleanSource UPS systems in the 65 kVA– 900 kVA power ranges. With its compact and efficient design, our megawatt-class product gives us a significant competitive advantage in the high power UPS market, which is currently served by only a few battery-free companies. We also have the ability to place multiple megawatt-class UPS systems together in parallel, as evidenced by creating a 2400/2000 kVA UPS. This high power building block allows us to more effectively compete for very large high power installations where only a few competitors exist.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CoolAir Thermal and Compressed Air Storage Products</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September 2004 we launched a new battery-free technology that utilizes TACAS to provide backup power for an extended runtime (minutes to hours, depending on the application). Our first product based on this TACAS technology platform is being marketed as CoolAir DC.</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CoolAir DC stores compressed air energy (in standard air cylinders) and thermal energy in a thermal storage material. During standby operation (when utility power is present), breathable air is compressed into the cylinders and some electricity is used to keep the thermal storage material heated using basic heating elements. In the event of a power disturbance, a valve is opened releasing the compressed air, which is routed through the thermal storage unit to gain energy. This heated air is then applied to an air turbine that spins at high speeds and turns an alternator, which generates power that is used to support the critical load. Depending on the application, this product provides backup power for minutes to hours. When utility power is restored, the CoolAir DC can electrically recharge by using some electricity to compress air back into the cylinders and to re-heat the thermal storage material. In December 2004, we began shipping evaluation units and have continued to ship evaluation units throughout 2005. We recorded our first sale in December 2005, and will begin commercial production during the first quarter of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132080</wp:posOffset>
            </wp:positionV>
            <wp:extent cx="5205730" cy="258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0573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To provide the fastest route to market for a complete UPS solution for our customers requiring extended runtime, we have teamed with GE to provide an Active Power-branded UPS that is marketed as CoolAir UPS. This CoolAir UPS solution leverages the TACAS technology and simply couples the CoolAir DC unit with a GE sourced double-conversion UPS. .</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our research and development efforts are essential to our ability to successfully deliver innovative products that address the needs of our customers as the market for power quality products evolves. Our research and development team works closely with our marketing and sales team and OEMs to define product requirements to address the specific needs of the power quality market. Our research and development expenses were $11.2 million, $9.8 million and $9.1 million in 2005, 2004 and 2003, respectively. We anticipate that our research and development expenditures will decrease from 2005 levels and decrease as a percentage of sales in the future, which is consistent with our strategy to focus on the 3-phase environment for which a core platform now exists. At December 31, 2005, our research, development and engineering team consisted of 47 engineers and technicians.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source the majority of our components from contract manufacturers to enhance our ability to scale our operations and minimize cost. This approach allows us to respond quickly to customer orders while maintaining high quality standards.</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internal manufacturing process consists of the fabrication of certain components, as well as the assembly, functional testing and quality control of our finished products. We also test components, parts and subassemblies obtained from suppliers for quality control purposes.</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entered into long-term agreements with some of our key suppliers, but currently purchase most of our components on a purchase order basis. Although we use standard parts and components for our products where possible, we purchase a particular type of power module from Semikron International, which is a single source supplier. We, and our power module supplier, currently maintain buffer stocks to avoid potential supply disruptions. Lead times for ordering materials and components vary significantly and depend on factors such as specific supplier requirements, contract terms, the extensive production time required and current market demand for such components.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2001 our manufacturing facility was expanded to support projected sales volume; however, due to an economic downturn and lower revenue levels than previously projected, much of that capacity is currently underutilized. In the future, we will consider leveraging our excess capacity and expertise by manufacturing and/or testing third party power equipment. We believe that our current workforce, facilities and inventory levels will be sufficient to handle our near term sales demand. Over time we will need to hire additional manufacturing personnel to address anticipated sales volume increases.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rely on a combination of patents and trademarks, as well as confidentiality agreements and other contractual restrictions with employees and third parties, to establish and protect our proprietary rights. We have filed dozens of patent applications before the United States Patent and Trademark Office, of which 39 have been issued as patents. Additionally, we have made a concerted effort to obtain patent protection abroad for our technology by continuing to file patent applications in Europe and Asia. Our patent strategy is critical for preserving our rights in and to the intellectual property embodied in our CleanSource and CoolAir product lines, as well as in newer technologies. As a manufactured, tangible device that is sold rather than licensed, our products do not qualify for copyright or trade secret protection. To enforce our ownership of such technology, we principally rely on the protection obtained through the patents we own, as well as state unfair competition laws. We intend to aggressively protect our patents, which would include bringing legal actions if we deem it advisable.</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own the registered trademarks ACTIVE POWER, ACTIVE POWER + LOGO, CLEANSOURCE and MAKING ELECTRICITY BETTER in the United States. All other trademarks, service marks or trade names referred to in this report are the property of their respective owners.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power quality and power reliability markets are intensely competitive. The principal bases of competition are system reliability, service, cost, including initial cost and total cost of ownership, brand recognition, availability and distribution channels.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CleanSource DC product competes with makers of lead-acid batteries and organizations developing battery-free technologies for UPS applications. Lead-acid batteries comprise the majority of DC energy storage sales for UPS applications. Among the manufacturers of battery-free products, Piller currently offers a flywheel energy storage system that competes with the CleanSource DC at the higher power levels. However, the Piller flywheel is only available with Piller’s proprietary UPS system. In addition, Pentadyne, has recently begun offering a DC flywheel energy storage system. In the 500 kW and lower power range, we believe that we have a substantial majority of the installed base of flywheel products. In the overall flywheel market, we believe that Piller and we each have approximately half of the installed flywheel units. Examples of other technologies potentially competitive with CleanSource DC include high-speed composite flywheels, ultra capacitors and superconducting magnetic energy storage. To date, however, we believe that none of these technologies has achieved a sufficient presence in our market to be considered a competitor.</w:t>
      </w:r>
    </w:p>
    <w:p>
      <w:pPr>
        <w:spacing w:after="0" w:line="11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CleanSource UPS competes primarily with battery-based UPS manufacturers such as Eaton Powerware, Liebert and MGE UPS Systems, of which Eaton Powerware is also a CleanSource DC distributor. In addition, the CleanSource UPS competes with battery-free systems from Piller, Hitec and KS Techniques (previously EuroDiesel). The successful market penetration of the CleanSource UPS depends on two factors. First, our ability to compete with existing double-conversion, battery-based UPS systems. Second, is the acceptance of the CleanSource UPS in industrial applications where batteries are not an option due to the harsh environments. Our current product has a shorter runtime than the battery-based systems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(typically 20 to 30 seconds as compared to 5-15 minutes) and also a greater up-front installed cost in some power ranges. However, the CleanSource UPS offers a lower life-cycle cost, higher efficiency, broader power range, higher operating temperature than batteries, and a more compact footprint that allows us to compete successfully with these alternatives.</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With the megawatt-class CleanSource UPS we are competing with the same group of competitors mentioned above. However, this megawatt class UPS market currently comprises the largest percentage of battery-free UPS systems in the UPS market. We believe the broader market acceptance of battery-free technologies in this power range should strengthen our competitive position and increase our potential market penetration.</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CoolAir DC will primarily compete against battery cabinet offerings for 20-100 kVA 3-phase UPS’s provided by suppliers such as Eaton Powerware, Liebert, American Power Conversion and MGE UPS Systems. From our primary research, approximately 70% of customers within this 3-phase UPS market do not have a generator and hence they do require extended runtimes of the order of 5 - 30 minutes. To our knowledge, there are no commercially available battery-free extended runtime products within this market space. CoolAir DC, based on TACAS technology, provides extended runtimes similar to batteries, without any of their inherent limitations related to reliability, manageability and maintainability. In addition, CoolAir DC has the capability to provide back-up cooling that has become an important requirement of today’s datacenters because of the ever-increasing power densities. Our ability to compete with the CoolAir DC product will primarily depend on the speed of acceptance of this new technology in the small to medium business segment.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CoolAir UPS is a 20 - 100 kVA double conversion UPS solution (that we intend to electrically parallel up to 1 MVA) that utilizes the TACAS technology for energy storage. With the CoolAir UPS, we will compete against overall battery-based UPS solutions provided by the same group of competitors as mentioned above. In addition to all energy storage benefits of the TACAS technology listed above, CoolAir UPS also provides benefits such as tighter voltage regulation and better transient response that leads to much improved output power quality relative to competitor’s UPS products. Our ability to succeed within this space is also strongly dependent on the acceptance of the solution within the channel. A differentiated offering and a strong value proposition for customers has allowed us to sign various top power quality manufacturer representatives to carry CoolAir UPS as their primary UPS offering. This channel now provides significant coverage for the CoolAir UPS throughout United States.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At December 31, 2005, we had 164 employees, with 47 engaged in research and development, 58 in manufacturing, sourcing and service, 38 in sales and marketing, and 21 in administration, information technology and finance. None of our employees are represented by a labor union. We have not experienced any work stoppages and consider our relations with our employees to be good.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Other Information</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file annual, quarterly, current and other reports, proxy statements and other information with the Securities and Exchange Commission, or SEC, pursuant to the Securities Exchange Act of 1934, as amended, or the Exchange Act. You may read and copy any materials we file with the SEC at the SEC’s Public Reference Room at 100 F Street, N.E., Washington, D.C. 20549. You may obtain information on the operation of the SEC’s Public Reference Room by calling the SEC at 1-800-SEC-0330. The SEC maintains an Internet site that contains reports, proxy and other information statements, and other information regarding issuers, including us, that file electronically with the SEC. The address of that site is http://www.sec.gov.</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maintain an Internet site, the address of which is www.activepower.com. We make available free of charge through this site, under the heading “Financial Reports”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Our Internet site and the information contained therein or connected thereto are not intended to be incorporated into this Annual Report on Form 10-K.</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common stock or in evaluating Active Power and our business. The risks and uncertainties described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several quarters.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have incurred operating losses since our inception and expect to continue to incur losses for at least the next several quarters. As of December 31, 2005, we had an accumulated deficit of $180.7 million. To date, we have funded our operations principally through the public and private sale of our stock, product revenue and $10.0 million in development funding from Caterpillar. We will need to generate significant additional revenue in order to achieve profitability, and we cannot assure you that we will ever realize such revenue levels. We also expect to incur product development, sales and marketing and administrative expenses significantly in excess of our product revenue after costs, and, as a result, we expect to continue to incur losses for the next several quarters.</w:t>
      </w:r>
    </w:p>
    <w:p>
      <w:pPr>
        <w:spacing w:after="0" w:line="94"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12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generated a total of $80.4 million in product revenue since January 1, 1998, with $5.2 million generated in the three months ended December 31, 2005.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particularly rent and salaries, are fixed in the short term or incurred in advance of anticipated revenue. As a result, we may not be able to decrease our expenses, if desired, in a timely manner to offset any revenue shortfall. If our revenue does not increase as anticipated, we will continue to incur significant losses. As a result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Our product revenue, operating expenses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26"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timing of orders from our customers and the possibility that customers may change their order requirements with little or no notice to us;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rate of adoption of our flywheel-based energy storage system or our thermal and compressed air system as alternatives to lead-acid batteries;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derive a significant portion of our revenue from relatively few large transactions. The sales cycle for these large transactions tend to be longer than the sales cycle on smaller orders. The longer sales cycle for large transactions makes it difficult to predict the quarter in which these sales will occur. Accordingly, our operating results may fluctuate from quarter to quarter based on the existence and timing of larger transactions. A reduction in the number of large transactions, or a delay in closing of such a sales transaction could materially impact our revenue in a particular period.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market for power quality products is evolving and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sales or marketing efforts in response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w:t>
      </w:r>
    </w:p>
    <w:p>
      <w:pPr>
        <w:spacing w:after="0" w:line="11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have increased our international activities significantly and plan to continue such efforts, which subjects us to additional business risks including increased logistical and financial complexity, political instability and currency fluctuations.</w:t>
      </w:r>
    </w:p>
    <w:p>
      <w:pPr>
        <w:spacing w:after="0" w:line="12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percentage of our product revenue derived from customers located outside of the United States was 45%, 50% and 48% in 2005, 2004 and 2003, respectively. Our international operations are subject to a number of risks, including:</w:t>
      </w:r>
    </w:p>
    <w:p>
      <w:pPr>
        <w:spacing w:after="0" w:line="51"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and longer collection periods;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Euros. Those sales in currencies other than U.S. dollars can result in translation gains and losses. Currently, we do not engage in hedging activities for our international operations. However, we may engage in hedging activities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derive a substantial portion of our revenue from a limited number of products, and we expect these products to continue to account for a large percentage of our revenues in the near term. Continued market acceptance of these products, is therefore, critical to our future success. Our future success will also depend on our ability to reduce our dependence on these few products by developing and introducing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our extended runtime products, such as the CoolAir DC.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3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expand our distribution channels and manage our existing and new product distribution relationships to continue to grow our business.</w:t>
      </w:r>
    </w:p>
    <w:p>
      <w:pPr>
        <w:spacing w:after="0" w:line="11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such as we did in the third quarter of 2005 with Numeric Power Systems Ltd in India. We will also look to identify and develop new relationships with additional parties that could serve as an outlet for our products, including CoolAir DC. For example, during 2005 we broadened our sales and distribution channel by offering our products through 27 manufacturer’s representatives throughout North America. We also recently entered into a long-term supply agreement with GE Zenith Controls to source UPS systems from them that we intend to sell along side our CoolAir DC product. Our inability to successfully execute this strategy, and to integrate and manage our existing OEM channel partners, Caterpillar and Eaton Powerware, and our new manufacturer’s representatives could impede our future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continue to hire and retain skilled personnel.</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marketing personnel. There is a limited supply of skilled employees in the power quality marketplace. A decline in our stock price can result in a substantial number of “underwater” stock options, whereby the exercise price of the option is greater than the current market value of our common stock. As a result, the financial attractiveness of the stock options is substantially diminished, which may cause certain of our employees to seek employment elsewhere as a result of this decreased financial incentive, or impair our ability to recruit new employees. Our efforts to attract and retain highly skilled employees could be harmed by our past or any future workforce reductions. Our failure to attract and retain the highly trained technical personnel who are essential to our product development, marketing, sales, service and support teams may limit the rate at which we can develop new products or generate revenue. If we are unable to retain the personnel we currently employ, or if we are unable to quickly replace departing employees, our operations and new product development may suffer.</w:t>
      </w:r>
    </w:p>
    <w:p>
      <w:pPr>
        <w:spacing w:after="0" w:line="193"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are significantly dependent on our relationship with Caterpillar, our primary OEM customer. If this relationship is unsuccessful, for whatever reason, our business and financial prospects would likely suffer.</w:t>
      </w:r>
    </w:p>
    <w:p>
      <w:pPr>
        <w:spacing w:after="0" w:line="4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Caterpillar and its dealer network are our primary OEM customer for our flywheel based products. Caterpillar and its dealer network accounted for 42%, 54% and 60% of our revenue, during 2005, 2004 and 2003, respectively. If our relationship with Caterpillar is not successful, or if Caterpillar’s distribution of the Cat UPS product is not successful or suffers a material change, our business and financial prospects would likely suffer. Pursuant to our distribution agreement with Caterpillar, they are the exclusive OEM distributor, subject to limited exceptions, of our CleanSource UPS product. Caterpillar is not obligated to purchase any CleanSource UPS units. Pursuant to our development agreements Caterpillar has provided us with $10.0 million in funding to support the development of the Cat UPS product line and other development efforts. In exchange for these payments, Caterpillar received co-ownership of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proprietary rights in this product. Either Caterpillar or Active Power may license to others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2001, we completed and equipped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We intend to manufacture and test our CoolAir DC product in this facility, which will help increase the utilization of our facility. If we do not reach these necessary sales volume levels, or if we cannot sell our products at our suggested prices, our ability to reach profitability will be materially limited.</w:t>
      </w:r>
    </w:p>
    <w:p>
      <w:pPr>
        <w:spacing w:after="0" w:line="14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 perception of our products and related acceptance of the products is highly dependent upon the quality and reliability of the products that we build. Any quality problems attributable to the CleanSource DC, CleanSource UPS or CoolAir DC product lines may substantially impair our revenue prospects. Moreover, quality problems for our product lines could cause us to delay or cease shipments of products or have to recall or field upgrade products, thus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significant backlog.</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generally operate our business without any significant backlog of orders from customers. Normally our products are shipped and revenue is recognized shortly after the order is received. This lack of backlog makes revenue in any quarter substantially dependent on orders booked and shipped throughout that quarter.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business has, on occasion, experienced seasonal customer buying patterns. In recent years, we have generally experienced relatively weaker demand in the first calendar quarter of the year. We believe that this pattern will continue. In addition, we anticipate that demand for our products in Europe and Africa may decline in the summer months, as compared to other regions, because of reduced corporate buying patterns during the vacation season.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selected component manufacturing.</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purchase several component parts from sole source and limited source suppliers. As a result of our current volumes, we lack significant leverage with these suppliers. If our suppliers receive excess demand for their products, we may receive a low priority for order fulfillment as large volume customers will receive priority that may result in delays in our acquiring components.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2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from our customers.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markets for power quality and power reliability are intensely competitive. There are many companies engaged in all areas of traditional and alternative UPS and backup systems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may face future competition from companies that are developing other types of emerging power technologies, such as high-speed composite flywheels, ultra capacitors and superconducting magnetic energy storage.</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financial, technical, marketing and other resources, broader name and brand recognition and a larger installed base of customers.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96" w:lineRule="exact"/>
        <w:rPr>
          <w:sz w:val="20"/>
          <w:szCs w:val="20"/>
          <w:color w:val="auto"/>
        </w:rPr>
      </w:pPr>
    </w:p>
    <w:p>
      <w:pPr>
        <w:ind w:right="140" w:firstLine="456"/>
        <w:spacing w:after="0" w:line="310" w:lineRule="auto"/>
        <w:rPr>
          <w:sz w:val="20"/>
          <w:szCs w:val="20"/>
          <w:color w:val="auto"/>
        </w:rPr>
      </w:pPr>
      <w:r>
        <w:rPr>
          <w:rFonts w:ascii="Arial" w:cs="Arial" w:eastAsia="Arial" w:hAnsi="Arial"/>
          <w:sz w:val="15"/>
          <w:szCs w:val="15"/>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Any potential intellectual property litigation also could force us to take specific actions, including:</w:t>
      </w:r>
    </w:p>
    <w:p>
      <w:pPr>
        <w:spacing w:after="0" w:line="90"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to use an infringing trademark.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marketing activities or the development of our manufacturing capabilities with our revenue and our cash on hand. We expect that our current cash, including the proceeds of our February 2005 private placement of shares of our common stock, and investments, together with our other available sources of working capital, will be sufficient to fund corporate cash requirements for at least twelve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our stock price could result in claims against us.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Historically the market price of our common stock has fluctuated significantly. In 2005 the sales price of our common stock ranged from $2.39 to $4.66. In addition to those risks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described earlier in this section, the market price of our common stock can be expected to fluctuate significantly in response to numerous other factors, many of which are beyond our control, including the following:</w:t>
      </w:r>
    </w:p>
    <w:p>
      <w:pPr>
        <w:spacing w:after="0" w:line="51"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90" w:lineRule="exact"/>
        <w:rPr>
          <w:rFonts w:ascii="Arial" w:cs="Arial" w:eastAsia="Arial" w:hAnsi="Arial"/>
          <w:sz w:val="18"/>
          <w:szCs w:val="18"/>
          <w:color w:val="auto"/>
        </w:rPr>
      </w:pPr>
    </w:p>
    <w:p>
      <w:pPr>
        <w:ind w:left="780" w:right="9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successfully expand our distribution channels;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December 31, 2005, our corporate headquarters facility, which houses our administrative, information systems, marketing, manufacturing, sales and service and support groups, consists of approximately 127,000 square feet in Austin, Texas. We lease our corporate headquarters facility pursuant to a lease agreement that expires in December 2007, with options to extend through 2011. Our engineering facility of approximately 19,600 square feet is also located in Austin, Texas pursuant to a lease agreement that expires in March 2007.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these properties, we lease facilities totaling 14,170 square feet in Algeria and Switzerland for sales and service activities.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Between March 2002 and October 2004, Active Power and Joseph Pinkerton, our Chairman and Chief Executive Officer, were parties to a lawsuit with Magnex Corporation and other plaintiffs alleging breach of a joint venture agreement, misappropriation of trade secrets and other torts. This litigation was settled in October 2004 with the Company paying $5.08 million in settlement that was recorded as an expense in 2004. The plaintiffs dismissed their</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claims and provided a covenant not to sue the defendants in the future. The plaintiffs further agreed to transfer, assign and otherwise release to the defendants all rights to certain technology involved in the lawsuit,</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On July 16, 2004 we filed a lawsuit against Greenwich Insurance Company seeking coverage under an insurance policy providing for management liability and company reimbursement coverage for certain of our and our CEO, Joe Pinkerton’s, expenses and damages related to the Magnex litigation described above.</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case seeks a declaratory judgment that we are entitled to coverage under our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In the event of any recovery in this action, we would retain an amount equal to our legal expenses related to this Greenwich Insurance litigation. Any additional recovery up to $1.22 million shall next be paid to Mr. Pinkerton as reimbursement for his settlement expense and other costs related to the Magnex lawsuit. Any recovery beyond this amount would be retained by us.</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the course of renewing the Company’s annual Directors and Officer’s Insurance policies in July 2005, we met with Greenwich Insurance Company in an attempt to settle this litigation, but were unsuccessful. Discovery in this case is underway and continuing at this time. On February 10, 2006, Greenwich filed a motion for summary judgment. As of February 27, 2006, we have not yet filed a response to this motion.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submit any matters to the vote of our stockholders during the fourth quarter of 2005.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registration statement (Registration No. 333-36946) under the Securities Act of 1933 relating to our initial public offering of our common stock became effective on August 6, 2000. Our common stock has traded on The Nasdaq Stock Market under the symbol “ACPW”. Prior to our initial public offering, there had been no public market for our common stock. The following table lists the high and low per share sales prices for our common stock as reported by The Nasdaq Stock Market for the periods indicated:</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Low</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3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3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22"/>
        </w:trPr>
        <w:tc>
          <w:tcPr>
            <w:tcW w:w="546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2.79</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17, 2006, there were 49,229,296 shares of our common stock outstanding held by 382 stockholders of record.</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earnings for use in our business and do not anticipate paying any cash dividends in the foreseeable future. Future dividends, if any, will be determined by our board of directors.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Information called for by Item 5 regarding securities authorized for issuance under our equity compensation plans will be included under the caption “Equity Compensation Plan Information” in our Proxy Statement for the 2006 Annual Meeting of Stockholders, which information is incorporated in this Annual Report by this reference.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February 2005 we completed the private placement of 5,454,510 shares of our Common Stock at a price of $3.64 per share, for an aggregate offering price of approximately $19.8 million to certain institutional investors. We also offered these investors Additional Investment Rights to purchase 1,636,353 shares of Common Stock (the “Additional Investment Rights”) at an exercise price of $3.64 per share. In connection with this transaction we paid placement agent fees and expenses of approximately $1.1 million. We agreed to register for resale under the Securities Act all the shares issued in this offering as well as the shares issuable upon exercise of the Additional Investment Rights. We filed a registration statement on Form S-3 with the Securities and Exchange Commission (File No.333- 123586) that was declared effective on May 18, 2005. These proceeds were used for general corporate purposes.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of our securities during the fourth quarter of fiscal 2005.</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tables set forth our selected financial data. The results of operations data for the years ended December 31, 2005, 2004 and 2003 and the balance sheet data as of December 31, 2005 and 2004 have been derived from the audited financial statements appearing elsewhere in this document. The results of operations data for the year ending December 31, 2002 and 2001 and the balance sheet data as of December 31, 2003, 2002 and 2001 have been derived from audited financial statements not appearing in this document. You should read the selected financial data set forth below in conjunction with our financial statements and the notes thereto included in Part IV, Item 15, and Part II, Item 7, “Management’s Discussion and Analysis of Financial Condition and Results of Operations,” and other financial information appearing elsewhere in this document.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4"/>
                <w:szCs w:val="14"/>
                <w:b w:val="1"/>
                <w:bCs w:val="1"/>
                <w:color w:val="auto"/>
                <w:w w:val="96"/>
              </w:rPr>
              <w:t>Year ended December 31,</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16"/>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16"/>
              <w:spacing w:after="0" w:line="142" w:lineRule="exact"/>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w w:val="79"/>
              </w:rPr>
              <w:t>(thousands,</w:t>
            </w:r>
          </w:p>
        </w:tc>
        <w:tc>
          <w:tcPr>
            <w:tcW w:w="260" w:type="dxa"/>
            <w:vAlign w:val="bottom"/>
            <w:gridSpan w:val="2"/>
          </w:tcPr>
          <w:p>
            <w:pPr>
              <w:spacing w:after="0"/>
              <w:rPr>
                <w:sz w:val="12"/>
                <w:szCs w:val="12"/>
                <w:color w:val="auto"/>
              </w:rPr>
            </w:pPr>
          </w:p>
        </w:tc>
        <w:tc>
          <w:tcPr>
            <w:tcW w:w="1880" w:type="dxa"/>
            <w:vAlign w:val="bottom"/>
            <w:gridSpan w:val="10"/>
          </w:tcPr>
          <w:p>
            <w:pPr>
              <w:spacing w:after="0" w:line="142" w:lineRule="exact"/>
              <w:rPr>
                <w:sz w:val="20"/>
                <w:szCs w:val="20"/>
                <w:color w:val="auto"/>
              </w:rPr>
            </w:pPr>
            <w:r>
              <w:rPr>
                <w:rFonts w:ascii="Arial" w:cs="Arial" w:eastAsia="Arial" w:hAnsi="Arial"/>
                <w:sz w:val="14"/>
                <w:szCs w:val="14"/>
                <w:b w:val="1"/>
                <w:bCs w:val="1"/>
                <w:color w:val="auto"/>
              </w:rPr>
              <w:t>except per share amounts)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Product and service and spares revenue</w:t>
            </w: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$ 17,788</w:t>
            </w:r>
          </w:p>
        </w:tc>
        <w:tc>
          <w:tcPr>
            <w:tcW w:w="80" w:type="dxa"/>
            <w:vAlign w:val="bottom"/>
          </w:tcPr>
          <w:p>
            <w:pPr>
              <w:spacing w:after="0"/>
              <w:rPr>
                <w:sz w:val="18"/>
                <w:szCs w:val="18"/>
                <w:color w:val="auto"/>
              </w:rPr>
            </w:pPr>
          </w:p>
        </w:tc>
        <w:tc>
          <w:tcPr>
            <w:tcW w:w="1080" w:type="dxa"/>
            <w:vAlign w:val="bottom"/>
            <w:gridSpan w:val="5"/>
          </w:tcPr>
          <w:p>
            <w:pPr>
              <w:jc w:val="right"/>
              <w:ind w:right="240"/>
              <w:spacing w:after="0"/>
              <w:rPr>
                <w:sz w:val="20"/>
                <w:szCs w:val="20"/>
                <w:color w:val="auto"/>
              </w:rPr>
            </w:pPr>
            <w:r>
              <w:rPr>
                <w:rFonts w:ascii="Arial" w:cs="Arial" w:eastAsia="Arial" w:hAnsi="Arial"/>
                <w:sz w:val="18"/>
                <w:szCs w:val="18"/>
                <w:color w:val="auto"/>
              </w:rPr>
              <w:t>$ 15,783</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8,890</w:t>
            </w:r>
          </w:p>
        </w:tc>
        <w:tc>
          <w:tcPr>
            <w:tcW w:w="14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$ 21,562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Development contract</w:t>
            </w:r>
          </w:p>
        </w:tc>
        <w:tc>
          <w:tcPr>
            <w:tcW w:w="216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17,788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15,783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8,890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Cost of product and service and spares revenue</w:t>
            </w: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18,028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18,034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13,948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17,908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development contract</w:t>
            </w:r>
          </w:p>
        </w:tc>
        <w:tc>
          <w:tcPr>
            <w:tcW w:w="2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Research, development and engineering</w:t>
            </w: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11,172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9,845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9,165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11,080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&amp; administrative</w:t>
            </w:r>
          </w:p>
        </w:tc>
        <w:tc>
          <w:tcPr>
            <w:tcW w:w="2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8"/>
              </w:rPr>
              <w:t>11,581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9,355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10,394</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Litigation settlement expense</w:t>
            </w:r>
          </w:p>
        </w:tc>
        <w:tc>
          <w:tcPr>
            <w:tcW w:w="216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5,080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expenses</w:t>
            </w:r>
          </w:p>
        </w:tc>
        <w:tc>
          <w:tcPr>
            <w:tcW w:w="216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160" w:type="dxa"/>
            <w:vAlign w:val="bottom"/>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43,108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44,540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32,468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44,187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(25,320)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(28,757)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(23,578)</w:t>
            </w: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(30,718)</w:t>
            </w: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(34,134)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Interest income, net</w:t>
            </w: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1,632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1,791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Gain due to change in market value of investment rights</w:t>
            </w:r>
          </w:p>
        </w:tc>
        <w:tc>
          <w:tcPr>
            <w:tcW w:w="2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income (expense)</w:t>
            </w:r>
          </w:p>
        </w:tc>
        <w:tc>
          <w:tcPr>
            <w:tcW w:w="216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(22,891)</w:t>
            </w:r>
          </w:p>
        </w:tc>
        <w:tc>
          <w:tcPr>
            <w:tcW w:w="10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(27,780)</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(21,703)</w:t>
            </w:r>
          </w:p>
        </w:tc>
        <w:tc>
          <w:tcPr>
            <w:tcW w:w="1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(27,623)</w:t>
            </w: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 xml:space="preserve"> (27,962)</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&amp; diluted</w:t>
            </w:r>
          </w:p>
        </w:tc>
        <w:tc>
          <w:tcPr>
            <w:tcW w:w="2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80" w:type="dxa"/>
            <w:vAlign w:val="bottom"/>
            <w:gridSpan w:val="2"/>
            <w:vMerge w:val="continue"/>
          </w:tcPr>
          <w:p>
            <w:pPr>
              <w:spacing w:after="0"/>
              <w:rPr>
                <w:sz w:val="18"/>
                <w:szCs w:val="18"/>
                <w:color w:val="auto"/>
              </w:rPr>
            </w:pPr>
          </w:p>
        </w:tc>
        <w:tc>
          <w:tcPr>
            <w:tcW w:w="2880" w:type="dxa"/>
            <w:vAlign w:val="bottom"/>
            <w:gridSpan w:val="4"/>
          </w:tcPr>
          <w:p>
            <w:pPr>
              <w:jc w:val="right"/>
              <w:ind w:right="20"/>
              <w:spacing w:after="0"/>
              <w:rPr>
                <w:sz w:val="20"/>
                <w:szCs w:val="20"/>
                <w:color w:val="auto"/>
              </w:rPr>
            </w:pPr>
            <w:r>
              <w:rPr>
                <w:rFonts w:ascii="Arial" w:cs="Arial" w:eastAsia="Arial" w:hAnsi="Arial"/>
                <w:sz w:val="18"/>
                <w:szCs w:val="18"/>
                <w:color w:val="auto"/>
              </w:rPr>
              <w:t>$  (0.48)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(0.65)</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(0.52)</w:t>
            </w:r>
          </w:p>
        </w:tc>
        <w:tc>
          <w:tcPr>
            <w:tcW w:w="14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  (0.70)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2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48,058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8"/>
              </w:rPr>
              <w:t>42,471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41,925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41,247</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2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10"/>
          </w:tcPr>
          <w:p>
            <w:pPr>
              <w:jc w:val="center"/>
              <w:ind w:right="720"/>
              <w:spacing w:after="0"/>
              <w:rPr>
                <w:sz w:val="20"/>
                <w:szCs w:val="20"/>
                <w:color w:val="auto"/>
              </w:rPr>
            </w:pPr>
            <w:r>
              <w:rPr>
                <w:rFonts w:ascii="Arial" w:cs="Arial" w:eastAsia="Arial" w:hAnsi="Arial"/>
                <w:sz w:val="14"/>
                <w:szCs w:val="14"/>
                <w:b w:val="1"/>
                <w:bCs w:val="1"/>
                <w:color w:val="auto"/>
                <w:w w:val="86"/>
              </w:rPr>
              <w:t>As of December 31,</w:t>
            </w: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580" w:type="dxa"/>
            <w:vAlign w:val="bottom"/>
            <w:gridSpan w:val="2"/>
          </w:tcPr>
          <w:p>
            <w:pPr>
              <w:spacing w:after="0"/>
              <w:rPr>
                <w:sz w:val="12"/>
                <w:szCs w:val="12"/>
                <w:color w:val="auto"/>
              </w:rPr>
            </w:pPr>
          </w:p>
        </w:tc>
        <w:tc>
          <w:tcPr>
            <w:tcW w:w="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80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1"/>
              </w:rPr>
              <w:t>(thousands)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31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$42,040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$45,675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$72,164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90,044</w:t>
            </w: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$ 112,105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assets</w:t>
            </w:r>
          </w:p>
        </w:tc>
        <w:tc>
          <w:tcPr>
            <w:tcW w:w="3160" w:type="dxa"/>
            <w:vAlign w:val="bottom"/>
            <w:gridSpan w:val="6"/>
          </w:tcPr>
          <w:p>
            <w:pPr>
              <w:jc w:val="right"/>
              <w:spacing w:after="0"/>
              <w:rPr>
                <w:sz w:val="20"/>
                <w:szCs w:val="20"/>
                <w:color w:val="auto"/>
              </w:rPr>
            </w:pPr>
            <w:r>
              <w:rPr>
                <w:rFonts w:ascii="Arial" w:cs="Arial" w:eastAsia="Arial" w:hAnsi="Arial"/>
                <w:sz w:val="18"/>
                <w:szCs w:val="18"/>
                <w:color w:val="auto"/>
              </w:rPr>
              <w:t>60,365</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63,366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90,261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110,773</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obligations</w:t>
            </w:r>
          </w:p>
        </w:tc>
        <w:tc>
          <w:tcPr>
            <w:tcW w:w="2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160" w:type="dxa"/>
            <w:vAlign w:val="bottom"/>
            <w:gridSpan w:val="6"/>
          </w:tcPr>
          <w:p>
            <w:pPr>
              <w:jc w:val="right"/>
              <w:spacing w:after="0"/>
              <w:rPr>
                <w:sz w:val="20"/>
                <w:szCs w:val="20"/>
                <w:color w:val="auto"/>
              </w:rPr>
            </w:pPr>
            <w:r>
              <w:rPr>
                <w:rFonts w:ascii="Arial" w:cs="Arial" w:eastAsia="Arial" w:hAnsi="Arial"/>
                <w:sz w:val="18"/>
                <w:szCs w:val="18"/>
                <w:color w:val="auto"/>
              </w:rPr>
              <w:t>54,116</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58,093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85,060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106,660</w:t>
            </w:r>
          </w:p>
        </w:tc>
        <w:tc>
          <w:tcPr>
            <w:tcW w:w="2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139,376</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160" w:type="dxa"/>
            <w:vAlign w:val="bottom"/>
          </w:tcPr>
          <w:p>
            <w:pPr>
              <w:jc w:val="right"/>
              <w:ind w:right="1052"/>
              <w:spacing w:after="0"/>
              <w:rPr>
                <w:sz w:val="20"/>
                <w:szCs w:val="20"/>
                <w:color w:val="auto"/>
              </w:rPr>
            </w:pPr>
            <w:r>
              <w:rPr>
                <w:rFonts w:ascii="Arial" w:cs="Arial" w:eastAsia="Arial" w:hAnsi="Arial"/>
                <w:sz w:val="18"/>
                <w:szCs w:val="18"/>
                <w:color w:val="auto"/>
              </w:rPr>
              <w:t>- 34 -</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The following discussion should be read in conjunction with the financial statements appearing elsewhere in this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section above for a discussion of items that may affect our future results.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Level Overview</w:t>
      </w:r>
    </w:p>
    <w:p>
      <w:pPr>
        <w:spacing w:after="0" w:line="96" w:lineRule="exact"/>
        <w:rPr>
          <w:sz w:val="20"/>
          <w:szCs w:val="20"/>
          <w:color w:val="auto"/>
        </w:rPr>
      </w:pPr>
    </w:p>
    <w:p>
      <w:pPr>
        <w:ind w:right="20" w:firstLine="456"/>
        <w:spacing w:after="0" w:line="273"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customers during electric utility outages. We believe that we are the first company to commercialize a flywheel energy storage system that provides a highly reliable, cost-effective and non-toxic replacement for the lead-acid batteries used in conventional power quality installations. Our first commercial product was a battery-free DC flywheel system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DC) that is used as a bridging energy source in typical power quality installations, and is compatible with all major uninterruptible power supply (UPS) brands. Leveraging our expertise in this technology, we developed a battery-free UPS system that incorporates our flywheel technology with a UPS system (CleanSource UPS). The CleanSource UPS is also marketed by Caterpillar Inc. under the brand name, 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Between 2003 and 2005 we broadened our product offering and expanded our available markets by developing additional battery-free UPS systems to address customer needs at both higher and lower power levels. Our family of battery-free UPS products currently ranges from 65 kVA – 1200 kVA. By paralleling our megawatt-class UPS systems together, we currently provide 2400 kVA UPS systems and are able to provide up to 3600 kVA battery-free UPS systems to customers. In addition, we also provide customers with continuous power systems (CPS), which are comprised of our UPS systems, third party ancillary equipment such as engine generators and transfer switches, and installation and start up services.</w:t>
      </w:r>
    </w:p>
    <w:p>
      <w:pPr>
        <w:spacing w:after="0" w:line="132" w:lineRule="exact"/>
        <w:rPr>
          <w:sz w:val="20"/>
          <w:szCs w:val="20"/>
          <w:color w:val="auto"/>
        </w:rPr>
      </w:pPr>
    </w:p>
    <w:p>
      <w:pPr>
        <w:ind w:right="20" w:firstLine="456"/>
        <w:spacing w:after="0" w:line="260" w:lineRule="auto"/>
        <w:rPr>
          <w:sz w:val="20"/>
          <w:szCs w:val="20"/>
          <w:color w:val="auto"/>
        </w:rPr>
      </w:pPr>
      <w:r>
        <w:rPr>
          <w:rFonts w:ascii="Arial" w:cs="Arial" w:eastAsia="Arial" w:hAnsi="Arial"/>
          <w:sz w:val="17"/>
          <w:szCs w:val="17"/>
          <w:color w:val="auto"/>
        </w:rPr>
        <w:t xml:space="preserve">During 2004 and 2005 we developed a battery-free extended runtime technology (one that provides backup power for minutes to hours depending upon the application) that utilizes thermal and compressed air storage (TACAS). This TACAS technology typically operates at lower power levels than our flywheel products, and is sold as a minute-for-minute DC replacement for lead-acid batteries. This product is being marketed as the CoolAir </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DC. We shipped the first evaluation unit of this extended runtime product in December 2004, and shipped additional evaluation units during 2005 before formally launching this product for commercial sale in the fourth quarter of 2005. We recorded our first sale of CoolAir DC in December 2005, and will begin commercial production of CoolAir DC in 2006. In addition, where customers desire a complete backup solution with an extended runtime, we have introduced the CoolAir UPS that couples our CoolAir DC product with a third party double-conversion UPS. We entered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into a supply arrangement with General Electric in 2005 to provide us with the UPS component of this product.</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distribute our products through a variety of channels including OEMs, independent power quality representatives, manufacturer’s representatives, and through direct sales personnel to maximize market coverage and penetration. Our products are sold for use in the facilities of companies across many different industries that all share a critical need for reliable, high-quality power, such as broadcasters, hospitals, credit-card processing centers, semiconductor manufacturers, pharmaceutical manufacturers, plastics manufacturers, datacenters and electric utilities. Sales have been spread across many different countries from all regions of the world. Our primary markets are currently North America and Europe, Middle East and Africa (“EMEA”).</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Total revenue in 2005 increased 13% from 2004 due to an increasing market acceptance of our flywheel based products, especially our megawatt-class UPS product line and from a significant increase in sales of our DC product line. We believe revenues will continue to grow in 2006 from new product sales, in particular the megawatt-class UPS, and from additional CPS sales to industrial manufacturers globally. We have also made investments during 2005 in our sales organization to increase our level of direct sales staff, particularly in Europe and Northern Africa and believe that this will contribute to improved sales results in 2006.</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were able to improve our gross profit from -14% in 2004 to -1% in 2005 due largely to higher sales volumes and an increase in direct sales. Direct sales typically generate higher margins for us than sales that are made through our distribution channels. We were able to reduce our operating losses by 12% from 2004. This is primarily due to the absence of litigation expenses that we incurred in 2004, which was offset by higher selling and marketing expenses as we increased our direct sales force, and by higher development expenses as we continued the development of our CoolAir DC product.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Net cash used in operations decreased by $5.3 million or 20% from 2004 due to lower net losses and the absence of litigation-related payments. We have a</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history of operating losses and have not yet reached profitability. We believe that the success of our new product developments and direct sales efforts will help us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reduce our level of operating losses, however we expect to continue to incur operating losses for the next several quarters. This will continue to consume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and investments. During 2005 we completed a private placement of our shares that resulted in net proceeds to the Company of approximately $18.7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we used to finance the development of CoolAir and to develop our new market opportunities. Our total cash and investments at December 31, 2005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$42.0 million compared to $45.7 million at December 31, 2004. We believe that our cash and investments are sufficient to meet our operational needs for at least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next twelve months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an accounting policy to be critical if:</w:t>
      </w:r>
    </w:p>
    <w:p>
      <w:pPr>
        <w:spacing w:after="0" w:line="90" w:lineRule="exact"/>
        <w:rPr>
          <w:sz w:val="20"/>
          <w:szCs w:val="20"/>
          <w:color w:val="auto"/>
        </w:rPr>
      </w:pPr>
    </w:p>
    <w:p>
      <w:pPr>
        <w:ind w:left="780" w:right="2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accounting estimate requires us to make assumptions about matters that are highly uncertain or require the use of judgment at the time we make that estimate; and</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40" w:hanging="326"/>
        <w:spacing w:after="0" w:line="33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estimate that are reasonably likely to occur from period to period, or use of different estimates that we could have reasonably used instead in the current period, would have a material impact on our financial condition or results of operations.</w:t>
      </w:r>
    </w:p>
    <w:p>
      <w:pPr>
        <w:spacing w:after="0" w:line="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Management has reviewed the development and selection of these critical accounting estimates with the Audit Committee of our Board of Directors, and the Audit Committee has reviewed these disclosures. In addition, there are other items within our financial statements that require estimation, but are not deemed critical as defined above. Changes in these and other items could still have a material impact upon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Trade receivables are recorded at the stated amount, less an allowance for doubtful accounts. The allowance represents estimated uncollectible receivables associated with potential customer defaults on contractual obligations, usually due to the customer’s potential insolvency. The allowance includes amounts for certain customers where a risk of default has been specifically identified. In addition, the allowance includes a provision for customer defaults on a general formula basis when it is determined the risk of some default is probable and estimable, but cannot yet be associated with certain customers. The assessment of the likelihood of customer defaults is based on various factors, including the length of time the receivables are past due, risks unique to particular geographic regions, historical experience and existing economic conditions. Historically, a large portion of our sales have been made through OEM channels to a few large customers, and so our credit losses have been minimal. As we integrate additional distribution channels into our business and increase our direct sales to more, and smaller customers, the risk of credit loss may increase. In accordance with this policy, our allowance for doubtful accounts was $1.3 million and $135,000 at December 31, 2005 and 2004,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Inventories are priced at the lower of cost (using the first-in first out method) or market. We estimate inventory reserves on a quarterly basis and record reserves for obsolescence or slow-moving inventory based on assumptions about future demand and marketability of products, the impact of new product introductions, inventory turns and specific identification of items, such as product discontinuance, damaged goods or engineering/material changes.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estimated warranty liability costs are accrued for each of our products at the time of sale. Our estimates are principally based on assumptions regarding the lifetime warranty costs of each product, including where little or no claims experience may exist. Due to the uncertainty and potential volatility of these estimates, changes in our assumptions could have a material effect on our reported operating results. Our estimate of warranty liability is reevaluated on a quarterly basis. Experience has shown that initial data for a new product can be very volatile due to factors such as product failure rates, material usage and service delivery costs in correcting product failures; therefore our process relies upon long-term historical averages until sufficient data is available. As actual experience becomes available, it is used to modify the historical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averages to ensure that the forecast is within the range of likely outcomes. The resulting balances are then compared to current spending rates to ensure that the accruals are adequate to meet expected future obligations.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general, revenue for product sales is recognized when title has transferred to the customer as stipulated by the delivery terms in a sales contract. In addition, prior to revenue recognition we require persuasive written evidence of the arrangement, a fixed or determinable price, and a determination that collectibility is reasonably assured.</w:t>
      </w:r>
    </w:p>
    <w:p>
      <w:pPr>
        <w:spacing w:after="0" w:line="14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Revenue associated with the sale of extended warranties is recognized ratably over the contract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We apply Accounting Principles Board Opinion No. 25, “Accounting for Equity Issued to Employees” and related interpretations in accounting for our stock options. Accordingly, no compensation expense has been recognized for our stock option plans as all options granted under the plan had an exercise price equal to the market price at the time of grant. Net income in each of the years ended December 31, 2005, 2004 and 2003 would have been lower by $3.6 million, $5.4 million and $6.0 million, respectively, if we had applied the fair value recognition provisions of FAS No. 123, “Accounting for Stock-Based Compensation”. In accordance with the recently issued FAS No. 123R, beginning January 1, 2006 we will begin to record compensation expense in our income statement for the grant-date fair value of awards of equity instruments to employees. We will recognize compensation cost on a prospective basis as allowed by FAS No. 123R. We have used the Black-Scholes option-pricing model to determine our compensation expense for disclosure purposes and intend to use this as we apply FAS</w:t>
      </w:r>
    </w:p>
    <w:p>
      <w:pPr>
        <w:spacing w:after="0" w:line="323" w:lineRule="auto"/>
        <w:rPr>
          <w:sz w:val="20"/>
          <w:szCs w:val="20"/>
          <w:color w:val="auto"/>
        </w:rPr>
      </w:pPr>
      <w:r>
        <w:rPr>
          <w:rFonts w:ascii="Arial" w:cs="Arial" w:eastAsia="Arial" w:hAnsi="Arial"/>
          <w:sz w:val="16"/>
          <w:szCs w:val="16"/>
          <w:color w:val="auto"/>
        </w:rPr>
        <w:t>No. 123R. This model requires the use of a number of assumptions including expected volatility, expected term of options, the risk-free interest rate, and expected dividend yield. These assumptions directly affect the computation of fair value per share and the amount of compensation expense that we will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2005 to 2004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Product revenue primarily consists of sales of our CleanSource power quality products, comprising both UPS and DC product lines, and sales of Continuous Power Systems (CPS) which are comprised of our UPS systems, some combination of third party ancillary equipment, such as engine generators and switchgear, and installation and start-up services. The following table summarizes for the periods indicated, a year-over-year comparison of our product revenue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Annual</w:t>
            </w: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32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61"/>
        </w:trPr>
        <w:tc>
          <w:tcPr>
            <w:tcW w:w="86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Prior Year</w:t>
            </w:r>
          </w:p>
        </w:tc>
        <w:tc>
          <w:tcPr>
            <w:tcW w:w="3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$15,854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1,804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2004</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14,050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6,500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7,550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Product revenue represented 89% of total revenue in both 2005 and 2004. The increase in product revenue from 2004 was due to higher sales of our DC and megawatt-class UPS product lines and from a higher average sales price per flywheel, due to proportionately more wheels sold through our direct sales channel. Our direct sales channel has higher sales prices and profit margins compared to our OEM channel as we do not have to offer channel discounts on our direct sales. The average selling price in 2005 was $63,000 per quarter-megawatt flywheel, compared to $61,000 in 2004. A single product, depending on it power rating, may be comprised of multiple flywheel product units.</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2005 we sold 229 flywheel product units compared to 189 in 2004, a 21% increase. This includes a significantly higher number of DC wheels compared to 2004 that typically sell at lower average selling prices than our UPS wheels. Our CPS revenue declined by 35% in 2005 compared to 2004 and as a percent of product revenue decreased to 17% in 2005 from 30% in 2004. CPS revenue is typically tied to high power system sales and tend to be larger in amount and more infrequent, with a longer sales cycle. The frequency and timing of such revenues is more volatile and can result in material changes in period to period revenue based upon when revenue is recognized. We expect this volatility to continue with CPS revenues during 2006.</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continued to expand the territories in which we sold our Active Power branded products in 2005 as we increased our direct sales organization, particularly in Europe and Northern Africa. We anticipate higher revenues from these locations in 2006 as a result. Caterpillar represented 42% of our revenue in 2005 and was our largest single customer as well as our largest OEM customer. We increased sales to Caterpillar in 2005 that compliment their large engine generators, and as their generator sales increase, we anticipate increased revenue through this channel in 2006. We also have seen and anticipate a further increase in capital spending in datacenters where there is a requirement for higher-density power solutions such as flywheels, and believe that this will drive higher product revenue levels for us in 2006.</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2006, we will begin to offer our new CoolAir DC product for commercial sale. We do not yet know the adoption rate for this new technology, and as a result we do not anticipate this product to become a large portion of our revenues during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spares revenue</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Service and spares revenue primarily relates to revenue generated from installation, startup, repairs or reconfigurations of our products and the sale of spare or replacement parts to our OEM and end-user customers. It also includes revenue associated with the costs of travel of our service personnel. The following table summarizes for the periods indicated a year-over-year comparison of our service and spares revenue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Annual</w:t>
            </w:r>
          </w:p>
        </w:tc>
        <w:tc>
          <w:tcPr>
            <w:tcW w:w="4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42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61"/>
        </w:trPr>
        <w:tc>
          <w:tcPr>
            <w:tcW w:w="84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4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4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Prior Year</w:t>
            </w:r>
          </w:p>
        </w:tc>
        <w:tc>
          <w:tcPr>
            <w:tcW w:w="4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2004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1,733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The increase in our installed base of customers, particularly those arising from direct sales made by us, is driving the trend of higher service and spares revenue. Our revenue in 2005 was also helped by our OEM partners increasing their spare parts inventory levels to better service their end-user customers. We anticipate that service and spares revenue will continue to grow as our product revenue increases and as our installed base of product expands because as more units are sold to customers, more installation, startup and maintenance services will be required. As sales through our Active Power branded channel increase, these revenues will further increase because OEM’s would typically provide these services to their end-user customers. We plan to aggressively target this revenue stream for growth in 2006.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Cost of product revenue includes the cost of component parts of our products that are sourced from suppliers, personnel, equipment and other costs associated with our assembly and test operations including costs from having underutilized facilities, shipping costs, warranty costs, and the costs of manufacturing support functions such as logistics and quality assurance. The following table summarizes for the periods indicated, a year-over-year comparison of our cost of product revenue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Annual</w:t>
            </w:r>
          </w:p>
        </w:tc>
        <w:tc>
          <w:tcPr>
            <w:tcW w:w="120" w:type="dxa"/>
            <w:vAlign w:val="bottom"/>
          </w:tcPr>
          <w:p>
            <w:pPr>
              <w:spacing w:after="0"/>
              <w:rPr>
                <w:sz w:val="12"/>
                <w:szCs w:val="12"/>
                <w:color w:val="auto"/>
              </w:rPr>
            </w:pPr>
          </w:p>
        </w:tc>
        <w:tc>
          <w:tcPr>
            <w:tcW w:w="4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from</w:t>
            </w:r>
          </w:p>
        </w:tc>
        <w:tc>
          <w:tcPr>
            <w:tcW w:w="400" w:type="dxa"/>
            <w:vAlign w:val="bottom"/>
          </w:tcPr>
          <w:p>
            <w:pPr>
              <w:spacing w:after="0"/>
              <w:rPr>
                <w:sz w:val="12"/>
                <w:szCs w:val="12"/>
                <w:color w:val="auto"/>
              </w:rPr>
            </w:pPr>
          </w:p>
        </w:tc>
        <w:tc>
          <w:tcPr>
            <w:tcW w:w="9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1"/>
              </w:rPr>
              <w:t>Percent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61"/>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4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Prior Year</w:t>
            </w:r>
          </w:p>
        </w:tc>
        <w:tc>
          <w:tcPr>
            <w:tcW w:w="40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Change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20" w:type="dxa"/>
            <w:vAlign w:val="bottom"/>
            <w:shd w:val="clear" w:color="auto" w:fill="000000"/>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$16,159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2004</w:t>
            </w:r>
          </w:p>
        </w:tc>
        <w:tc>
          <w:tcPr>
            <w:tcW w:w="5440" w:type="dxa"/>
            <w:vAlign w:val="bottom"/>
            <w:gridSpan w:val="3"/>
          </w:tcPr>
          <w:p>
            <w:pPr>
              <w:jc w:val="right"/>
              <w:spacing w:after="0"/>
              <w:rPr>
                <w:sz w:val="20"/>
                <w:szCs w:val="20"/>
                <w:color w:val="auto"/>
              </w:rPr>
            </w:pPr>
            <w:r>
              <w:rPr>
                <w:rFonts w:ascii="Arial" w:cs="Arial" w:eastAsia="Arial" w:hAnsi="Arial"/>
                <w:sz w:val="18"/>
                <w:szCs w:val="18"/>
                <w:color w:val="auto"/>
              </w:rPr>
              <w:t>16,134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4,480</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38%</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58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11,654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460" w:type="dxa"/>
            <w:vAlign w:val="bottom"/>
          </w:tcPr>
          <w:p>
            <w:pPr>
              <w:jc w:val="right"/>
              <w:ind w:right="1412"/>
              <w:spacing w:after="0"/>
              <w:rPr>
                <w:sz w:val="20"/>
                <w:szCs w:val="20"/>
                <w:color w:val="auto"/>
              </w:rPr>
            </w:pPr>
            <w:r>
              <w:rPr>
                <w:rFonts w:ascii="Arial" w:cs="Arial" w:eastAsia="Arial" w:hAnsi="Arial"/>
                <w:sz w:val="18"/>
                <w:szCs w:val="18"/>
                <w:color w:val="auto"/>
              </w:rPr>
              <w:t>- 40 -</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Cost of product revenues was unchanged between 2005 and 2004, despite a 13% increase in the level of product revenues. This resulted in our gross margin, improving by 13 percentage points to -2% for the year. We were gross margin positive for the last three quarters of 2005.</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been able to improve our gross product margins by increasing the average selling price of our products that we sold. This is particularly true for products that we have sold directly, rather than through a distribution channel. As our direct sales increase, this will lead to improved product margins. In 2005 we increased sales of higher margin product options and features with the CPS and UPS systems we sold, which lead to a further increase in our average selling price.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also improved the efficiency and utilization of our manufacturing facility that has a large portion of fixed costs. We incur approximately $5 million per year in fixed costs for our manufacturing facility that has a capacity in excess of our current business requirements, and we expense the excess costs of the underutilization of this facility as part of our cost of product revenues. We now produce more goods with less overhead than in previous years. Some of this efficiency is driven by higher product volumes that allow for better utilization of our test facility and our manufacturing space. We also have ongoing programs within our engineering and manufacturing departments to lower product costs, to identify alternative and cheaper vendors if possible, and to improve the manufacturability of our products. These efforts have helped reduce our cost of product revenue and we anticipate further cost reductions. These benefits have been mitigated during 2005 by higher raw material and commodity price increases, but have allowed us to maintain prices despite the higher incoming costs of materials.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 and spares revenue</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Cost of service and spares revenue includes the cost of component parts that we use in service or sell as spare parts to customers, as well as the labor and overhead costs of our service organization, including travel and related costs incurred in fulfilling our service obligations to our customers. The following table summarizes for the periods indicated a year-over-year comparison of our cost of service and spares revenue,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Change</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Annual</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from</w:t>
            </w:r>
          </w:p>
        </w:tc>
        <w:tc>
          <w:tcPr>
            <w:tcW w:w="10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1"/>
              </w:rPr>
              <w:t>Percent</w:t>
            </w:r>
          </w:p>
        </w:tc>
        <w:tc>
          <w:tcPr>
            <w:tcW w:w="6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61"/>
        </w:trPr>
        <w:tc>
          <w:tcPr>
            <w:tcW w:w="73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3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4"/>
                <w:szCs w:val="14"/>
                <w:color w:val="auto"/>
              </w:rPr>
            </w:pPr>
          </w:p>
        </w:tc>
        <w:tc>
          <w:tcPr>
            <w:tcW w:w="10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Prior Year</w:t>
            </w: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1"/>
              </w:rPr>
              <w:t>Change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2004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(394)</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cost of service and spares revenue has decreased by 2% from 2004 at the same time that related revenues have increased by 12%. This decrease in cost of service and spares revenue was primarily due to higher selling prices for spare parts, as well as efficient utilization of our service labor as our installed base of customers has grown. Many of the costs of the service organization are fixed in nature, and higher volume of installation, startup and service work is resulting in improved efficiency and operating results for this group. We expect this trend to continue in 2006.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Research and development expense primarily consists of compensation and related costs of employees engaged in research, development and engineering activities, third party consulting and development activities, as well as an allocated portion of our occupancy costs. The following table summarizes for the periods indicated, a year-over-year comparison of our research and development expense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Annual</w:t>
            </w: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32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61"/>
        </w:trPr>
        <w:tc>
          <w:tcPr>
            <w:tcW w:w="86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Prior Year</w:t>
            </w:r>
          </w:p>
        </w:tc>
        <w:tc>
          <w:tcPr>
            <w:tcW w:w="3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$11,172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2004</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9,845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9,165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research and development efforts in 2005 were largely focused on the development of our new CoolAir DC product that is based on our thermal and compressed air technology platform, the paralleling of our megawatt-class UPS product, and our ongoing sustaining activities to help lower product costs on our existing products. The increase in spending compared to 2004 was largely attributable to a $913,000 technology impairment charge that we incurred in the fourth quarter of 2005. This charge relates to certain technology and license agreements that we entered into in 2000 and 2001. We have decided not to commercially pursue the underlying technology, but instead plan to focus our development efforts on our CoolAir product family. We also spent more on prototype materials in 2005 as we continued development of the CoolAir DC product. We believe that research and development expenses will decrease in 2006 (excluding the effect of this impairment charge), and that spending will be focused on completion of the CoolAir DC product, enhancements thereto, and sustaining engineering on existing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Selling, general and administrative expense is primarily comprised of compensation and related costs for sales, marketing and administrative personnel, selling and marketing expenses, professional fees, and the allowance for doubtful accounts expense. The following table summarizes for the periods indicated, a year-over-year comparison of our selling, general and administrative expense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Annual</w:t>
            </w: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32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61"/>
        </w:trPr>
        <w:tc>
          <w:tcPr>
            <w:tcW w:w="86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Prior Year</w:t>
            </w:r>
          </w:p>
        </w:tc>
        <w:tc>
          <w:tcPr>
            <w:tcW w:w="3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$13,908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2,327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2004</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11,581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2,226</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9,355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increase in selling, general and administrative expense from 2004 to 2005 was primarily attributable to an increase in our allowance for doubtful accounts of $1.2 million that we made in the fourth quarter of 2005 because of collection difficulties with a foreign customer,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and from a $884,000 charge in 2005 resulting from the finalization of multi-year state sales tax audits. We also made significant investments in our sales and marketing departments in 2005 to increase our direct sales capabilities, particularly in EMEA. We have opened several offices in this region, and expect these investments to contribute to higher revenue levels in 2006. We have been able to offset these higher costs by lowering other administrative expenses in 2005 compared to 2004, particularly with regard to compliance costs of the Sarbanes-Oxley Act, insurance expenses, and legal fees related to the Magnex lawsuit. Excluding the sales tax charges and doubtful accounts expense, we would anticipate that our spending in sales and marketing in particular, will continue to increase as we increase our direct product revenue, and continue to expand our presence in international markets.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our interest income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Change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Annual</w:t>
            </w:r>
          </w:p>
        </w:tc>
        <w:tc>
          <w:tcPr>
            <w:tcW w:w="42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from</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61"/>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4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Prior Year</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$1,632</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566</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2004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1,066</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(725)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increase in interest income from 2004 to 2005 is primarily attributable to rising interest rates in the US over the last 18 months. We also altered our investment strategy to move more investments into short-term instruments rather than longer-term investments, to take advantage of the rising interest rate environment. We expect interest income to fluctuate depending on cash and investment balances and trends in interest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Due to operating losses, we have not recorded any income tax expenses, other than minimum or statutory costs. As of December 31, 2005, our accumulated net operating loss carryforward was $164.6 million and our research and development credit carryforwards were $2.8 million. We anticipate that these loss carryforward amounts will offset future taxable income that we may achieve and future tax liabilities; however, because of uncertainty regarding our ability to use these carryforwards and the potential limitations due to ownership changes, we have established a valuation allowance for the full amount of our net deferred tax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Market Value of Additional Investment Rights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February 2005, we completed a private placement of 5,454,510 shares of our common stock to certain qualified investors at a price of $3.64 per share, resulting in aggregate proceeds of $19.8 million. In connection with this offering, we offered these investors Additional Investor Rights to purchase a further 1,636,353 shares of common stock at the $3.64 price for a limited period of time.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 xml:space="preserve">In accordance with the requirements of 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we established the fair value of the Additional Investment Rights at the time of the offering based on the proceeds of the offering and the relative fair values of the securities and the Additional Investment Rights. We used the Black-Scholes valuation model to determine the fair value of the Additional Investment Rights, and accordingly, attributed a value of $964,000 to the Additional Investment Rights which was recorded as paid in capital. Changes in the value of the Additional Investment Rights subsequent to the date of issuance due to fluctuations in the market value of our common stock were required to be reflected in our earnings and we revalued these rights at each reporting date. The Additional Investment Rights expired unexercised in the third quarter of 2005, and as a result, we recorded a gain of $964,000 to our 2005 earnings.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2004 results to 2003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general, the increase in product revenue from 2003 to 2004 was primarily due to a broader market acceptance of our flywheel based UPS products which resulted in significant increases in sales through our Caterpillar OEM channel, and through our direct Active Power branded channel. Active Power branded sales in 2004 increased by $3.9 million or 162% largely due to $4.1 million in CPS sales to an industrial manufacturer in Africa. We also benefited from an increase in sales of our new 65 to 150 kVA and megawatt-class UPS products.</w:t>
      </w:r>
    </w:p>
    <w:p>
      <w:pPr>
        <w:spacing w:after="0" w:line="143"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In 2004 we sold 189 flywheel product units compared to 127 flywheels in 2003, a 49% increase. The average selling price of our base flywheel product units increased from $56,000 to $61,000. The increase in average selling price is primarily driven by a change in product mix to higher margin products and a higher level of product options being purchased with systems sold. We sold fewer DC units during fiscal 2004 as compared to 2003. DC units typically have a lower average selling price compared to our UPS product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increase in cost of product revenue for 2004 as compared to 2003 was primarily driven by higher product sales. Our gross margin, while still negative, improved by 43 percentage points.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gross margin improved due to the following items:</w:t>
      </w:r>
    </w:p>
    <w:p>
      <w:pPr>
        <w:spacing w:after="0" w:line="90"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improvements in manufacturing efficiencies, particularly facilities, test line and support function utilization, due to higher volumes;</w:t>
      </w:r>
    </w:p>
    <w:p>
      <w:pPr>
        <w:spacing w:after="0" w:line="90" w:lineRule="exact"/>
        <w:rPr>
          <w:rFonts w:ascii="Arial" w:cs="Arial" w:eastAsia="Arial" w:hAnsi="Arial"/>
          <w:sz w:val="18"/>
          <w:szCs w:val="18"/>
          <w:color w:val="auto"/>
        </w:rPr>
      </w:pPr>
    </w:p>
    <w:p>
      <w:pPr>
        <w:ind w:left="780" w:right="20" w:hanging="326"/>
        <w:spacing w:after="0" w:line="306"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higher UPS selling prices associated with a higher level of product options purchased with systems sold. Product options are features in addition to our base UPS system that a customer can purchase to improve the product’s functionality or to better suit the customer’s needs. By way of example, one such product option is a generator start option that improves the start reliability of a customer’s</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engine generator. Product options sales typically have a higher margin than our standard UPS systems;</w:t>
      </w:r>
    </w:p>
    <w:p>
      <w:pPr>
        <w:spacing w:after="0" w:line="104" w:lineRule="exact"/>
        <w:rPr>
          <w:sz w:val="20"/>
          <w:szCs w:val="20"/>
          <w:color w:val="auto"/>
        </w:rPr>
      </w:pPr>
    </w:p>
    <w:p>
      <w:pPr>
        <w:ind w:left="780" w:right="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sale of numerous products during 2004 that had, or contained components that had, previously been written down as potentially excess or obsolete inventory. As a result, our cost of revenue benefited by approximately $750,000 in fiscal 2004; and</w:t>
      </w:r>
    </w:p>
    <w:p>
      <w:pPr>
        <w:spacing w:after="0" w:line="50"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material cost reductions on component parts for our flywheel based products due to engineering-driven cost reductions, supplier pricing discounts associated with increased order quantities, and the engagement of several lower priced suppliers.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third quarter of 2004, our service group was reorganized to shift its focus from an OEM support group to a revenue generating profit center. To reflect this change, we are now including service costs as a component of our cost of revenue.</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have made significant strides in reducing our gross margin losses and generated positive gross margin in the fourth quarter of 2004. Items that can impact our gross margins include sales volumes, pricing, sales discounts and customer incentives, product mix including the level of project revenue from CPS system sales, currency fluctuations, and variations in our manufacturing cost and productivity.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Our 2004 research and development efforts were focused on completing the development of our megawatt-class UPS product line, the paralleling of our megawatt-class UPS product and the development of our new CoolAir DC product and its TACAS technology platform. The increase in research and development expense from 2003 to 2004 is attributable to the additional development efforts on our CoolAir DC product, including materials and outside consulting on prototype and evaluation units.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increase in selling, general and administrative expense from 2003 to 2004 was primarily attributable to $667,000 higher accounting and consulting fees associated with our implementation efforts to comply with the requirements of Sarbanes-Oxley, $1.2 million increase in legal fees related to the Magnex lawsuit and increases in commissions and bonuses due to higher sales levels and channel development efforts.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settlement expenses.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October 15, 2004 we settled the Magnex Corp. litigation for $4.8 million. Earlier in the year an additional $280,000 was paid to one of the plaintiffs for a total settlement of approximately $5.1 million. We did not have any litigation settlement expenses in 2003 or 2002.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ended 2005 with $42.0 million of cash and investments on hand, compared to $45.7 million at December 31, 2004. This strong financial position has allowed us to continue funding our operations, while simultaneously funding the development of our CoolAir product family that we believe will contribute significantly to our long-term health.</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February 2005, we completed a private placement of our common stock that resulted in net proceeds to us of $18.7 million. These funds were obtained to help fund the CoolAir product development and the expansion of our sales and marketing organizations to facilitate more direct product sales. We have funded our business to date through private and public offerings of our common stock, including our initial public offering in 2000 that resulted in net proceeds to us of $138.4 million. We have also received development funding from Caterpillar of $10.0 million since 1999 that we have used to fund certain product development relating to our UPS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9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used $21.4 million of cash in funding our operating activities during 2005. This was $5.3 million or 20% lower than the $26.8 million that we consumed during 2004. This was primarily due to lower operating losses in 2005 due to the absence of litigation-related expenses, and from the absence of litigation-related payments that we made in 2004. This was offset by settlement amounts paid for multi-year state sales tax audits during 2005. The following table summarizes the yearly changes in cash used in operating activities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Change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Annual</w:t>
            </w: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from</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48"/>
        </w:trPr>
        <w:tc>
          <w:tcPr>
            <w:tcW w:w="8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9"/>
              </w:rPr>
              <w:t>Prior Year</w:t>
            </w:r>
          </w:p>
        </w:tc>
        <w:tc>
          <w:tcPr>
            <w:tcW w:w="6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 (21,440)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5,349</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2004</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(26,789)</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(9,863)</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(16,926)</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working capital did not change in aggregate significantly from 2004. Receivables have increased in line with higher quarterly revenues, and inventories have increased by 7%, driven by higher sales volume. These increases in working capital have been reduced by and financed by higher trade payables and accrued liabilities.</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Cash used in investing activities was $8.3 million in 2005 compared to $31.4 million that was provided from investing activities in 2004. This difference is largely due to the timing of purchases and sales of short and long-term investments that we hold, and that we redeem periodically to finance our operations. Our purchases of property and equipment increased from $323,000 in 2004 to $1.7 million in 2005. This increase was due to the investments that we are making in equipment and infrastructure as we get ready to begin commercial production of the CoolAir product family, and from investments made to facilitate the development of paralleled megawatt-class UPS products.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Cash provided from financing activities was $19.7 million in 2005 compared to $945,000 in 2004. This difference is due to the $18.7 million net proceeds we received in February 2005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from the private placement of shares of common stock. We also received funds from the exercise of employee stock options and proceeds from our employee share purchase program.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 of cash</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our day-to-day operations, we incur commitments to make future payments for goods and services. These arise from entering into operating leases and as we make commitments to vendors to provide us materials and services. The following table summarizes our significant contractual obligations and commitments at December 31, 2005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2007</w:t>
            </w:r>
          </w:p>
        </w:tc>
        <w:tc>
          <w:tcPr>
            <w:tcW w:w="3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3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996</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$798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$ 71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Purchase obligations</w:t>
            </w:r>
          </w:p>
        </w:tc>
        <w:tc>
          <w:tcPr>
            <w:tcW w:w="3920" w:type="dxa"/>
            <w:vAlign w:val="bottom"/>
            <w:gridSpan w:val="3"/>
          </w:tcPr>
          <w:p>
            <w:pPr>
              <w:jc w:val="right"/>
              <w:ind w:right="300"/>
              <w:spacing w:after="0"/>
              <w:rPr>
                <w:sz w:val="20"/>
                <w:szCs w:val="20"/>
                <w:color w:val="auto"/>
              </w:rPr>
            </w:pPr>
            <w:r>
              <w:rPr>
                <w:rFonts w:ascii="Arial" w:cs="Arial" w:eastAsia="Arial" w:hAnsi="Arial"/>
                <w:sz w:val="18"/>
                <w:szCs w:val="18"/>
                <w:color w:val="auto"/>
              </w:rPr>
              <w:t>5,547</w:t>
            </w:r>
          </w:p>
        </w:tc>
        <w:tc>
          <w:tcPr>
            <w:tcW w:w="6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3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214</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expect the level of capital investments to decrease in 2006 from 2005 due to the absence of manufacturing-related investments that we will need to make. We intend to make capital investments for marketing purposes as we open demonstration centers in Europe to facilitate our sales efforts, and to help with the commercial launch of CoolAir DC.</w:t>
      </w:r>
    </w:p>
    <w:p>
      <w:pPr>
        <w:spacing w:after="0" w:line="14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Beyond the next twelve months, our cash requirements will depend on many factors, including the rate of sales growth, the market acceptance of our products,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that may affect liquidity</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currently evaluating different ways that we can sell our CoolAir products to customers. We are planning to offer usage programs to our customers whereby they pay a periodic fee over a specified commitment period for a DC solution, and we provide the equipment and all related services. We believe that this will accelerate the adoption of the CoolAir products as well as provide future guaranteed income streams from long-term usage agreements. This could have a material financial impact upon our business if we have to fund the capital cost of this equipment from our existing capital resources. We believe that we can obtain third party financing or even sell the usage income streams to third party financial institutions if we desire and to mitigate the cost, although to date we have not entered into any agreements to do so.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Years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principal sources of liquidity at December 31, 2004 consisted of $45.7 million of cash and investments. The following table summarizes the yearly changes in cash used in operating activities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Change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Annual</w:t>
            </w: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from</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148"/>
        </w:trPr>
        <w:tc>
          <w:tcPr>
            <w:tcW w:w="8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9"/>
              </w:rPr>
              <w:t>Prior Year</w:t>
            </w:r>
          </w:p>
        </w:tc>
        <w:tc>
          <w:tcPr>
            <w:tcW w:w="6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 (26,789)</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 (9,863)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2003</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(16,926)</w:t>
            </w:r>
          </w:p>
        </w:tc>
        <w:tc>
          <w:tcPr>
            <w:tcW w:w="600" w:type="dxa"/>
            <w:vAlign w:val="bottom"/>
          </w:tcPr>
          <w:p>
            <w:pPr>
              <w:jc w:val="right"/>
              <w:spacing w:after="0"/>
              <w:rPr>
                <w:sz w:val="20"/>
                <w:szCs w:val="20"/>
                <w:color w:val="auto"/>
              </w:rPr>
            </w:pPr>
            <w:r>
              <w:rPr>
                <w:rFonts w:ascii="Arial" w:cs="Arial" w:eastAsia="Arial" w:hAnsi="Arial"/>
                <w:sz w:val="18"/>
                <w:szCs w:val="18"/>
                <w:color w:val="auto"/>
              </w:rPr>
              <w:t>5,662</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(22,558)</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increase in cash used in 2004 was largely attributable to a higher net loss and increases in working capital as our business volumes have increased. The higher net loss was primarily driven by the Magnex lawsuit settlement of approximately $5.1 million and higher general and administrative expenses due to the legal fees associated with the Magnex litigation, as well as the additional costs related to our implementation efforts to comply with the requirements of Sarbanes-Oxley. The increase in working capital was primarily due to our accounts receivable balance that increased by $2.6 million in 2004 compared to 2003 due to the timing of sales and collections. The decrease in cash used in 2003 was attributable to a lower net loss, which was primarily driven by our lower operating expenses during 2003 as compared to 2002. In addition, we reduced our inventory purchases considerably during 2003, which in turn decreased our cash usage.</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Capital expenditures were $323,000, $957,000 and $788,000 in 2004, 2003 and 2002, respectively. In 2004 our expenditures were principally for sustaining our manufacturing test line, as well as computer upgrades and additions. In 2003 our expenditures were principally for the consolidation of our sales and marketing and administrative groups into our manufacturing facility, as well as additional engineering lab equipment, and computer equipment and software for general corporate purposes. In 2002 our expenditures were principally for the upgrade of our engineering test capabilities, as well as improvements to our information technology equipment and software capabilities.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In December 2004, the FASB issued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(“SFAS 123R”), which supersedes APB 25, SFAS 123 and related implementation guidelines. The pronouncement is effective for annual periods beginning after June 15, 2005. Under this pronouncement, stock-based compensation to employees is required to be recognized as a charge to the Statement of Operations and such charge is required to be measured according to the fair value of the stock options. Pro forma disclosure will no longer be an alternative. In the absence of an observable market price for the stock awards, the fair value of the stock options will be based upon a valuation methodology that takes into consideration various factors, including the exercise price of the option, the expected term of the option, the current price of the underlying shares, the expected volatility of the underlying shares, the expected dividends on the underlying shares and the risk-free interest rate. SEC Staff Accounting Bulletin No. 107, issued in March 2005, provides further clarification of how to determine the fair value of stock awards.</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will adopt the delayed provisions of SFAS 123R beginning January 1, 2006 using a modified version of prospective application, as allowed by the standard. Under this modified prospective application method, SFAS 123R will be applied to new stock awards granted after the date of adoption and to awards modified, repurchased or cancelled after January 1, 2006.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Additionally, compensation costs for the portion of stock awards for which the requisite service has not been rendered/vested that are outstanding as of January 1, 2006 shall be recognized as the requisite service is rendered after January 1, 2006. The compensation costs for that portion of stock awards shall be based on the grant-date fair value of those awards as calculated for pro-forma disclosures under SFAS 123.</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anticipate that the impact of adopting SFAS 123R on net income and earnings per share will approximate the impact of the adjustments made to determine pro forma net income and pro forma earnings per share under SFAS 123, as described in Note 2 of our financial statements, although there are certain differences between the requirements of SFAS 123 and SFAS 123R that may result in differences from the amounts disclosed in Note 2.</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In November 2004, the FASB issued SFAS No.151, </w:t>
      </w:r>
      <w:r>
        <w:rPr>
          <w:rFonts w:ascii="Arial" w:cs="Arial" w:eastAsia="Arial" w:hAnsi="Arial"/>
          <w:sz w:val="16"/>
          <w:szCs w:val="16"/>
          <w:i w:val="1"/>
          <w:iCs w:val="1"/>
          <w:color w:val="auto"/>
        </w:rPr>
        <w:t>Inventory Costs, an Amendment of Accounting Research Bulletin (“ARB”) No. 43, Chapter 4</w:t>
      </w:r>
      <w:r>
        <w:rPr>
          <w:rFonts w:ascii="Arial" w:cs="Arial" w:eastAsia="Arial" w:hAnsi="Arial"/>
          <w:sz w:val="16"/>
          <w:szCs w:val="16"/>
          <w:color w:val="auto"/>
        </w:rPr>
        <w:t xml:space="preserve"> (“SFAS 151”). SFAS 151 amends ARB No. 43, Chapter 4, to clarify that amounts of idle facility expense, freight, handling costs and wasted materials (spoilage) be recognized as current period charges. It also requires that allocation of fixed production overheads to the costs of conversion be based on the normal capacity of the production facilities. SFAS 151 is effective for inventory costs incurred during fiscal years beginning after June 15, 2005. We do not believe that the adoption of SFAS 151 will have a material impact on our results of operations or fiscal position</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In March 2005 the FASB issued FASB Interpretation No. 47, </w:t>
      </w:r>
      <w:r>
        <w:rPr>
          <w:rFonts w:ascii="Arial" w:cs="Arial" w:eastAsia="Arial" w:hAnsi="Arial"/>
          <w:sz w:val="16"/>
          <w:szCs w:val="16"/>
          <w:i w:val="1"/>
          <w:iCs w:val="1"/>
          <w:color w:val="auto"/>
        </w:rPr>
        <w:t>Accounting for Conditional Asset Retirement Obligations</w:t>
      </w:r>
      <w:r>
        <w:rPr>
          <w:rFonts w:ascii="Arial" w:cs="Arial" w:eastAsia="Arial" w:hAnsi="Arial"/>
          <w:sz w:val="16"/>
          <w:szCs w:val="16"/>
          <w:color w:val="auto"/>
        </w:rPr>
        <w:t xml:space="preserve"> (“FIN 47”)</w:t>
      </w:r>
      <w:r>
        <w:rPr>
          <w:rFonts w:ascii="Arial" w:cs="Arial" w:eastAsia="Arial" w:hAnsi="Arial"/>
          <w:sz w:val="16"/>
          <w:szCs w:val="16"/>
          <w:i w:val="1"/>
          <w:iCs w:val="1"/>
          <w:color w:val="auto"/>
        </w:rPr>
        <w:t>.</w:t>
      </w:r>
      <w:r>
        <w:rPr>
          <w:rFonts w:ascii="Arial" w:cs="Arial" w:eastAsia="Arial" w:hAnsi="Arial"/>
          <w:sz w:val="16"/>
          <w:szCs w:val="16"/>
          <w:color w:val="auto"/>
        </w:rPr>
        <w:t xml:space="preserve"> FIN 47 requires a company to recognize a liability for the fair value of a conditional asset retirement obligation if the fair value of the liability can be reasonably recognized. A conditional asset retirement obligation refers to a legal obligation to perform an asset retirement activity, such as restoring a facility to its original condition, and where the timing and method of settlement are contingent upon a future event, that may or may not be beyond the company’s control. This liability should be recognized when incurred; typically upon acquisition or entering into a lease. FIN 47 provides guidance as to when suitable information exists to enable a company to determine its liability for a contingent asset retirement obligation. If insufficient information exits to enable a company to measure the liability when incurred, it shall recognize a liability in the period when sufficient information becomes available to estimate its fair value. The Company is currently assessing the financial impact of adopting FIN 47 and is obtaining the information necessary to make a determination of the financial impact of adoption.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$310,000.</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Because of the nature of the majority of our investments, we do not believe a 1% decline in interest rates would have a material effect on their fair value.</w:t>
      </w:r>
    </w:p>
    <w:p>
      <w:pPr>
        <w:spacing w:after="0" w:line="19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Our international sales have historically been made in U.S. dollars. As the Company increases sales in foreign markets, it is making more sales that are denominated in other currencies, primarily Euros. Those sales in currencies other than U.S. dollars can result in translation gains and losses which have been minimal to date. Currently, we do not engage in hedging activities for our international operations. However, we may engage in hedging activities in the future.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international business is subject to the typical risks of any international business, including, but not limited to, the risks described in Item 1 – “Business</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Additional Factors that May Affect Future Results.” Accordingly, our future results could be materially harmed by the actual occurrence of any of these or other risks.</w:t>
      </w:r>
    </w:p>
    <w:p>
      <w:pPr>
        <w:spacing w:after="0" w:line="2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Selected Quarterly Financial Data.</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Financial Statements and Selected Quarterly Financial Data required by this item are included in Part IV, Item 15(a)(1) and are presented beginning on Page F-1.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Effectiveness of Disclosure Controls and Procedures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performed an evaluation under the supervision and with the participation of our management, including our Chief Executive Officer and Chief Financial Officer, of the effectiveness of our disclosure controls and procedures, as defined in Rule 13a–15(e) and 15d–15(f) under the Securities Exchange Act of 1934 (the Exchange Act). Based upon this evaluation, the Chief Executive Officer and Chief Financial Officer concluded that, as of December 31, 2005, the disclosure controls and procedures were effective to ensure that information required to be disclosed in our Exchange Act filings is recorded, processed, summarized and reported within the time periods specified in the Securities and Exchange Commission’s rules and forms.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and for performing an assessment of the effectiveness of internal control over financial reporting as of December 31, 2005. Our internal control assessment process was designed to provide reasonable assurance to our management and board of directors regarding the reliability of financial reporting and the preparation and fair presentation of published financial statements in accordance with U.S. generally accepted accounting principles.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All internal control systems, no matter how well designed, have inherent limitations and may not prevent or detect misstatements. Therefore even those systems determined to be effective can only provide reasonable assurance with respect to financial reporting reliability and financial statement preparation and presentation. In addition, projections of any evaluations of effectiveness to future periods are subject to the risk that controls become inadequate because of changes in conditions or the deterioration of compliance with the policies or procedures in place may occur.</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assessed the effectiveness of our internal control over financial reporting as of December 31, 2005. In making this assessment, we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Based on our assessment, management concluded that, as of December 31, 2005, the Company’s internal control over financial reporting was effective to provide reasonable assurance regarding the reliability of financial reporting and the preparation of financial statements for external purposes in accordance with U.S. generally accepted accounting principles.</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management’s assessment of the effectiveness of our internal controls over financial reporting as of December 31, 2005 has been audited by Ernst &amp; Young LLP, an independent registered public accounting firm. This report appears on page F-2 in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There have been no change in our internal controls over financial reporting during our most recent fiscal quarter that has materially affected, or is reasonably likely to materially affect, our internal controls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260"/>
          </w:cols>
          <w:pgMar w:left="240" w:top="459" w:right="3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biographical information concerning our current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Name</w:t>
            </w:r>
          </w:p>
        </w:tc>
        <w:tc>
          <w:tcPr>
            <w:tcW w:w="22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5"/>
              </w:rPr>
              <w:t>Age</w:t>
            </w:r>
          </w:p>
        </w:tc>
        <w:tc>
          <w:tcPr>
            <w:tcW w:w="200" w:type="dxa"/>
            <w:vAlign w:val="bottom"/>
          </w:tcPr>
          <w:p>
            <w:pPr>
              <w:spacing w:after="0"/>
              <w:rPr>
                <w:sz w:val="15"/>
                <w:szCs w:val="15"/>
                <w:color w:val="auto"/>
              </w:rPr>
            </w:pPr>
          </w:p>
        </w:tc>
        <w:tc>
          <w:tcPr>
            <w:tcW w:w="522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5540" w:type="dxa"/>
            <w:vAlign w:val="bottom"/>
          </w:tcPr>
          <w:p>
            <w:pPr>
              <w:spacing w:after="0" w:line="195" w:lineRule="exact"/>
              <w:rPr>
                <w:sz w:val="20"/>
                <w:szCs w:val="20"/>
                <w:color w:val="auto"/>
              </w:rPr>
            </w:pPr>
            <w:r>
              <w:rPr>
                <w:rFonts w:ascii="Arial" w:cs="Arial" w:eastAsia="Arial" w:hAnsi="Arial"/>
                <w:sz w:val="18"/>
                <w:szCs w:val="18"/>
                <w:color w:val="auto"/>
              </w:rPr>
              <w:t>Joseph F. Pinkerton, III</w:t>
            </w:r>
          </w:p>
        </w:tc>
        <w:tc>
          <w:tcPr>
            <w:tcW w:w="220" w:type="dxa"/>
            <w:vAlign w:val="bottom"/>
          </w:tcPr>
          <w:p>
            <w:pPr>
              <w:spacing w:after="0"/>
              <w:rPr>
                <w:sz w:val="16"/>
                <w:szCs w:val="16"/>
                <w:color w:val="auto"/>
              </w:rPr>
            </w:pP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James Clishem</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John K. Penver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Vice President of Finance, Chief Financial Officer and Secretary</w:t>
            </w:r>
          </w:p>
        </w:tc>
      </w:tr>
    </w:tbl>
    <w:p>
      <w:pPr>
        <w:spacing w:after="0" w:line="150"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Joseph F. Pinkerton, III</w:t>
      </w:r>
      <w:r>
        <w:rPr>
          <w:rFonts w:ascii="Arial" w:cs="Arial" w:eastAsia="Arial" w:hAnsi="Arial"/>
          <w:sz w:val="16"/>
          <w:szCs w:val="16"/>
          <w:color w:val="auto"/>
        </w:rPr>
        <w:t>, our founder, has served as our Chief Executive Officer and director since August 1992. From August 1992 until November 2005</w:t>
      </w:r>
      <w:r>
        <w:rPr>
          <w:rFonts w:ascii="Arial" w:cs="Arial" w:eastAsia="Arial" w:hAnsi="Arial"/>
          <w:sz w:val="16"/>
          <w:szCs w:val="16"/>
          <w:b w:val="1"/>
          <w:bCs w:val="1"/>
          <w:color w:val="auto"/>
        </w:rPr>
        <w:t xml:space="preserve"> </w:t>
      </w:r>
      <w:r>
        <w:rPr>
          <w:rFonts w:ascii="Arial" w:cs="Arial" w:eastAsia="Arial" w:hAnsi="Arial"/>
          <w:sz w:val="16"/>
          <w:szCs w:val="16"/>
          <w:color w:val="auto"/>
        </w:rPr>
        <w:t>he also served as our President. He was elected Chairman of the Board in December 2001. Mr. Pinkerton formed our company in 1992 as Magnetic Bearing Technologies, Inc. Prior to founding Active Power, Mr. Pinkerton was a principal with Fundamental Research Company (FRC), in Walled Lake, Michigan. Mr. Pinkerton received a B.A. in Physics from Albion College, in association with Columbia University.</w:t>
      </w:r>
    </w:p>
    <w:p>
      <w:pPr>
        <w:spacing w:after="0" w:line="10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James Clishem </w:t>
      </w:r>
      <w:r>
        <w:rPr>
          <w:rFonts w:ascii="Arial" w:cs="Arial" w:eastAsia="Arial" w:hAnsi="Arial"/>
          <w:sz w:val="16"/>
          <w:szCs w:val="16"/>
          <w:color w:val="auto"/>
        </w:rPr>
        <w:t>was hired as our Vice President of Business Development in June 2005. He was promoted to be our President and Chief Operating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in November 2005. Mr. Clishem came to Active Power from Peregrine Systems, Inc., a publicly traded enterprise software company, where he served as Vice President of Business Development focusing on global alliances since 2004. From 1999 until it was sold in 2004, he was founder-CEO of Xodiax, a profitable managed IT services business, which was recognized by Inc Magazine as one of the fastest growing privately held companies in the country. Mr. Clishem also served as Vice President of Data Services for Broadwing Communications, where he had P&amp;L responsibility for a $150 million business unit. He has also held various senior roles at MCI, Ericsson, and Tandem Computers. Mr.Clishem holds a B.S. and M.S. in electrical engineering from the University of Louisville and an M.B.A from Southern Methodist University in Dallas, Texas.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John K. Penver </w:t>
      </w:r>
      <w:r>
        <w:rPr>
          <w:rFonts w:ascii="Arial" w:cs="Arial" w:eastAsia="Arial" w:hAnsi="Arial"/>
          <w:sz w:val="16"/>
          <w:szCs w:val="16"/>
          <w:color w:val="auto"/>
        </w:rPr>
        <w:t>was hired to become our Chief Financial Officer and Vice President of Finance on February 28, 2005. From May 2004 to February 2005,</w:t>
      </w:r>
      <w:r>
        <w:rPr>
          <w:rFonts w:ascii="Arial" w:cs="Arial" w:eastAsia="Arial" w:hAnsi="Arial"/>
          <w:sz w:val="16"/>
          <w:szCs w:val="16"/>
          <w:b w:val="1"/>
          <w:bCs w:val="1"/>
          <w:color w:val="auto"/>
        </w:rPr>
        <w:t xml:space="preserve"> </w:t>
      </w:r>
      <w:r>
        <w:rPr>
          <w:rFonts w:ascii="Arial" w:cs="Arial" w:eastAsia="Arial" w:hAnsi="Arial"/>
          <w:sz w:val="16"/>
          <w:szCs w:val="16"/>
          <w:color w:val="auto"/>
        </w:rPr>
        <w:t>Mr. Penver served as Chief Financial Officer of PerformanceRetail, Inc., a privately held retail management software company. Prior to that, Mr. Penver served as Chief Financial Officer of Factory Logic, Inc., a privately held enterprise-application software company, from September 2002 to April 2004. From October 2001, to August 2002, Mr. Penver served as an independent business consultant to several privately held companies. From March 2000 to September 2001, Mr. Penver served as Chief Financial Officer and Vice President of Finance and Human Resources for Yclip Corporation, a privately held internet-marketing software company. From February 1997 through March 2000, Mr. Penver was Vice President of Finance for Silicon Gaming, Inc., a publicly traded manufacturer of high-technology slot machines for the gaming industry. Mr. Penver is a Certified Public Accountant and a Chartered Accountant, and holds a Bachelor of Business in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Accounting from Monash University in Australia and an M.B.A. from Santa Clara University in California.</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Further information required by this Item will be included under the sections captioned “Proposal One: Election of Directors”, “Executive Compensation and Other Information”, “Compliance with Section 16(a) of the Securities Exchange Act of 1934” and “Code of Ethics” in our Proxy Statement for the 2006 Annual Meeting of Stockholders, which information is incorporated into this Annual Report by reference.</w:t>
      </w:r>
    </w:p>
    <w:p>
      <w:pPr>
        <w:spacing w:after="0" w:line="134"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Code of Ethics. </w:t>
      </w:r>
      <w:r>
        <w:rPr>
          <w:rFonts w:ascii="Arial" w:cs="Arial" w:eastAsia="Arial" w:hAnsi="Arial"/>
          <w:sz w:val="16"/>
          <w:szCs w:val="16"/>
          <w:color w:val="auto"/>
        </w:rPr>
        <w:t>We have adopted a Code of Business Conduct and Ethics that applies to all officers, directors, employees and consultants. The Code of</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Conduct and Ethics is intended to comply with Item 406 of Regulation S-K of the Securities Exchange Act of 1934 and with the applicable rules of The NASDAQ Stock Market, Inc. Our Code of Business Conduct and Ethics is posted on our internet website under the “Company” page. Our internet website address is http://www.activepower.com. Further information required by this Item will be disclosed in our Proxy Statement for the 2006 Annual Meeting of Stockholders, which information is incorporated into this Annual Report by reference.</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information required by this Item will be included under the sections captioned “Executive Compensation and Other Information” and “Certain Transactions” in our Proxy Statement for the 2006 Annual Meeting of Stockholders, which information is incorporated into this Annual Report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information required by this Item will be included under the section captioned “Ownership of Securities” in our Proxy Statement for the 2006 Annual Meeting of Stockholders, which information is incorporated into this Annual Report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information required by this Item will be included under the section captioned “Certain Transactions” in our Proxy Statement for the 2006 Annual Meeting of Stockholders, which information is incorporated into this Annual Report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Information required by this Item will be included under the section captioned “Proposal 2: Ratification of Selection of Independent Auditors” in our Proxy Statement for the 2006 Annual Meeting of Stockholders, which information is incorporated into this Annual Report by reference.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77" w:lineRule="exact"/>
        <w:rPr>
          <w:sz w:val="20"/>
          <w:szCs w:val="20"/>
          <w:color w:val="auto"/>
        </w:rPr>
      </w:pPr>
    </w:p>
    <w:p>
      <w:pPr>
        <w:ind w:left="700" w:hanging="23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financial statements of Active Power, Inc. are filed as a part of this Form 10-K on the pages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6"/>
            <w:vMerge w:val="restart"/>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Reports of Independent Registered Public Accounting Firm</w:t>
              </w:r>
            </w:hyperlink>
          </w:p>
        </w:tc>
        <w:tc>
          <w:tcPr>
            <w:tcW w:w="6940" w:type="dxa"/>
            <w:vAlign w:val="bottom"/>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4200" w:type="dxa"/>
            <w:vAlign w:val="bottom"/>
            <w:tcBorders>
              <w:bottom w:val="single" w:sz="8" w:color="0000EE"/>
            </w:tcBorders>
            <w:gridSpan w:val="6"/>
            <w:vMerge w:val="continue"/>
          </w:tcPr>
          <w:p>
            <w:pPr>
              <w:spacing w:after="0"/>
              <w:rPr>
                <w:sz w:val="14"/>
                <w:szCs w:val="14"/>
                <w:color w:val="auto"/>
              </w:rPr>
            </w:pPr>
          </w:p>
        </w:tc>
        <w:tc>
          <w:tcPr>
            <w:tcW w:w="6940" w:type="dxa"/>
            <w:vAlign w:val="bottom"/>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6"/>
              </w:rPr>
              <w:t>F-1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114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80" w:type="dxa"/>
            <w:vAlign w:val="bottom"/>
            <w:tcBorders>
              <w:bottom w:val="single" w:sz="8" w:color="0000EE"/>
            </w:tcBorders>
          </w:tcPr>
          <w:p>
            <w:pPr>
              <w:spacing w:after="0" w:line="184" w:lineRule="exact"/>
              <w:rPr>
                <w:rFonts w:ascii="Arial" w:cs="Arial" w:eastAsia="Arial" w:hAnsi="Arial"/>
                <w:sz w:val="18"/>
                <w:szCs w:val="18"/>
                <w:color w:val="0000EE"/>
                <w:w w:val="84"/>
              </w:rPr>
            </w:pPr>
            <w:hyperlink w:anchor="page67">
              <w:r>
                <w:rPr>
                  <w:rFonts w:ascii="Arial" w:cs="Arial" w:eastAsia="Arial" w:hAnsi="Arial"/>
                  <w:sz w:val="18"/>
                  <w:szCs w:val="18"/>
                  <w:color w:val="0000EE"/>
                  <w:w w:val="84"/>
                </w:rPr>
                <w:t>Balance Sheets</w:t>
              </w:r>
            </w:hyperlink>
          </w:p>
        </w:tc>
        <w:tc>
          <w:tcPr>
            <w:tcW w:w="10060" w:type="dxa"/>
            <w:vAlign w:val="bottom"/>
            <w:gridSpan w:val="6"/>
          </w:tcPr>
          <w:p>
            <w:pPr>
              <w:spacing w:after="0"/>
              <w:rPr>
                <w:sz w:val="15"/>
                <w:szCs w:val="15"/>
                <w:color w:val="auto"/>
              </w:rPr>
            </w:pPr>
          </w:p>
        </w:tc>
        <w:tc>
          <w:tcPr>
            <w:tcW w:w="30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96"/>
        </w:trPr>
        <w:tc>
          <w:tcPr>
            <w:tcW w:w="11140" w:type="dxa"/>
            <w:vAlign w:val="bottom"/>
            <w:gridSpan w:val="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Statements of Operations and Comprehensive Loss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Statements of Stockholders’ Equity</w:t>
              </w:r>
            </w:hyperlink>
          </w:p>
        </w:tc>
        <w:tc>
          <w:tcPr>
            <w:tcW w:w="1100" w:type="dxa"/>
            <w:vAlign w:val="bottom"/>
            <w:tcBorders>
              <w:top w:val="single" w:sz="8" w:color="0000EE"/>
            </w:tcBorders>
          </w:tcPr>
          <w:p>
            <w:pPr>
              <w:spacing w:after="0"/>
              <w:rPr>
                <w:sz w:val="17"/>
                <w:szCs w:val="17"/>
                <w:color w:val="auto"/>
              </w:rPr>
            </w:pPr>
          </w:p>
        </w:tc>
        <w:tc>
          <w:tcPr>
            <w:tcW w:w="754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70">
              <w:r>
                <w:rPr>
                  <w:rFonts w:ascii="Arial" w:cs="Arial" w:eastAsia="Arial" w:hAnsi="Arial"/>
                  <w:sz w:val="18"/>
                  <w:szCs w:val="18"/>
                  <w:color w:val="0000EE"/>
                  <w:w w:val="86"/>
                </w:rPr>
                <w:t>Statements of Cash Flows</w:t>
              </w:r>
            </w:hyperlink>
          </w:p>
        </w:tc>
        <w:tc>
          <w:tcPr>
            <w:tcW w:w="93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Notes to Financial Statements</w:t>
              </w:r>
            </w:hyperlink>
          </w:p>
        </w:tc>
        <w:tc>
          <w:tcPr>
            <w:tcW w:w="902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Schedules.</w:t>
      </w:r>
    </w:p>
    <w:p>
      <w:pPr>
        <w:spacing w:after="0" w:line="90"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All schedules have been omitted since the information required by the schedule is not applicable, or is not present in amounts sufficient to require submission of the schedule, or because the information required is included in the Financial Statements and notes thereto.</w:t>
      </w:r>
    </w:p>
    <w:p>
      <w:pPr>
        <w:spacing w:after="0" w:line="85" w:lineRule="exact"/>
        <w:rPr>
          <w:sz w:val="20"/>
          <w:szCs w:val="20"/>
          <w:color w:val="auto"/>
        </w:rPr>
      </w:pPr>
    </w:p>
    <w:p>
      <w:pPr>
        <w:ind w:left="1080" w:hanging="177"/>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exhibits listed on the accompanying index to exhibits immediately following the financial statements are filed as part of, or hereby incorporated by reference into, this Form 10-K.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61"/>
        </w:trPr>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5"/>
        </w:trPr>
        <w:tc>
          <w:tcPr>
            <w:tcW w:w="700" w:type="dxa"/>
            <w:vAlign w:val="bottom"/>
          </w:tcPr>
          <w:p>
            <w:pPr>
              <w:ind w:left="80"/>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Amended and Restated Certificate of Incorporation (filed as Exhibit 3.1 to Active Power’s IPO Registration Statement on Form S-l (SEC File No.</w:t>
            </w:r>
          </w:p>
        </w:tc>
      </w:tr>
      <w:tr>
        <w:trPr>
          <w:trHeight w:val="222"/>
        </w:trPr>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333-36946) (the “IPO Registration Statement”))</w:t>
            </w:r>
          </w:p>
        </w:tc>
      </w:tr>
      <w:tr>
        <w:trPr>
          <w:trHeight w:val="324"/>
        </w:trPr>
        <w:tc>
          <w:tcPr>
            <w:tcW w:w="700" w:type="dxa"/>
            <w:vAlign w:val="bottom"/>
          </w:tcPr>
          <w:p>
            <w:pPr>
              <w:ind w:left="80"/>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Bylaws (filed as Exhibit 3.2 to the IPO Registration Statement)</w:t>
            </w:r>
          </w:p>
        </w:tc>
      </w:tr>
      <w:tr>
        <w:trPr>
          <w:trHeight w:val="324"/>
        </w:trPr>
        <w:tc>
          <w:tcPr>
            <w:tcW w:w="700" w:type="dxa"/>
            <w:vAlign w:val="bottom"/>
          </w:tcPr>
          <w:p>
            <w:pPr>
              <w:ind w:left="80"/>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Specimen certificate for shares of Common Stock (filed as Exhibit 4.1 to the IPO Registration Statement)</w:t>
            </w:r>
          </w:p>
        </w:tc>
      </w:tr>
      <w:tr>
        <w:trPr>
          <w:trHeight w:val="365"/>
        </w:trPr>
        <w:tc>
          <w:tcPr>
            <w:tcW w:w="700" w:type="dxa"/>
            <w:vAlign w:val="bottom"/>
          </w:tcPr>
          <w:p>
            <w:pPr>
              <w:spacing w:after="0"/>
              <w:rPr>
                <w:sz w:val="24"/>
                <w:szCs w:val="24"/>
                <w:color w:val="auto"/>
              </w:rPr>
            </w:pPr>
          </w:p>
        </w:tc>
        <w:tc>
          <w:tcPr>
            <w:tcW w:w="10720" w:type="dxa"/>
            <w:vAlign w:val="bottom"/>
            <w:gridSpan w:val="2"/>
          </w:tcPr>
          <w:p>
            <w:pPr>
              <w:jc w:val="right"/>
              <w:ind w:right="5436"/>
              <w:spacing w:after="0"/>
              <w:rPr>
                <w:sz w:val="20"/>
                <w:szCs w:val="20"/>
                <w:color w:val="auto"/>
              </w:rPr>
            </w:pPr>
            <w:r>
              <w:rPr>
                <w:rFonts w:ascii="Arial" w:cs="Arial" w:eastAsia="Arial" w:hAnsi="Arial"/>
                <w:sz w:val="18"/>
                <w:szCs w:val="18"/>
                <w:color w:val="auto"/>
              </w:rPr>
              <w:t>- 54 -</w:t>
            </w: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60" w:type="dxa"/>
            <w:vAlign w:val="bottom"/>
          </w:tcPr>
          <w:p>
            <w:pPr>
              <w:jc w:val="right"/>
              <w:ind w:right="392"/>
              <w:spacing w:after="0"/>
              <w:rPr>
                <w:sz w:val="20"/>
                <w:szCs w:val="20"/>
                <w:color w:val="auto"/>
              </w:rPr>
            </w:pPr>
            <w:r>
              <w:rPr>
                <w:rFonts w:ascii="Arial" w:cs="Arial" w:eastAsia="Arial" w:hAnsi="Arial"/>
                <w:sz w:val="18"/>
                <w:szCs w:val="18"/>
                <w:color w:val="auto"/>
              </w:rPr>
              <w:t>4.2*</w:t>
            </w:r>
          </w:p>
        </w:tc>
        <w:tc>
          <w:tcPr>
            <w:tcW w:w="10500" w:type="dxa"/>
            <w:vAlign w:val="bottom"/>
          </w:tcPr>
          <w:p>
            <w:pPr>
              <w:ind w:left="280"/>
              <w:spacing w:after="0"/>
              <w:rPr>
                <w:sz w:val="20"/>
                <w:szCs w:val="20"/>
                <w:color w:val="auto"/>
              </w:rPr>
            </w:pPr>
            <w:r>
              <w:rPr>
                <w:rFonts w:ascii="Arial" w:cs="Arial" w:eastAsia="Arial" w:hAnsi="Arial"/>
                <w:sz w:val="18"/>
                <w:szCs w:val="18"/>
                <w:color w:val="auto"/>
                <w:w w:val="89"/>
              </w:rPr>
              <w:t>Rights Agreement, dated as of December 13, 2001, between the Active Power and Equiserve Trust N.A., which includes the form of Certificate</w:t>
            </w:r>
          </w:p>
        </w:tc>
      </w:tr>
      <w:tr>
        <w:trPr>
          <w:trHeight w:val="216"/>
        </w:trPr>
        <w:tc>
          <w:tcPr>
            <w:tcW w:w="860" w:type="dxa"/>
            <w:vAlign w:val="bottom"/>
          </w:tcPr>
          <w:p>
            <w:pPr>
              <w:spacing w:after="0"/>
              <w:rPr>
                <w:sz w:val="18"/>
                <w:szCs w:val="18"/>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w w:val="89"/>
              </w:rPr>
              <w:t>of Designation for the Series A Junior Participating Preferred Stock as Exhibit A, the form of Rights Certificate as Exhibit B and the Summary of</w:t>
            </w:r>
          </w:p>
        </w:tc>
      </w:tr>
      <w:tr>
        <w:trPr>
          <w:trHeight w:val="216"/>
        </w:trPr>
        <w:tc>
          <w:tcPr>
            <w:tcW w:w="860" w:type="dxa"/>
            <w:vAlign w:val="bottom"/>
          </w:tcPr>
          <w:p>
            <w:pPr>
              <w:spacing w:after="0"/>
              <w:rPr>
                <w:sz w:val="18"/>
                <w:szCs w:val="18"/>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Rights to Purchase Series A Preferred Stock as Exhibit C (filed as Exhibit 4.1 to Active Power’s Current Report on Form 8-K dated December</w:t>
            </w:r>
          </w:p>
        </w:tc>
      </w:tr>
      <w:tr>
        <w:trPr>
          <w:trHeight w:val="222"/>
        </w:trPr>
        <w:tc>
          <w:tcPr>
            <w:tcW w:w="8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13, 2001)</w:t>
            </w:r>
          </w:p>
        </w:tc>
      </w:tr>
      <w:tr>
        <w:trPr>
          <w:trHeight w:val="318"/>
        </w:trPr>
        <w:tc>
          <w:tcPr>
            <w:tcW w:w="860" w:type="dxa"/>
            <w:vAlign w:val="bottom"/>
          </w:tcPr>
          <w:p>
            <w:pPr>
              <w:jc w:val="right"/>
              <w:ind w:right="452"/>
              <w:spacing w:after="0"/>
              <w:rPr>
                <w:sz w:val="20"/>
                <w:szCs w:val="20"/>
                <w:color w:val="auto"/>
              </w:rPr>
            </w:pPr>
            <w:r>
              <w:rPr>
                <w:rFonts w:ascii="Arial" w:cs="Arial" w:eastAsia="Arial" w:hAnsi="Arial"/>
                <w:sz w:val="18"/>
                <w:szCs w:val="18"/>
                <w:color w:val="auto"/>
              </w:rPr>
              <w:t>4.3</w:t>
            </w: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See Exhibits 3.1 and 3.2 for provisions of the Certificate of Incorporation and Bylaws of the registrant defining the rights of holders of common</w:t>
            </w:r>
          </w:p>
        </w:tc>
      </w:tr>
      <w:tr>
        <w:trPr>
          <w:trHeight w:val="222"/>
        </w:trPr>
        <w:tc>
          <w:tcPr>
            <w:tcW w:w="8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stock</w:t>
            </w:r>
          </w:p>
        </w:tc>
      </w:tr>
      <w:tr>
        <w:trPr>
          <w:trHeight w:val="324"/>
        </w:trPr>
        <w:tc>
          <w:tcPr>
            <w:tcW w:w="860" w:type="dxa"/>
            <w:vAlign w:val="bottom"/>
          </w:tcPr>
          <w:p>
            <w:pPr>
              <w:jc w:val="right"/>
              <w:ind w:right="212"/>
              <w:spacing w:after="0"/>
              <w:rPr>
                <w:sz w:val="20"/>
                <w:szCs w:val="20"/>
                <w:color w:val="auto"/>
              </w:rPr>
            </w:pPr>
            <w:r>
              <w:rPr>
                <w:rFonts w:ascii="Arial" w:cs="Arial" w:eastAsia="Arial" w:hAnsi="Arial"/>
                <w:sz w:val="18"/>
                <w:szCs w:val="18"/>
                <w:color w:val="auto"/>
                <w:w w:val="89"/>
              </w:rPr>
              <w:t>10.1*@</w:t>
            </w:r>
          </w:p>
        </w:tc>
        <w:tc>
          <w:tcPr>
            <w:tcW w:w="10500" w:type="dxa"/>
            <w:vAlign w:val="bottom"/>
          </w:tcPr>
          <w:p>
            <w:pPr>
              <w:ind w:left="280"/>
              <w:spacing w:after="0"/>
              <w:rPr>
                <w:sz w:val="20"/>
                <w:szCs w:val="20"/>
                <w:color w:val="auto"/>
              </w:rPr>
            </w:pPr>
            <w:r>
              <w:rPr>
                <w:rFonts w:ascii="Arial" w:cs="Arial" w:eastAsia="Arial" w:hAnsi="Arial"/>
                <w:sz w:val="18"/>
                <w:szCs w:val="18"/>
                <w:color w:val="auto"/>
              </w:rPr>
              <w:t>Form of Indemnity Agreement (filed as Exhibit 10.1 to the IPO Registration Statement)</w:t>
            </w:r>
          </w:p>
        </w:tc>
      </w:tr>
      <w:tr>
        <w:trPr>
          <w:trHeight w:val="324"/>
        </w:trPr>
        <w:tc>
          <w:tcPr>
            <w:tcW w:w="860" w:type="dxa"/>
            <w:vAlign w:val="bottom"/>
          </w:tcPr>
          <w:p>
            <w:pPr>
              <w:jc w:val="right"/>
              <w:ind w:right="212"/>
              <w:spacing w:after="0"/>
              <w:rPr>
                <w:sz w:val="20"/>
                <w:szCs w:val="20"/>
                <w:color w:val="auto"/>
              </w:rPr>
            </w:pPr>
            <w:r>
              <w:rPr>
                <w:rFonts w:ascii="Arial" w:cs="Arial" w:eastAsia="Arial" w:hAnsi="Arial"/>
                <w:sz w:val="18"/>
                <w:szCs w:val="18"/>
                <w:color w:val="auto"/>
                <w:w w:val="89"/>
              </w:rPr>
              <w:t>10.2*@</w:t>
            </w:r>
          </w:p>
        </w:tc>
        <w:tc>
          <w:tcPr>
            <w:tcW w:w="10500" w:type="dxa"/>
            <w:vAlign w:val="bottom"/>
          </w:tcPr>
          <w:p>
            <w:pPr>
              <w:ind w:left="280"/>
              <w:spacing w:after="0"/>
              <w:rPr>
                <w:sz w:val="20"/>
                <w:szCs w:val="20"/>
                <w:color w:val="auto"/>
              </w:rPr>
            </w:pPr>
            <w:r>
              <w:rPr>
                <w:rFonts w:ascii="Arial" w:cs="Arial" w:eastAsia="Arial" w:hAnsi="Arial"/>
                <w:sz w:val="18"/>
                <w:szCs w:val="18"/>
                <w:color w:val="auto"/>
              </w:rPr>
              <w:t>Active Power, Inc. 2000 Stock Incentive Plan (filed as Exhibit 10.2 to the IPO Registration Statement)</w:t>
            </w:r>
          </w:p>
        </w:tc>
      </w:tr>
      <w:tr>
        <w:trPr>
          <w:trHeight w:val="318"/>
        </w:trPr>
        <w:tc>
          <w:tcPr>
            <w:tcW w:w="860" w:type="dxa"/>
            <w:vAlign w:val="bottom"/>
          </w:tcPr>
          <w:p>
            <w:pPr>
              <w:jc w:val="right"/>
              <w:ind w:right="372"/>
              <w:spacing w:after="0"/>
              <w:rPr>
                <w:sz w:val="20"/>
                <w:szCs w:val="20"/>
                <w:color w:val="auto"/>
              </w:rPr>
            </w:pPr>
            <w:r>
              <w:rPr>
                <w:rFonts w:ascii="Arial" w:cs="Arial" w:eastAsia="Arial" w:hAnsi="Arial"/>
                <w:sz w:val="18"/>
                <w:szCs w:val="18"/>
                <w:color w:val="auto"/>
                <w:w w:val="90"/>
              </w:rPr>
              <w:t>10.3*</w:t>
            </w:r>
          </w:p>
        </w:tc>
        <w:tc>
          <w:tcPr>
            <w:tcW w:w="10500" w:type="dxa"/>
            <w:vAlign w:val="bottom"/>
          </w:tcPr>
          <w:p>
            <w:pPr>
              <w:ind w:left="280"/>
              <w:spacing w:after="0"/>
              <w:rPr>
                <w:sz w:val="20"/>
                <w:szCs w:val="20"/>
                <w:color w:val="auto"/>
              </w:rPr>
            </w:pPr>
            <w:r>
              <w:rPr>
                <w:rFonts w:ascii="Arial" w:cs="Arial" w:eastAsia="Arial" w:hAnsi="Arial"/>
                <w:sz w:val="18"/>
                <w:szCs w:val="18"/>
                <w:color w:val="auto"/>
                <w:w w:val="89"/>
              </w:rPr>
              <w:t>Second Amended and Restated Investors’ Rights Agreement by and between Active Power, Inc. and certain of its stockholders (filed as Exhibit</w:t>
            </w:r>
          </w:p>
        </w:tc>
      </w:tr>
      <w:tr>
        <w:trPr>
          <w:trHeight w:val="222"/>
        </w:trPr>
        <w:tc>
          <w:tcPr>
            <w:tcW w:w="8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10.4 to the IPO Registration Statement)</w:t>
            </w:r>
          </w:p>
        </w:tc>
      </w:tr>
      <w:tr>
        <w:trPr>
          <w:trHeight w:val="324"/>
        </w:trPr>
        <w:tc>
          <w:tcPr>
            <w:tcW w:w="860" w:type="dxa"/>
            <w:vAlign w:val="bottom"/>
          </w:tcPr>
          <w:p>
            <w:pPr>
              <w:jc w:val="right"/>
              <w:ind w:right="372"/>
              <w:spacing w:after="0"/>
              <w:rPr>
                <w:sz w:val="20"/>
                <w:szCs w:val="20"/>
                <w:color w:val="auto"/>
              </w:rPr>
            </w:pPr>
            <w:r>
              <w:rPr>
                <w:rFonts w:ascii="Arial" w:cs="Arial" w:eastAsia="Arial" w:hAnsi="Arial"/>
                <w:sz w:val="18"/>
                <w:szCs w:val="18"/>
                <w:color w:val="auto"/>
                <w:w w:val="90"/>
              </w:rPr>
              <w:t>10.4*</w:t>
            </w:r>
          </w:p>
        </w:tc>
        <w:tc>
          <w:tcPr>
            <w:tcW w:w="10500" w:type="dxa"/>
            <w:vAlign w:val="bottom"/>
          </w:tcPr>
          <w:p>
            <w:pPr>
              <w:ind w:left="280"/>
              <w:spacing w:after="0"/>
              <w:rPr>
                <w:sz w:val="20"/>
                <w:szCs w:val="20"/>
                <w:color w:val="auto"/>
              </w:rPr>
            </w:pPr>
            <w:r>
              <w:rPr>
                <w:rFonts w:ascii="Arial" w:cs="Arial" w:eastAsia="Arial" w:hAnsi="Arial"/>
                <w:sz w:val="18"/>
                <w:szCs w:val="18"/>
                <w:color w:val="auto"/>
                <w:w w:val="92"/>
              </w:rPr>
              <w:t>Credit Terms and Conditions by and between Active Power, Inc. and Imperial Bank (filed as Exhibit 10.7 to the IPO Registration Statement)</w:t>
            </w:r>
          </w:p>
        </w:tc>
      </w:tr>
      <w:tr>
        <w:trPr>
          <w:trHeight w:val="324"/>
        </w:trPr>
        <w:tc>
          <w:tcPr>
            <w:tcW w:w="860" w:type="dxa"/>
            <w:vAlign w:val="bottom"/>
          </w:tcPr>
          <w:p>
            <w:pPr>
              <w:jc w:val="right"/>
              <w:ind w:right="372"/>
              <w:spacing w:after="0"/>
              <w:rPr>
                <w:sz w:val="20"/>
                <w:szCs w:val="20"/>
                <w:color w:val="auto"/>
              </w:rPr>
            </w:pPr>
            <w:r>
              <w:rPr>
                <w:rFonts w:ascii="Arial" w:cs="Arial" w:eastAsia="Arial" w:hAnsi="Arial"/>
                <w:sz w:val="18"/>
                <w:szCs w:val="18"/>
                <w:color w:val="auto"/>
                <w:w w:val="90"/>
              </w:rPr>
              <w:t>10.5*</w:t>
            </w:r>
          </w:p>
        </w:tc>
        <w:tc>
          <w:tcPr>
            <w:tcW w:w="10500" w:type="dxa"/>
            <w:vAlign w:val="bottom"/>
          </w:tcPr>
          <w:p>
            <w:pPr>
              <w:ind w:left="280"/>
              <w:spacing w:after="0"/>
              <w:rPr>
                <w:sz w:val="20"/>
                <w:szCs w:val="20"/>
                <w:color w:val="auto"/>
              </w:rPr>
            </w:pPr>
            <w:r>
              <w:rPr>
                <w:rFonts w:ascii="Arial" w:cs="Arial" w:eastAsia="Arial" w:hAnsi="Arial"/>
                <w:sz w:val="18"/>
                <w:szCs w:val="18"/>
                <w:color w:val="auto"/>
                <w:w w:val="91"/>
              </w:rPr>
              <w:t>Security and Loan Agreement by and between Active Power, Inc. and Imperial Bank (filed as Exhibit 10.8 to the IPO Registration Statement)</w:t>
            </w:r>
          </w:p>
        </w:tc>
      </w:tr>
      <w:tr>
        <w:trPr>
          <w:trHeight w:val="324"/>
        </w:trPr>
        <w:tc>
          <w:tcPr>
            <w:tcW w:w="860" w:type="dxa"/>
            <w:vAlign w:val="bottom"/>
          </w:tcPr>
          <w:p>
            <w:pPr>
              <w:jc w:val="right"/>
              <w:ind w:right="372"/>
              <w:spacing w:after="0"/>
              <w:rPr>
                <w:sz w:val="20"/>
                <w:szCs w:val="20"/>
                <w:color w:val="auto"/>
              </w:rPr>
            </w:pPr>
            <w:r>
              <w:rPr>
                <w:rFonts w:ascii="Arial" w:cs="Arial" w:eastAsia="Arial" w:hAnsi="Arial"/>
                <w:sz w:val="18"/>
                <w:szCs w:val="18"/>
                <w:color w:val="auto"/>
                <w:w w:val="90"/>
              </w:rPr>
              <w:t>10.6*</w:t>
            </w:r>
          </w:p>
        </w:tc>
        <w:tc>
          <w:tcPr>
            <w:tcW w:w="10500" w:type="dxa"/>
            <w:vAlign w:val="bottom"/>
          </w:tcPr>
          <w:p>
            <w:pPr>
              <w:ind w:left="280"/>
              <w:spacing w:after="0"/>
              <w:rPr>
                <w:sz w:val="20"/>
                <w:szCs w:val="20"/>
                <w:color w:val="auto"/>
              </w:rPr>
            </w:pPr>
            <w:r>
              <w:rPr>
                <w:rFonts w:ascii="Arial" w:cs="Arial" w:eastAsia="Arial" w:hAnsi="Arial"/>
                <w:sz w:val="18"/>
                <w:szCs w:val="18"/>
                <w:color w:val="auto"/>
                <w:w w:val="94"/>
              </w:rPr>
              <w:t>Lease Agreement by and between Active Power, Inc. and Braker Phase III, Ltd. (filed as Exhibit 10.9 to the IPO Registration Statement)</w:t>
            </w:r>
          </w:p>
        </w:tc>
      </w:tr>
      <w:tr>
        <w:trPr>
          <w:trHeight w:val="318"/>
        </w:trPr>
        <w:tc>
          <w:tcPr>
            <w:tcW w:w="860" w:type="dxa"/>
            <w:vAlign w:val="bottom"/>
          </w:tcPr>
          <w:p>
            <w:pPr>
              <w:jc w:val="right"/>
              <w:ind w:right="392"/>
              <w:spacing w:after="0"/>
              <w:rPr>
                <w:sz w:val="20"/>
                <w:szCs w:val="20"/>
                <w:color w:val="auto"/>
              </w:rPr>
            </w:pPr>
            <w:r>
              <w:rPr>
                <w:rFonts w:ascii="Arial" w:cs="Arial" w:eastAsia="Arial" w:hAnsi="Arial"/>
                <w:sz w:val="18"/>
                <w:szCs w:val="18"/>
                <w:color w:val="auto"/>
                <w:w w:val="99"/>
              </w:rPr>
              <w:t>l0.7*</w:t>
            </w:r>
          </w:p>
        </w:tc>
        <w:tc>
          <w:tcPr>
            <w:tcW w:w="10500" w:type="dxa"/>
            <w:vAlign w:val="bottom"/>
          </w:tcPr>
          <w:p>
            <w:pPr>
              <w:ind w:left="280"/>
              <w:spacing w:after="0"/>
              <w:rPr>
                <w:sz w:val="20"/>
                <w:szCs w:val="20"/>
                <w:color w:val="auto"/>
              </w:rPr>
            </w:pPr>
            <w:r>
              <w:rPr>
                <w:rFonts w:ascii="Arial" w:cs="Arial" w:eastAsia="Arial" w:hAnsi="Arial"/>
                <w:sz w:val="18"/>
                <w:szCs w:val="18"/>
                <w:color w:val="auto"/>
                <w:w w:val="96"/>
              </w:rPr>
              <w:t>First Amendment to Lease Agreement by and between Active Power, Inc. and Braker Phase III, Ltd. (filed as Exhibit 10.10 to the IPO</w:t>
            </w:r>
          </w:p>
        </w:tc>
      </w:tr>
      <w:tr>
        <w:trPr>
          <w:trHeight w:val="222"/>
        </w:trPr>
        <w:tc>
          <w:tcPr>
            <w:tcW w:w="8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Registration Statement)</w:t>
            </w:r>
          </w:p>
        </w:tc>
      </w:tr>
      <w:tr>
        <w:trPr>
          <w:trHeight w:val="318"/>
        </w:trPr>
        <w:tc>
          <w:tcPr>
            <w:tcW w:w="860" w:type="dxa"/>
            <w:vAlign w:val="bottom"/>
          </w:tcPr>
          <w:p>
            <w:pPr>
              <w:jc w:val="right"/>
              <w:ind w:right="372"/>
              <w:spacing w:after="0"/>
              <w:rPr>
                <w:sz w:val="20"/>
                <w:szCs w:val="20"/>
                <w:color w:val="auto"/>
              </w:rPr>
            </w:pPr>
            <w:r>
              <w:rPr>
                <w:rFonts w:ascii="Arial" w:cs="Arial" w:eastAsia="Arial" w:hAnsi="Arial"/>
                <w:sz w:val="18"/>
                <w:szCs w:val="18"/>
                <w:color w:val="auto"/>
                <w:w w:val="90"/>
              </w:rPr>
              <w:t>10.8*</w:t>
            </w:r>
          </w:p>
        </w:tc>
        <w:tc>
          <w:tcPr>
            <w:tcW w:w="10500" w:type="dxa"/>
            <w:vAlign w:val="bottom"/>
          </w:tcPr>
          <w:p>
            <w:pPr>
              <w:ind w:left="280"/>
              <w:spacing w:after="0"/>
              <w:rPr>
                <w:sz w:val="20"/>
                <w:szCs w:val="20"/>
                <w:color w:val="auto"/>
              </w:rPr>
            </w:pPr>
            <w:r>
              <w:rPr>
                <w:rFonts w:ascii="Arial" w:cs="Arial" w:eastAsia="Arial" w:hAnsi="Arial"/>
                <w:sz w:val="18"/>
                <w:szCs w:val="18"/>
                <w:color w:val="auto"/>
                <w:w w:val="94"/>
              </w:rPr>
              <w:t>Second Amendment to Lease Agreement by and between Active Power, Inc. and Braker Phase III, Ltd. (filed as Exhibit 10.11 to the IPO</w:t>
            </w:r>
          </w:p>
        </w:tc>
      </w:tr>
      <w:tr>
        <w:trPr>
          <w:trHeight w:val="222"/>
        </w:trPr>
        <w:tc>
          <w:tcPr>
            <w:tcW w:w="8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Registration Statement)</w:t>
            </w:r>
          </w:p>
        </w:tc>
      </w:tr>
      <w:tr>
        <w:trPr>
          <w:trHeight w:val="318"/>
        </w:trPr>
        <w:tc>
          <w:tcPr>
            <w:tcW w:w="860" w:type="dxa"/>
            <w:vAlign w:val="bottom"/>
          </w:tcPr>
          <w:p>
            <w:pPr>
              <w:jc w:val="right"/>
              <w:ind w:right="372"/>
              <w:spacing w:after="0"/>
              <w:rPr>
                <w:sz w:val="20"/>
                <w:szCs w:val="20"/>
                <w:color w:val="auto"/>
              </w:rPr>
            </w:pPr>
            <w:r>
              <w:rPr>
                <w:rFonts w:ascii="Arial" w:cs="Arial" w:eastAsia="Arial" w:hAnsi="Arial"/>
                <w:sz w:val="18"/>
                <w:szCs w:val="18"/>
                <w:color w:val="auto"/>
                <w:w w:val="90"/>
              </w:rPr>
              <w:t>10.9*</w:t>
            </w:r>
          </w:p>
        </w:tc>
        <w:tc>
          <w:tcPr>
            <w:tcW w:w="10500" w:type="dxa"/>
            <w:vAlign w:val="bottom"/>
          </w:tcPr>
          <w:p>
            <w:pPr>
              <w:ind w:left="280"/>
              <w:spacing w:after="0"/>
              <w:rPr>
                <w:sz w:val="20"/>
                <w:szCs w:val="20"/>
                <w:color w:val="auto"/>
              </w:rPr>
            </w:pPr>
            <w:r>
              <w:rPr>
                <w:rFonts w:ascii="Arial" w:cs="Arial" w:eastAsia="Arial" w:hAnsi="Arial"/>
                <w:sz w:val="18"/>
                <w:szCs w:val="18"/>
                <w:color w:val="auto"/>
                <w:w w:val="95"/>
              </w:rPr>
              <w:t>Third Amendment to Lease Agreement by and between Active Power, Inc. and Braker Phase III, Ltd. (filed as Exhibit 10.12 to the IPO</w:t>
            </w:r>
          </w:p>
        </w:tc>
      </w:tr>
      <w:tr>
        <w:trPr>
          <w:trHeight w:val="222"/>
        </w:trPr>
        <w:tc>
          <w:tcPr>
            <w:tcW w:w="8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Registration Statement)</w:t>
            </w:r>
          </w:p>
        </w:tc>
      </w:tr>
      <w:tr>
        <w:trPr>
          <w:trHeight w:val="318"/>
        </w:trPr>
        <w:tc>
          <w:tcPr>
            <w:tcW w:w="860" w:type="dxa"/>
            <w:vAlign w:val="bottom"/>
          </w:tcPr>
          <w:p>
            <w:pPr>
              <w:jc w:val="right"/>
              <w:ind w:right="292"/>
              <w:spacing w:after="0"/>
              <w:rPr>
                <w:sz w:val="20"/>
                <w:szCs w:val="20"/>
                <w:color w:val="auto"/>
              </w:rPr>
            </w:pPr>
            <w:r>
              <w:rPr>
                <w:rFonts w:ascii="Arial" w:cs="Arial" w:eastAsia="Arial" w:hAnsi="Arial"/>
                <w:sz w:val="18"/>
                <w:szCs w:val="18"/>
                <w:color w:val="auto"/>
                <w:w w:val="88"/>
              </w:rPr>
              <w:t>10.10*</w:t>
            </w:r>
          </w:p>
        </w:tc>
        <w:tc>
          <w:tcPr>
            <w:tcW w:w="10500" w:type="dxa"/>
            <w:vAlign w:val="bottom"/>
          </w:tcPr>
          <w:p>
            <w:pPr>
              <w:ind w:left="280"/>
              <w:spacing w:after="0"/>
              <w:rPr>
                <w:sz w:val="20"/>
                <w:szCs w:val="20"/>
                <w:color w:val="auto"/>
              </w:rPr>
            </w:pPr>
            <w:r>
              <w:rPr>
                <w:rFonts w:ascii="Arial" w:cs="Arial" w:eastAsia="Arial" w:hAnsi="Arial"/>
                <w:sz w:val="18"/>
                <w:szCs w:val="18"/>
                <w:color w:val="auto"/>
                <w:w w:val="89"/>
              </w:rPr>
              <w:t>Fourth Amendment to Lease Agreement by and between Active Power, Inc. and Metropolitan Life Insurance Company (filed as Exhibit 10.13 to</w:t>
            </w:r>
          </w:p>
        </w:tc>
      </w:tr>
      <w:tr>
        <w:trPr>
          <w:trHeight w:val="222"/>
        </w:trPr>
        <w:tc>
          <w:tcPr>
            <w:tcW w:w="8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the IPO Registration Statement)</w:t>
            </w:r>
          </w:p>
        </w:tc>
      </w:tr>
      <w:tr>
        <w:trPr>
          <w:trHeight w:val="365"/>
        </w:trPr>
        <w:tc>
          <w:tcPr>
            <w:tcW w:w="860" w:type="dxa"/>
            <w:vAlign w:val="bottom"/>
          </w:tcPr>
          <w:p>
            <w:pPr>
              <w:spacing w:after="0"/>
              <w:rPr>
                <w:sz w:val="24"/>
                <w:szCs w:val="24"/>
                <w:color w:val="auto"/>
              </w:rPr>
            </w:pPr>
          </w:p>
        </w:tc>
        <w:tc>
          <w:tcPr>
            <w:tcW w:w="10500" w:type="dxa"/>
            <w:vAlign w:val="bottom"/>
          </w:tcPr>
          <w:p>
            <w:pPr>
              <w:ind w:left="4640"/>
              <w:spacing w:after="0"/>
              <w:rPr>
                <w:sz w:val="20"/>
                <w:szCs w:val="20"/>
                <w:color w:val="auto"/>
              </w:rPr>
            </w:pPr>
            <w:r>
              <w:rPr>
                <w:rFonts w:ascii="Arial" w:cs="Arial" w:eastAsia="Arial" w:hAnsi="Arial"/>
                <w:sz w:val="18"/>
                <w:szCs w:val="18"/>
                <w:color w:val="auto"/>
              </w:rPr>
              <w:t>- 55 -</w:t>
            </w:r>
          </w:p>
        </w:tc>
      </w:tr>
    </w:tbl>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Fifth Amendment to Lease Agreement by and between Active Power, Inc. and Metropolitan Life Insurance Company (filed as Exhibit 10.14 to</w:t>
            </w:r>
          </w:p>
        </w:tc>
      </w:tr>
      <w:tr>
        <w:trPr>
          <w:trHeight w:val="222"/>
        </w:trPr>
        <w:tc>
          <w:tcPr>
            <w:tcW w:w="8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the IPO Registration Statement)</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280"/>
              <w:spacing w:after="0"/>
              <w:rPr>
                <w:sz w:val="20"/>
                <w:szCs w:val="20"/>
                <w:color w:val="auto"/>
              </w:rPr>
            </w:pPr>
            <w:r>
              <w:rPr>
                <w:rFonts w:ascii="Arial" w:cs="Arial" w:eastAsia="Arial" w:hAnsi="Arial"/>
                <w:sz w:val="18"/>
                <w:szCs w:val="18"/>
                <w:color w:val="auto"/>
                <w:w w:val="89"/>
              </w:rPr>
              <w:t>Sublease Agreement by and between Active Power, Inc. and Video Associates Laboratories, Inc. (filed as Exhibit 10.15 to the IPO Registration</w:t>
            </w:r>
          </w:p>
        </w:tc>
      </w:tr>
      <w:tr>
        <w:trPr>
          <w:trHeight w:val="222"/>
        </w:trPr>
        <w:tc>
          <w:tcPr>
            <w:tcW w:w="8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Statement)</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Lease Agreement by and between Active Power, Inc. and BC12 99, Ltd. (filed as Exhibit 10.17 to Active Power’s Annual Report on Form 10-K</w:t>
            </w:r>
          </w:p>
        </w:tc>
      </w:tr>
      <w:tr>
        <w:trPr>
          <w:trHeight w:val="222"/>
        </w:trPr>
        <w:tc>
          <w:tcPr>
            <w:tcW w:w="8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for the fiscal year ended December 31, 2000)</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Sixth Amendment to Lease Agreement by and between Active Power, Inc. and Metropolitan Life Insurance Company (filed as Exhibit 10.18 to</w:t>
            </w:r>
          </w:p>
        </w:tc>
      </w:tr>
      <w:tr>
        <w:trPr>
          <w:trHeight w:val="222"/>
        </w:trPr>
        <w:tc>
          <w:tcPr>
            <w:tcW w:w="8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Active Power’s Annual Report on Form 10-K dated March 16, 2001 (the “2000 10-K”))</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10.15*</w:t>
            </w: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Seventh Amendment to Lease Agreement by and between Active Power, Inc. and Metropolitan Life Insurance Company (filed as Exhibit 10.19</w:t>
            </w:r>
          </w:p>
        </w:tc>
      </w:tr>
      <w:tr>
        <w:trPr>
          <w:trHeight w:val="222"/>
        </w:trPr>
        <w:tc>
          <w:tcPr>
            <w:tcW w:w="8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to the 2000 10-K)</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10.16*+</w:t>
            </w:r>
          </w:p>
        </w:tc>
        <w:tc>
          <w:tcPr>
            <w:tcW w:w="10500" w:type="dxa"/>
            <w:vAlign w:val="bottom"/>
          </w:tcPr>
          <w:p>
            <w:pPr>
              <w:ind w:left="280"/>
              <w:spacing w:after="0"/>
              <w:rPr>
                <w:sz w:val="20"/>
                <w:szCs w:val="20"/>
                <w:color w:val="auto"/>
              </w:rPr>
            </w:pPr>
            <w:r>
              <w:rPr>
                <w:rFonts w:ascii="Arial" w:cs="Arial" w:eastAsia="Arial" w:hAnsi="Arial"/>
                <w:sz w:val="18"/>
                <w:szCs w:val="18"/>
                <w:color w:val="auto"/>
                <w:w w:val="89"/>
              </w:rPr>
              <w:t>Distributor Agreement by and between Active Power and Powerware Corporation (known now as Eaton Powerware Corporation) dated October</w:t>
            </w:r>
          </w:p>
        </w:tc>
      </w:tr>
      <w:tr>
        <w:trPr>
          <w:trHeight w:val="222"/>
        </w:trPr>
        <w:tc>
          <w:tcPr>
            <w:tcW w:w="8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w w:val="94"/>
              </w:rPr>
              <w:t>28, 2001 (filed as Exhibit 10.20 to Active Power’s Quarterly Report on Form 10-Q dated November 9, 2001 (the “November 2001 10-Q”)</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10.17*+</w:t>
            </w:r>
          </w:p>
        </w:tc>
        <w:tc>
          <w:tcPr>
            <w:tcW w:w="10500" w:type="dxa"/>
            <w:vAlign w:val="bottom"/>
          </w:tcPr>
          <w:p>
            <w:pPr>
              <w:ind w:left="280"/>
              <w:spacing w:after="0"/>
              <w:rPr>
                <w:sz w:val="20"/>
                <w:szCs w:val="20"/>
                <w:color w:val="auto"/>
              </w:rPr>
            </w:pPr>
            <w:r>
              <w:rPr>
                <w:rFonts w:ascii="Arial" w:cs="Arial" w:eastAsia="Arial" w:hAnsi="Arial"/>
                <w:sz w:val="18"/>
                <w:szCs w:val="18"/>
                <w:color w:val="auto"/>
                <w:w w:val="90"/>
              </w:rPr>
              <w:t>Master Sourcing Agreement by and between Active Power and General Electric Company (through its Digital Energy business unit) dated July</w:t>
            </w:r>
          </w:p>
        </w:tc>
      </w:tr>
      <w:tr>
        <w:trPr>
          <w:trHeight w:val="222"/>
        </w:trPr>
        <w:tc>
          <w:tcPr>
            <w:tcW w:w="8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13, 2001 (filed as Exhibit 10.21 to the November 2001 10-Q)</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10.18*+</w:t>
            </w:r>
          </w:p>
        </w:tc>
        <w:tc>
          <w:tcPr>
            <w:tcW w:w="10500" w:type="dxa"/>
            <w:vAlign w:val="bottom"/>
          </w:tcPr>
          <w:p>
            <w:pPr>
              <w:ind w:left="280"/>
              <w:spacing w:after="0"/>
              <w:rPr>
                <w:sz w:val="20"/>
                <w:szCs w:val="20"/>
                <w:color w:val="auto"/>
              </w:rPr>
            </w:pPr>
            <w:r>
              <w:rPr>
                <w:rFonts w:ascii="Arial" w:cs="Arial" w:eastAsia="Arial" w:hAnsi="Arial"/>
                <w:sz w:val="18"/>
                <w:szCs w:val="18"/>
                <w:color w:val="auto"/>
                <w:w w:val="88"/>
              </w:rPr>
              <w:t>Phase II &amp; Phase III Purchase Agreement by and between Active Power, Inc. and Caterpillar Inc. dated as of September 1, 2001 (filed as Exhibit</w:t>
            </w:r>
          </w:p>
        </w:tc>
      </w:tr>
      <w:tr>
        <w:trPr>
          <w:trHeight w:val="222"/>
        </w:trPr>
        <w:tc>
          <w:tcPr>
            <w:tcW w:w="8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10.22 to Active Power’s Annual Report on Form 10-K for the year ended December 31, 2002 (the “2002 10-K”)</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10.19*+</w:t>
            </w:r>
          </w:p>
        </w:tc>
        <w:tc>
          <w:tcPr>
            <w:tcW w:w="10500" w:type="dxa"/>
            <w:vAlign w:val="bottom"/>
          </w:tcPr>
          <w:p>
            <w:pPr>
              <w:ind w:left="280"/>
              <w:spacing w:after="0"/>
              <w:rPr>
                <w:sz w:val="20"/>
                <w:szCs w:val="20"/>
                <w:color w:val="auto"/>
              </w:rPr>
            </w:pPr>
            <w:r>
              <w:rPr>
                <w:rFonts w:ascii="Arial" w:cs="Arial" w:eastAsia="Arial" w:hAnsi="Arial"/>
                <w:sz w:val="18"/>
                <w:szCs w:val="18"/>
                <w:color w:val="auto"/>
                <w:w w:val="89"/>
              </w:rPr>
              <w:t>Purchase and Sale Agreement between Active Power, Inc. and Fuji Electric Co., Ltd. dated July 23, 2003 (filed as Exhibit 10.1 to Active Power’s</w:t>
            </w:r>
          </w:p>
        </w:tc>
      </w:tr>
      <w:tr>
        <w:trPr>
          <w:trHeight w:val="222"/>
        </w:trPr>
        <w:tc>
          <w:tcPr>
            <w:tcW w:w="860" w:type="dxa"/>
            <w:vAlign w:val="bottom"/>
          </w:tcPr>
          <w:p>
            <w:pPr>
              <w:spacing w:after="0"/>
              <w:rPr>
                <w:sz w:val="19"/>
                <w:szCs w:val="19"/>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Quarterly Report on Form 10-Q for the quarter ended March 31, 2003)</w:t>
            </w:r>
          </w:p>
        </w:tc>
      </w:tr>
      <w:tr>
        <w:trPr>
          <w:trHeight w:val="365"/>
        </w:trPr>
        <w:tc>
          <w:tcPr>
            <w:tcW w:w="860" w:type="dxa"/>
            <w:vAlign w:val="bottom"/>
          </w:tcPr>
          <w:p>
            <w:pPr>
              <w:spacing w:after="0"/>
              <w:rPr>
                <w:sz w:val="24"/>
                <w:szCs w:val="24"/>
                <w:color w:val="auto"/>
              </w:rPr>
            </w:pPr>
          </w:p>
        </w:tc>
        <w:tc>
          <w:tcPr>
            <w:tcW w:w="10500" w:type="dxa"/>
            <w:vAlign w:val="bottom"/>
          </w:tcPr>
          <w:p>
            <w:pPr>
              <w:ind w:left="4640"/>
              <w:spacing w:after="0"/>
              <w:rPr>
                <w:sz w:val="20"/>
                <w:szCs w:val="20"/>
                <w:color w:val="auto"/>
              </w:rPr>
            </w:pPr>
            <w:r>
              <w:rPr>
                <w:rFonts w:ascii="Arial" w:cs="Arial" w:eastAsia="Arial" w:hAnsi="Arial"/>
                <w:sz w:val="18"/>
                <w:szCs w:val="18"/>
                <w:color w:val="auto"/>
              </w:rPr>
              <w:t>- 56 -</w:t>
            </w:r>
          </w:p>
        </w:tc>
      </w:tr>
    </w:tbl>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10.20*</w:t>
            </w: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Form Additional Investment Right dated February 4, 2005 (filed as Exhibit 99.1 to Registrant’s Current Report on Form 8-K dated February 4,</w:t>
            </w:r>
          </w:p>
        </w:tc>
      </w:tr>
      <w:tr>
        <w:trPr>
          <w:trHeight w:val="222"/>
        </w:trPr>
        <w:tc>
          <w:tcPr>
            <w:tcW w:w="90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10.21*</w:t>
            </w:r>
          </w:p>
        </w:tc>
        <w:tc>
          <w:tcPr>
            <w:tcW w:w="10480" w:type="dxa"/>
            <w:vAlign w:val="bottom"/>
          </w:tcPr>
          <w:p>
            <w:pPr>
              <w:ind w:left="240"/>
              <w:spacing w:after="0"/>
              <w:rPr>
                <w:sz w:val="20"/>
                <w:szCs w:val="20"/>
                <w:color w:val="auto"/>
              </w:rPr>
            </w:pPr>
            <w:r>
              <w:rPr>
                <w:rFonts w:ascii="Arial" w:cs="Arial" w:eastAsia="Arial" w:hAnsi="Arial"/>
                <w:sz w:val="18"/>
                <w:szCs w:val="18"/>
                <w:color w:val="auto"/>
                <w:w w:val="95"/>
              </w:rPr>
              <w:t>Long-Term Supply Agreement between Active Power, Inc. and GE Zenith Controls, Inc., dated March 16, 2005 (filed as Exhibit 10.1 to</w:t>
            </w:r>
          </w:p>
        </w:tc>
      </w:tr>
      <w:tr>
        <w:trPr>
          <w:trHeight w:val="222"/>
        </w:trPr>
        <w:tc>
          <w:tcPr>
            <w:tcW w:w="90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Registrant’s Current Report on Form 8-K dated March 16,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10.22*</w:t>
            </w:r>
          </w:p>
        </w:tc>
        <w:tc>
          <w:tcPr>
            <w:tcW w:w="10480" w:type="dxa"/>
            <w:vAlign w:val="bottom"/>
          </w:tcPr>
          <w:p>
            <w:pPr>
              <w:ind w:left="240"/>
              <w:spacing w:after="0"/>
              <w:rPr>
                <w:sz w:val="20"/>
                <w:szCs w:val="20"/>
                <w:color w:val="auto"/>
              </w:rPr>
            </w:pPr>
            <w:r>
              <w:rPr>
                <w:rFonts w:ascii="Arial" w:cs="Arial" w:eastAsia="Arial" w:hAnsi="Arial"/>
                <w:sz w:val="18"/>
                <w:szCs w:val="18"/>
                <w:color w:val="auto"/>
                <w:w w:val="88"/>
              </w:rPr>
              <w:t>Securities Purchase Agreement dated February 3, 2005 (filed as Exhibit 10.2 to Registrant’s Quarterly Report on Form 10-Q for the quarter ended</w:t>
            </w:r>
          </w:p>
        </w:tc>
      </w:tr>
      <w:tr>
        <w:trPr>
          <w:trHeight w:val="222"/>
        </w:trPr>
        <w:tc>
          <w:tcPr>
            <w:tcW w:w="90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March 31,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10.23*</w:t>
            </w:r>
          </w:p>
        </w:tc>
        <w:tc>
          <w:tcPr>
            <w:tcW w:w="10480" w:type="dxa"/>
            <w:vAlign w:val="bottom"/>
          </w:tcPr>
          <w:p>
            <w:pPr>
              <w:ind w:left="240"/>
              <w:spacing w:after="0"/>
              <w:rPr>
                <w:sz w:val="20"/>
                <w:szCs w:val="20"/>
                <w:color w:val="auto"/>
              </w:rPr>
            </w:pPr>
            <w:r>
              <w:rPr>
                <w:rFonts w:ascii="Arial" w:cs="Arial" w:eastAsia="Arial" w:hAnsi="Arial"/>
                <w:sz w:val="18"/>
                <w:szCs w:val="18"/>
                <w:color w:val="auto"/>
                <w:w w:val="88"/>
              </w:rPr>
              <w:t>Registration Rights Agreement dated February 3, 2005 (filed as Exhibit 10.3 to Registrant’s Quarterly Report on Form 10-Q for the quarter ended</w:t>
            </w:r>
          </w:p>
        </w:tc>
      </w:tr>
      <w:tr>
        <w:trPr>
          <w:trHeight w:val="222"/>
        </w:trPr>
        <w:tc>
          <w:tcPr>
            <w:tcW w:w="90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March 31, 2005)</w:t>
            </w:r>
          </w:p>
        </w:tc>
      </w:tr>
      <w:tr>
        <w:trPr>
          <w:trHeight w:val="318"/>
        </w:trPr>
        <w:tc>
          <w:tcPr>
            <w:tcW w:w="900" w:type="dxa"/>
            <w:vAlign w:val="bottom"/>
          </w:tcPr>
          <w:p>
            <w:pPr>
              <w:ind w:left="20"/>
              <w:spacing w:after="0"/>
              <w:rPr>
                <w:sz w:val="20"/>
                <w:szCs w:val="20"/>
                <w:color w:val="auto"/>
              </w:rPr>
            </w:pPr>
            <w:r>
              <w:rPr>
                <w:rFonts w:ascii="Arial" w:cs="Arial" w:eastAsia="Arial" w:hAnsi="Arial"/>
                <w:sz w:val="18"/>
                <w:szCs w:val="18"/>
                <w:color w:val="auto"/>
              </w:rPr>
              <w:t>10.24*@</w:t>
            </w: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Letter agreement with Jim Clishem dated November 7, 2005 (filed as Exhibit 99.1 to Registrant’s Current Report on Form 8-K dated November</w:t>
            </w:r>
          </w:p>
        </w:tc>
      </w:tr>
      <w:tr>
        <w:trPr>
          <w:trHeight w:val="222"/>
        </w:trPr>
        <w:tc>
          <w:tcPr>
            <w:tcW w:w="90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4, 2005)</w:t>
            </w:r>
          </w:p>
        </w:tc>
      </w:tr>
      <w:tr>
        <w:trPr>
          <w:trHeight w:val="318"/>
        </w:trPr>
        <w:tc>
          <w:tcPr>
            <w:tcW w:w="900" w:type="dxa"/>
            <w:vAlign w:val="bottom"/>
          </w:tcPr>
          <w:p>
            <w:pPr>
              <w:ind w:left="20"/>
              <w:spacing w:after="0"/>
              <w:rPr>
                <w:sz w:val="20"/>
                <w:szCs w:val="20"/>
                <w:color w:val="auto"/>
              </w:rPr>
            </w:pPr>
            <w:r>
              <w:rPr>
                <w:rFonts w:ascii="Arial" w:cs="Arial" w:eastAsia="Arial" w:hAnsi="Arial"/>
                <w:sz w:val="18"/>
                <w:szCs w:val="18"/>
                <w:color w:val="auto"/>
              </w:rPr>
              <w:t>10.25*@</w:t>
            </w:r>
          </w:p>
        </w:tc>
        <w:tc>
          <w:tcPr>
            <w:tcW w:w="10480" w:type="dxa"/>
            <w:vAlign w:val="bottom"/>
          </w:tcPr>
          <w:p>
            <w:pPr>
              <w:ind w:left="240"/>
              <w:spacing w:after="0"/>
              <w:rPr>
                <w:sz w:val="20"/>
                <w:szCs w:val="20"/>
                <w:color w:val="auto"/>
              </w:rPr>
            </w:pPr>
            <w:r>
              <w:rPr>
                <w:rFonts w:ascii="Arial" w:cs="Arial" w:eastAsia="Arial" w:hAnsi="Arial"/>
                <w:sz w:val="18"/>
                <w:szCs w:val="18"/>
                <w:color w:val="auto"/>
                <w:w w:val="95"/>
              </w:rPr>
              <w:t>Letter agreement with Sriram Sivaram dated November 3, 2005 (filed as Exhibit 99.2 to Registrant’s Current Report on Form 8-K dated</w:t>
            </w:r>
          </w:p>
        </w:tc>
      </w:tr>
      <w:tr>
        <w:trPr>
          <w:trHeight w:val="222"/>
        </w:trPr>
        <w:tc>
          <w:tcPr>
            <w:tcW w:w="90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November 4, 2005)</w:t>
            </w:r>
          </w:p>
        </w:tc>
      </w:tr>
      <w:tr>
        <w:trPr>
          <w:trHeight w:val="318"/>
        </w:trPr>
        <w:tc>
          <w:tcPr>
            <w:tcW w:w="900" w:type="dxa"/>
            <w:vAlign w:val="bottom"/>
          </w:tcPr>
          <w:p>
            <w:pPr>
              <w:ind w:left="20"/>
              <w:spacing w:after="0"/>
              <w:rPr>
                <w:sz w:val="20"/>
                <w:szCs w:val="20"/>
                <w:color w:val="auto"/>
              </w:rPr>
            </w:pPr>
            <w:r>
              <w:rPr>
                <w:rFonts w:ascii="Arial" w:cs="Arial" w:eastAsia="Arial" w:hAnsi="Arial"/>
                <w:sz w:val="18"/>
                <w:szCs w:val="18"/>
                <w:color w:val="auto"/>
              </w:rPr>
              <w:t>10.26*@</w:t>
            </w:r>
          </w:p>
        </w:tc>
        <w:tc>
          <w:tcPr>
            <w:tcW w:w="10480" w:type="dxa"/>
            <w:vAlign w:val="bottom"/>
          </w:tcPr>
          <w:p>
            <w:pPr>
              <w:ind w:left="240"/>
              <w:spacing w:after="0"/>
              <w:rPr>
                <w:sz w:val="20"/>
                <w:szCs w:val="20"/>
                <w:color w:val="auto"/>
              </w:rPr>
            </w:pPr>
            <w:r>
              <w:rPr>
                <w:rFonts w:ascii="Arial" w:cs="Arial" w:eastAsia="Arial" w:hAnsi="Arial"/>
                <w:sz w:val="18"/>
                <w:szCs w:val="18"/>
                <w:color w:val="auto"/>
                <w:w w:val="94"/>
              </w:rPr>
              <w:t>Letter agreement with Sriram Sivaram dated November 22, 2005 (filed as Exhibit 99.1 to Registrant’s Current Report on Form 8-K dated</w:t>
            </w:r>
          </w:p>
        </w:tc>
      </w:tr>
      <w:tr>
        <w:trPr>
          <w:trHeight w:val="222"/>
        </w:trPr>
        <w:tc>
          <w:tcPr>
            <w:tcW w:w="90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November 22, 2005)</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10480" w:type="dxa"/>
            <w:vAlign w:val="bottom"/>
          </w:tcPr>
          <w:p>
            <w:pPr>
              <w:ind w:left="240"/>
              <w:spacing w:after="0"/>
              <w:rPr>
                <w:sz w:val="20"/>
                <w:szCs w:val="20"/>
                <w:color w:val="auto"/>
              </w:rPr>
            </w:pPr>
            <w:r>
              <w:rPr>
                <w:rFonts w:ascii="Arial" w:cs="Arial" w:eastAsia="Arial" w:hAnsi="Arial"/>
                <w:sz w:val="18"/>
                <w:szCs w:val="18"/>
                <w:color w:val="auto"/>
              </w:rPr>
              <w:t>Consent of Ernst &amp; Young LLP</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24.1</w:t>
            </w:r>
          </w:p>
        </w:tc>
        <w:tc>
          <w:tcPr>
            <w:tcW w:w="10480" w:type="dxa"/>
            <w:vAlign w:val="bottom"/>
          </w:tcPr>
          <w:p>
            <w:pPr>
              <w:ind w:left="240"/>
              <w:spacing w:after="0"/>
              <w:rPr>
                <w:sz w:val="20"/>
                <w:szCs w:val="20"/>
                <w:color w:val="auto"/>
              </w:rPr>
            </w:pPr>
            <w:r>
              <w:rPr>
                <w:rFonts w:ascii="Arial" w:cs="Arial" w:eastAsia="Arial" w:hAnsi="Arial"/>
                <w:sz w:val="18"/>
                <w:szCs w:val="18"/>
                <w:color w:val="auto"/>
                <w:w w:val="89"/>
              </w:rPr>
              <w:t>Power of Attorney, pursuant to which amendments to this Form 10-K may be filed, is included on the signature page contained in Part IV of this</w:t>
            </w:r>
          </w:p>
        </w:tc>
      </w:tr>
      <w:tr>
        <w:trPr>
          <w:trHeight w:val="222"/>
        </w:trPr>
        <w:tc>
          <w:tcPr>
            <w:tcW w:w="90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Form 10-K</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Principal Executive Officer as required by Section 302 of the Sarbanes-Oxley Act of 2002</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Principal Accounting Officer as required by Section 302 of the Sarbanes-Oxley Act of 2002</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Principal Executive Officer as required by Section 906 of the Sarbanes-Oxley Act of 2002</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Principal Financial and Accounting Officer as required by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indicated filing.</w:t>
      </w:r>
    </w:p>
    <w:p>
      <w:pPr>
        <w:spacing w:after="0" w:line="90" w:lineRule="exact"/>
        <w:rPr>
          <w:sz w:val="20"/>
          <w:szCs w:val="20"/>
          <w:color w:val="auto"/>
        </w:rPr>
      </w:pPr>
    </w:p>
    <w:p>
      <w:pPr>
        <w:ind w:right="4080" w:firstLine="8"/>
        <w:spacing w:after="0" w:line="431" w:lineRule="auto"/>
        <w:tabs>
          <w:tab w:leader="none" w:pos="4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confidential treatment previously granted. @ Indicates a management contract or compensatory plan or arrangement.</w:t>
      </w:r>
    </w:p>
    <w:p>
      <w:pPr>
        <w:ind w:left="5620" w:hanging="96"/>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20" w:type="dxa"/>
            <w:vAlign w:val="bottom"/>
          </w:tcPr>
          <w:p>
            <w:pPr>
              <w:spacing w:after="0"/>
              <w:rPr>
                <w:sz w:val="19"/>
                <w:szCs w:val="19"/>
                <w:color w:val="auto"/>
              </w:rPr>
            </w:pPr>
          </w:p>
        </w:tc>
        <w:tc>
          <w:tcPr>
            <w:tcW w:w="7500" w:type="dxa"/>
            <w:vAlign w:val="bottom"/>
            <w:gridSpan w:val="2"/>
          </w:tcPr>
          <w:p>
            <w:pPr>
              <w:ind w:left="2120"/>
              <w:spacing w:after="0"/>
              <w:rPr>
                <w:sz w:val="20"/>
                <w:szCs w:val="20"/>
                <w:color w:val="auto"/>
              </w:rPr>
            </w:pPr>
            <w:r>
              <w:rPr>
                <w:rFonts w:ascii="Arial" w:cs="Arial" w:eastAsia="Arial" w:hAnsi="Arial"/>
                <w:sz w:val="18"/>
                <w:szCs w:val="18"/>
                <w:b w:val="1"/>
                <w:bCs w:val="1"/>
                <w:color w:val="auto"/>
              </w:rPr>
              <w:t>ACTIVE POWER, INC.</w:t>
            </w:r>
          </w:p>
        </w:tc>
      </w:tr>
      <w:tr>
        <w:trPr>
          <w:trHeight w:val="433"/>
        </w:trPr>
        <w:tc>
          <w:tcPr>
            <w:tcW w:w="3920" w:type="dxa"/>
            <w:vAlign w:val="bottom"/>
          </w:tcPr>
          <w:p>
            <w:pPr>
              <w:spacing w:after="0"/>
              <w:rPr>
                <w:sz w:val="20"/>
                <w:szCs w:val="20"/>
                <w:color w:val="auto"/>
              </w:rPr>
            </w:pPr>
            <w:r>
              <w:rPr>
                <w:rFonts w:ascii="Arial" w:cs="Arial" w:eastAsia="Arial" w:hAnsi="Arial"/>
                <w:sz w:val="18"/>
                <w:szCs w:val="18"/>
                <w:color w:val="auto"/>
              </w:rPr>
              <w:t>Dated: February 27, 2006</w:t>
            </w:r>
          </w:p>
        </w:tc>
        <w:tc>
          <w:tcPr>
            <w:tcW w:w="7500" w:type="dxa"/>
            <w:vAlign w:val="bottom"/>
            <w:gridSpan w:val="2"/>
          </w:tcPr>
          <w:p>
            <w:pPr>
              <w:ind w:left="2120"/>
              <w:spacing w:after="0"/>
              <w:rPr>
                <w:sz w:val="20"/>
                <w:szCs w:val="20"/>
                <w:color w:val="auto"/>
              </w:rPr>
            </w:pPr>
            <w:r>
              <w:rPr>
                <w:rFonts w:ascii="Arial" w:cs="Arial" w:eastAsia="Arial" w:hAnsi="Arial"/>
                <w:sz w:val="18"/>
                <w:szCs w:val="18"/>
                <w:color w:val="auto"/>
              </w:rPr>
              <w:t>By: /s/ J</w:t>
            </w:r>
            <w:r>
              <w:rPr>
                <w:rFonts w:ascii="Arial" w:cs="Arial" w:eastAsia="Arial" w:hAnsi="Arial"/>
                <w:sz w:val="14"/>
                <w:szCs w:val="14"/>
                <w:color w:val="auto"/>
              </w:rPr>
              <w:t>OSEPH</w:t>
            </w:r>
            <w:r>
              <w:rPr>
                <w:rFonts w:ascii="Arial" w:cs="Arial" w:eastAsia="Arial" w:hAnsi="Arial"/>
                <w:sz w:val="18"/>
                <w:szCs w:val="18"/>
                <w:color w:val="auto"/>
              </w:rPr>
              <w:t xml:space="preserve"> F. P</w:t>
            </w:r>
            <w:r>
              <w:rPr>
                <w:rFonts w:ascii="Arial" w:cs="Arial" w:eastAsia="Arial" w:hAnsi="Arial"/>
                <w:sz w:val="14"/>
                <w:szCs w:val="14"/>
                <w:color w:val="auto"/>
              </w:rPr>
              <w:t>INKERTON</w:t>
            </w:r>
            <w:r>
              <w:rPr>
                <w:rFonts w:ascii="Arial" w:cs="Arial" w:eastAsia="Arial" w:hAnsi="Arial"/>
                <w:sz w:val="18"/>
                <w:szCs w:val="18"/>
                <w:color w:val="auto"/>
              </w:rPr>
              <w:t>, III</w:t>
            </w:r>
          </w:p>
        </w:tc>
      </w:tr>
      <w:tr>
        <w:trPr>
          <w:trHeight w:val="202"/>
        </w:trPr>
        <w:tc>
          <w:tcPr>
            <w:tcW w:w="39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Joseph F. Pinkerton, III,</w:t>
            </w:r>
          </w:p>
        </w:tc>
      </w:tr>
      <w:tr>
        <w:trPr>
          <w:trHeight w:val="216"/>
        </w:trPr>
        <w:tc>
          <w:tcPr>
            <w:tcW w:w="39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Chairman of the Board and</w:t>
            </w:r>
          </w:p>
        </w:tc>
      </w:tr>
      <w:tr>
        <w:trPr>
          <w:trHeight w:val="222"/>
        </w:trPr>
        <w:tc>
          <w:tcPr>
            <w:tcW w:w="39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Joseph F. Pinkerton, III and John K. Penver, and each or any of them, his true and lawful attorney-in-fact and agent, each with the power of substitution and resubstitution,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said attorney-in-fact and agent, or his substitute or substitutes, may lawfully do or cause to be done by virtue hereof.</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p>
      <w:pPr>
        <w:spacing w:after="0"/>
        <w:tabs>
          <w:tab w:leader="none" w:pos="5140" w:val="left"/>
          <w:tab w:leader="none" w:pos="97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35"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1216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Joseph F. Pinkerton</w:t>
      </w:r>
    </w:p>
    <w:p>
      <w:pPr>
        <w:spacing w:after="0" w:line="200" w:lineRule="exact"/>
        <w:rPr>
          <w:sz w:val="20"/>
          <w:szCs w:val="20"/>
          <w:color w:val="auto"/>
        </w:rPr>
      </w:pPr>
    </w:p>
    <w:p>
      <w:pPr>
        <w:spacing w:after="0" w:line="24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216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John K. Penver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Chairman of the Board and Chief</w:t>
      </w:r>
      <w:r>
        <w:rPr>
          <w:sz w:val="20"/>
          <w:szCs w:val="20"/>
          <w:color w:val="auto"/>
        </w:rPr>
        <w:tab/>
      </w:r>
      <w:r>
        <w:rPr>
          <w:rFonts w:ascii="Arial" w:cs="Arial" w:eastAsia="Arial" w:hAnsi="Arial"/>
          <w:sz w:val="15"/>
          <w:szCs w:val="15"/>
          <w:color w:val="auto"/>
        </w:rPr>
        <w:t>February 27, 2006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Vice President – Finance, Chief</w:t>
      </w:r>
      <w:r>
        <w:rPr>
          <w:sz w:val="20"/>
          <w:szCs w:val="20"/>
          <w:color w:val="auto"/>
        </w:rPr>
        <w:tab/>
      </w:r>
      <w:r>
        <w:rPr>
          <w:rFonts w:ascii="Arial" w:cs="Arial" w:eastAsia="Arial" w:hAnsi="Arial"/>
          <w:sz w:val="15"/>
          <w:szCs w:val="15"/>
          <w:color w:val="auto"/>
        </w:rPr>
        <w:t>February 27, 2006</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ectPr>
          <w:pgSz w:w="11900" w:h="16838" w:orient="portrait"/>
          <w:cols w:equalWidth="0" w:num="2">
            <w:col w:w="4440" w:space="720"/>
            <w:col w:w="6260"/>
          </w:cols>
          <w:pgMar w:left="240" w:top="459" w:right="239" w:bottom="1440" w:gutter="0" w:footer="0" w:header="0"/>
          <w:type w:val="continuous"/>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AKE ALMGREN</w:t>
            </w:r>
          </w:p>
        </w:tc>
        <w:tc>
          <w:tcPr>
            <w:tcW w:w="29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3200" w:type="dxa"/>
            <w:vAlign w:val="bottom"/>
          </w:tcPr>
          <w:p>
            <w:pPr>
              <w:ind w:left="1900"/>
              <w:spacing w:after="0"/>
              <w:rPr>
                <w:sz w:val="20"/>
                <w:szCs w:val="20"/>
                <w:color w:val="auto"/>
              </w:rPr>
            </w:pPr>
            <w:r>
              <w:rPr>
                <w:rFonts w:ascii="Arial" w:cs="Arial" w:eastAsia="Arial" w:hAnsi="Arial"/>
                <w:sz w:val="18"/>
                <w:szCs w:val="18"/>
                <w:color w:val="auto"/>
                <w:w w:val="86"/>
              </w:rPr>
              <w:t>February 27, 2006</w:t>
            </w:r>
          </w:p>
        </w:tc>
      </w:tr>
      <w:tr>
        <w:trPr>
          <w:trHeight w:val="217"/>
        </w:trPr>
        <w:tc>
          <w:tcPr>
            <w:tcW w:w="4920" w:type="dxa"/>
            <w:vAlign w:val="bottom"/>
          </w:tcPr>
          <w:p>
            <w:pPr>
              <w:jc w:val="center"/>
              <w:spacing w:after="0"/>
              <w:rPr>
                <w:sz w:val="20"/>
                <w:szCs w:val="20"/>
                <w:color w:val="auto"/>
              </w:rPr>
            </w:pPr>
            <w:r>
              <w:rPr>
                <w:rFonts w:ascii="Arial" w:cs="Arial" w:eastAsia="Arial" w:hAnsi="Arial"/>
                <w:sz w:val="18"/>
                <w:szCs w:val="18"/>
                <w:color w:val="auto"/>
                <w:w w:val="93"/>
              </w:rPr>
              <w:t>Ake Almgren</w:t>
            </w:r>
          </w:p>
        </w:tc>
        <w:tc>
          <w:tcPr>
            <w:tcW w:w="290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438"/>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4"/>
                <w:szCs w:val="14"/>
                <w:color w:val="auto"/>
                <w:w w:val="93"/>
              </w:rPr>
              <w:t>S</w:t>
            </w:r>
            <w:r>
              <w:rPr>
                <w:rFonts w:ascii="Arial" w:cs="Arial" w:eastAsia="Arial" w:hAnsi="Arial"/>
                <w:sz w:val="18"/>
                <w:szCs w:val="18"/>
                <w:color w:val="auto"/>
                <w:w w:val="93"/>
              </w:rPr>
              <w:t>/ RICHARD E. ANDERSON</w:t>
            </w:r>
          </w:p>
        </w:tc>
        <w:tc>
          <w:tcPr>
            <w:tcW w:w="29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3200" w:type="dxa"/>
            <w:vAlign w:val="bottom"/>
          </w:tcPr>
          <w:p>
            <w:pPr>
              <w:ind w:left="1900"/>
              <w:spacing w:after="0"/>
              <w:rPr>
                <w:sz w:val="20"/>
                <w:szCs w:val="20"/>
                <w:color w:val="auto"/>
              </w:rPr>
            </w:pPr>
            <w:r>
              <w:rPr>
                <w:rFonts w:ascii="Arial" w:cs="Arial" w:eastAsia="Arial" w:hAnsi="Arial"/>
                <w:sz w:val="18"/>
                <w:szCs w:val="18"/>
                <w:color w:val="auto"/>
                <w:w w:val="86"/>
              </w:rPr>
              <w:t>February 27, 2006</w:t>
            </w:r>
          </w:p>
        </w:tc>
      </w:tr>
      <w:tr>
        <w:trPr>
          <w:trHeight w:val="217"/>
        </w:trPr>
        <w:tc>
          <w:tcPr>
            <w:tcW w:w="4920" w:type="dxa"/>
            <w:vAlign w:val="bottom"/>
          </w:tcPr>
          <w:p>
            <w:pPr>
              <w:jc w:val="center"/>
              <w:spacing w:after="0"/>
              <w:rPr>
                <w:sz w:val="20"/>
                <w:szCs w:val="20"/>
                <w:color w:val="auto"/>
              </w:rPr>
            </w:pPr>
            <w:r>
              <w:rPr>
                <w:rFonts w:ascii="Arial" w:cs="Arial" w:eastAsia="Arial" w:hAnsi="Arial"/>
                <w:sz w:val="18"/>
                <w:szCs w:val="18"/>
                <w:color w:val="auto"/>
                <w:w w:val="89"/>
              </w:rPr>
              <w:t>Richard E. Anderson</w:t>
            </w:r>
          </w:p>
        </w:tc>
        <w:tc>
          <w:tcPr>
            <w:tcW w:w="290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370"/>
        </w:trPr>
        <w:tc>
          <w:tcPr>
            <w:tcW w:w="4920" w:type="dxa"/>
            <w:vAlign w:val="bottom"/>
          </w:tcPr>
          <w:p>
            <w:pPr>
              <w:spacing w:after="0"/>
              <w:rPr>
                <w:sz w:val="24"/>
                <w:szCs w:val="24"/>
                <w:color w:val="auto"/>
              </w:rPr>
            </w:pPr>
          </w:p>
        </w:tc>
        <w:tc>
          <w:tcPr>
            <w:tcW w:w="2900" w:type="dxa"/>
            <w:vAlign w:val="bottom"/>
          </w:tcPr>
          <w:p>
            <w:pPr>
              <w:jc w:val="right"/>
              <w:ind w:right="1832"/>
              <w:spacing w:after="0"/>
              <w:rPr>
                <w:sz w:val="20"/>
                <w:szCs w:val="20"/>
                <w:color w:val="auto"/>
              </w:rPr>
            </w:pPr>
            <w:r>
              <w:rPr>
                <w:rFonts w:ascii="Arial" w:cs="Arial" w:eastAsia="Arial" w:hAnsi="Arial"/>
                <w:sz w:val="18"/>
                <w:szCs w:val="18"/>
                <w:color w:val="auto"/>
              </w:rPr>
              <w:t>- 58 -</w:t>
            </w:r>
          </w:p>
        </w:tc>
        <w:tc>
          <w:tcPr>
            <w:tcW w:w="3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4"/>
                <w:szCs w:val="14"/>
                <w:color w:val="auto"/>
                <w:w w:val="93"/>
              </w:rPr>
              <w:t>S</w:t>
            </w:r>
            <w:r>
              <w:rPr>
                <w:rFonts w:ascii="Arial" w:cs="Arial" w:eastAsia="Arial" w:hAnsi="Arial"/>
                <w:sz w:val="18"/>
                <w:szCs w:val="18"/>
                <w:color w:val="auto"/>
                <w:w w:val="93"/>
              </w:rPr>
              <w:t>/ RODNEY S. BOND</w:t>
            </w:r>
          </w:p>
        </w:tc>
        <w:tc>
          <w:tcPr>
            <w:tcW w:w="29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3200" w:type="dxa"/>
            <w:vAlign w:val="bottom"/>
          </w:tcPr>
          <w:p>
            <w:pPr>
              <w:ind w:left="1900"/>
              <w:spacing w:after="0"/>
              <w:rPr>
                <w:sz w:val="20"/>
                <w:szCs w:val="20"/>
                <w:color w:val="auto"/>
              </w:rPr>
            </w:pPr>
            <w:r>
              <w:rPr>
                <w:rFonts w:ascii="Arial" w:cs="Arial" w:eastAsia="Arial" w:hAnsi="Arial"/>
                <w:sz w:val="18"/>
                <w:szCs w:val="18"/>
                <w:color w:val="auto"/>
                <w:w w:val="86"/>
              </w:rPr>
              <w:t>February 27, 2006</w:t>
            </w:r>
          </w:p>
        </w:tc>
      </w:tr>
      <w:tr>
        <w:trPr>
          <w:trHeight w:val="217"/>
        </w:trPr>
        <w:tc>
          <w:tcPr>
            <w:tcW w:w="4920" w:type="dxa"/>
            <w:vAlign w:val="bottom"/>
          </w:tcPr>
          <w:p>
            <w:pPr>
              <w:jc w:val="center"/>
              <w:spacing w:after="0"/>
              <w:rPr>
                <w:sz w:val="20"/>
                <w:szCs w:val="20"/>
                <w:color w:val="auto"/>
              </w:rPr>
            </w:pPr>
            <w:r>
              <w:rPr>
                <w:rFonts w:ascii="Arial" w:cs="Arial" w:eastAsia="Arial" w:hAnsi="Arial"/>
                <w:sz w:val="18"/>
                <w:szCs w:val="18"/>
                <w:color w:val="auto"/>
                <w:w w:val="88"/>
              </w:rPr>
              <w:t>Rodney S. Bond</w:t>
            </w:r>
          </w:p>
        </w:tc>
        <w:tc>
          <w:tcPr>
            <w:tcW w:w="290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438"/>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BENJAMIN L. SCOTT</w:t>
            </w:r>
          </w:p>
        </w:tc>
        <w:tc>
          <w:tcPr>
            <w:tcW w:w="29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3200" w:type="dxa"/>
            <w:vAlign w:val="bottom"/>
          </w:tcPr>
          <w:p>
            <w:pPr>
              <w:ind w:left="1900"/>
              <w:spacing w:after="0"/>
              <w:rPr>
                <w:sz w:val="20"/>
                <w:szCs w:val="20"/>
                <w:color w:val="auto"/>
              </w:rPr>
            </w:pPr>
            <w:r>
              <w:rPr>
                <w:rFonts w:ascii="Arial" w:cs="Arial" w:eastAsia="Arial" w:hAnsi="Arial"/>
                <w:sz w:val="18"/>
                <w:szCs w:val="18"/>
                <w:color w:val="auto"/>
                <w:w w:val="86"/>
              </w:rPr>
              <w:t>February 27, 2006</w:t>
            </w:r>
          </w:p>
        </w:tc>
      </w:tr>
      <w:tr>
        <w:trPr>
          <w:trHeight w:val="217"/>
        </w:trPr>
        <w:tc>
          <w:tcPr>
            <w:tcW w:w="4920" w:type="dxa"/>
            <w:vAlign w:val="bottom"/>
          </w:tcPr>
          <w:p>
            <w:pPr>
              <w:jc w:val="center"/>
              <w:spacing w:after="0"/>
              <w:rPr>
                <w:sz w:val="20"/>
                <w:szCs w:val="20"/>
                <w:color w:val="auto"/>
              </w:rPr>
            </w:pPr>
            <w:r>
              <w:rPr>
                <w:rFonts w:ascii="Arial" w:cs="Arial" w:eastAsia="Arial" w:hAnsi="Arial"/>
                <w:sz w:val="18"/>
                <w:szCs w:val="18"/>
                <w:color w:val="auto"/>
                <w:w w:val="90"/>
              </w:rPr>
              <w:t>Benjamin L. Scott</w:t>
            </w:r>
          </w:p>
        </w:tc>
        <w:tc>
          <w:tcPr>
            <w:tcW w:w="290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438"/>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JAN H. LINDELOW</w:t>
            </w:r>
          </w:p>
        </w:tc>
        <w:tc>
          <w:tcPr>
            <w:tcW w:w="29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3200" w:type="dxa"/>
            <w:vAlign w:val="bottom"/>
          </w:tcPr>
          <w:p>
            <w:pPr>
              <w:ind w:left="1900"/>
              <w:spacing w:after="0"/>
              <w:rPr>
                <w:sz w:val="20"/>
                <w:szCs w:val="20"/>
                <w:color w:val="auto"/>
              </w:rPr>
            </w:pPr>
            <w:r>
              <w:rPr>
                <w:rFonts w:ascii="Arial" w:cs="Arial" w:eastAsia="Arial" w:hAnsi="Arial"/>
                <w:sz w:val="18"/>
                <w:szCs w:val="18"/>
                <w:color w:val="auto"/>
                <w:w w:val="86"/>
              </w:rPr>
              <w:t>February 27, 2006</w:t>
            </w:r>
          </w:p>
        </w:tc>
      </w:tr>
      <w:tr>
        <w:trPr>
          <w:trHeight w:val="217"/>
        </w:trPr>
        <w:tc>
          <w:tcPr>
            <w:tcW w:w="4920" w:type="dxa"/>
            <w:vAlign w:val="bottom"/>
          </w:tcPr>
          <w:p>
            <w:pPr>
              <w:jc w:val="center"/>
              <w:spacing w:after="0"/>
              <w:rPr>
                <w:sz w:val="20"/>
                <w:szCs w:val="20"/>
                <w:color w:val="auto"/>
              </w:rPr>
            </w:pPr>
            <w:r>
              <w:rPr>
                <w:rFonts w:ascii="Arial" w:cs="Arial" w:eastAsia="Arial" w:hAnsi="Arial"/>
                <w:sz w:val="18"/>
                <w:szCs w:val="18"/>
                <w:color w:val="auto"/>
                <w:w w:val="90"/>
              </w:rPr>
              <w:t>Jan H. Lindelow</w:t>
            </w:r>
          </w:p>
        </w:tc>
        <w:tc>
          <w:tcPr>
            <w:tcW w:w="290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438"/>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 TERRENCE L. ROCK</w:t>
            </w:r>
          </w:p>
        </w:tc>
        <w:tc>
          <w:tcPr>
            <w:tcW w:w="29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3200" w:type="dxa"/>
            <w:vAlign w:val="bottom"/>
          </w:tcPr>
          <w:p>
            <w:pPr>
              <w:ind w:left="1900"/>
              <w:spacing w:after="0"/>
              <w:rPr>
                <w:sz w:val="20"/>
                <w:szCs w:val="20"/>
                <w:color w:val="auto"/>
              </w:rPr>
            </w:pPr>
            <w:r>
              <w:rPr>
                <w:rFonts w:ascii="Arial" w:cs="Arial" w:eastAsia="Arial" w:hAnsi="Arial"/>
                <w:sz w:val="18"/>
                <w:szCs w:val="18"/>
                <w:color w:val="auto"/>
                <w:w w:val="86"/>
              </w:rPr>
              <w:t>February 27, 2006</w:t>
            </w:r>
          </w:p>
        </w:tc>
      </w:tr>
      <w:tr>
        <w:trPr>
          <w:trHeight w:val="217"/>
        </w:trPr>
        <w:tc>
          <w:tcPr>
            <w:tcW w:w="4920" w:type="dxa"/>
            <w:vAlign w:val="bottom"/>
          </w:tcPr>
          <w:p>
            <w:pPr>
              <w:jc w:val="center"/>
              <w:spacing w:after="0"/>
              <w:rPr>
                <w:sz w:val="20"/>
                <w:szCs w:val="20"/>
                <w:color w:val="auto"/>
              </w:rPr>
            </w:pPr>
            <w:r>
              <w:rPr>
                <w:rFonts w:ascii="Arial" w:cs="Arial" w:eastAsia="Arial" w:hAnsi="Arial"/>
                <w:sz w:val="18"/>
                <w:szCs w:val="18"/>
                <w:color w:val="auto"/>
                <w:w w:val="88"/>
              </w:rPr>
              <w:t>Terrence L. Rock</w:t>
            </w:r>
          </w:p>
        </w:tc>
        <w:tc>
          <w:tcPr>
            <w:tcW w:w="290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438"/>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4"/>
                <w:szCs w:val="14"/>
                <w:color w:val="auto"/>
                <w:w w:val="93"/>
              </w:rPr>
              <w:t>S</w:t>
            </w:r>
            <w:r>
              <w:rPr>
                <w:rFonts w:ascii="Arial" w:cs="Arial" w:eastAsia="Arial" w:hAnsi="Arial"/>
                <w:sz w:val="18"/>
                <w:szCs w:val="18"/>
                <w:color w:val="auto"/>
                <w:w w:val="93"/>
              </w:rPr>
              <w:t>/ BRAD BOSTON</w:t>
            </w:r>
          </w:p>
        </w:tc>
        <w:tc>
          <w:tcPr>
            <w:tcW w:w="29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3200" w:type="dxa"/>
            <w:vAlign w:val="bottom"/>
          </w:tcPr>
          <w:p>
            <w:pPr>
              <w:ind w:left="1900"/>
              <w:spacing w:after="0"/>
              <w:rPr>
                <w:sz w:val="20"/>
                <w:szCs w:val="20"/>
                <w:color w:val="auto"/>
              </w:rPr>
            </w:pPr>
            <w:r>
              <w:rPr>
                <w:rFonts w:ascii="Arial" w:cs="Arial" w:eastAsia="Arial" w:hAnsi="Arial"/>
                <w:sz w:val="18"/>
                <w:szCs w:val="18"/>
                <w:color w:val="auto"/>
                <w:w w:val="86"/>
              </w:rPr>
              <w:t>February 27, 2006</w:t>
            </w:r>
          </w:p>
        </w:tc>
      </w:tr>
      <w:tr>
        <w:trPr>
          <w:trHeight w:val="217"/>
        </w:trPr>
        <w:tc>
          <w:tcPr>
            <w:tcW w:w="4920" w:type="dxa"/>
            <w:vAlign w:val="bottom"/>
          </w:tcPr>
          <w:p>
            <w:pPr>
              <w:jc w:val="center"/>
              <w:spacing w:after="0"/>
              <w:rPr>
                <w:sz w:val="20"/>
                <w:szCs w:val="20"/>
                <w:color w:val="auto"/>
              </w:rPr>
            </w:pPr>
            <w:r>
              <w:rPr>
                <w:rFonts w:ascii="Arial" w:cs="Arial" w:eastAsia="Arial" w:hAnsi="Arial"/>
                <w:sz w:val="18"/>
                <w:szCs w:val="18"/>
                <w:color w:val="auto"/>
                <w:w w:val="88"/>
              </w:rPr>
              <w:t>Brad Boston</w:t>
            </w:r>
          </w:p>
        </w:tc>
        <w:tc>
          <w:tcPr>
            <w:tcW w:w="290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370"/>
        </w:trPr>
        <w:tc>
          <w:tcPr>
            <w:tcW w:w="4920" w:type="dxa"/>
            <w:vAlign w:val="bottom"/>
          </w:tcPr>
          <w:p>
            <w:pPr>
              <w:spacing w:after="0"/>
              <w:rPr>
                <w:sz w:val="24"/>
                <w:szCs w:val="24"/>
                <w:color w:val="auto"/>
              </w:rPr>
            </w:pPr>
          </w:p>
        </w:tc>
        <w:tc>
          <w:tcPr>
            <w:tcW w:w="2900" w:type="dxa"/>
            <w:vAlign w:val="bottom"/>
          </w:tcPr>
          <w:p>
            <w:pPr>
              <w:ind w:left="600"/>
              <w:spacing w:after="0"/>
              <w:rPr>
                <w:sz w:val="20"/>
                <w:szCs w:val="20"/>
                <w:color w:val="auto"/>
              </w:rPr>
            </w:pPr>
            <w:r>
              <w:rPr>
                <w:rFonts w:ascii="Arial" w:cs="Arial" w:eastAsia="Arial" w:hAnsi="Arial"/>
                <w:sz w:val="18"/>
                <w:szCs w:val="18"/>
                <w:color w:val="auto"/>
              </w:rPr>
              <w:t>- 59 -</w:t>
            </w:r>
          </w:p>
        </w:tc>
        <w:tc>
          <w:tcPr>
            <w:tcW w:w="3200" w:type="dxa"/>
            <w:vAlign w:val="bottom"/>
          </w:tcPr>
          <w:p>
            <w:pPr>
              <w:spacing w:after="0"/>
              <w:rPr>
                <w:sz w:val="24"/>
                <w:szCs w:val="24"/>
                <w:color w:val="auto"/>
              </w:rPr>
            </w:pPr>
          </w:p>
        </w:tc>
      </w:tr>
    </w:tbl>
    <w:p>
      <w:pPr>
        <w:sectPr>
          <w:pgSz w:w="11900" w:h="16838" w:orient="portrait"/>
          <w:cols w:equalWidth="0" w:num="1">
            <w:col w:w="11020"/>
          </w:cols>
          <w:pgMar w:left="240" w:top="459" w:right="6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65"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We have audited the accompanying balance sheets of Active Power, Inc. (the Company) as of December 31, 2005 and 2004, and the related statements of operations and comprehensive loss, stockholders’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Active Power, Inc. at December 31, 2005 and 2004, and the results of its operations and its cash flows for each of the three years in the period ended December 31, 2005, in conformity with U.S. generally accepted accounting principles.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effectiveness of the Company’s internal control over financial reporting as of December 31, 2005, based on criteria established in Internal Control—Integrated Framework issued by the Committee of Sponsoring Organizations of the Treadway Commission and our report dated February 24, 2006 expressed an unqualified opinion thereon.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2006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REPORT OF INDEPENDENT REGISTERED PUBLIC ACCOUNTING FIRM ON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We have audited management’s assessment, included in the accompanying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that Active Power, Inc. (the Company) maintained effective internal control over financial reporting as of December 31, 2005, based on criteria established in Internal Control—Integrated Framework issued by the Committee of Sponsoring Organizations of the Treadway Commission (the COSO criteria). Active Power,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our opinion, management’s assessment that Active Power, Inc. maintained effective internal control over financial reporting as of December 31, 2005, is fairly stated, in all material respects, based on the COSO control criteria. Also, in our opinion, Active Power, Inc. maintained, in all material respects, effective internal control over financial reporting as of December 31, 2005, based on the COSO control criteria.</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2005 financial statements of Active Power, Inc. and our report dated February 24, 2006 expressed an unqualified opinion thereon.</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2006</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21,308</w:t>
            </w: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w w:val="94"/>
              </w:rPr>
              <w:t>Accounts receivable, net of allowance for doubtful accounts of $1,342 and $135 at December 31, 2005 and 2004,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5,769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4,143</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60,365</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63,366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Common Stock - $0.001 par value; 60,000 shares authorized;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w w:val="95"/>
              </w:rPr>
              <w:t>48,864 and 42,824 shares issued and 48,828 and 42,789 shares outstanding in 2005 and 2004, respectively</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36 and 35 shares in 2005 and 2004, respectively</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Deferred stock compensation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235,147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215,937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(180,689)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(157,798)</w:t>
            </w: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accumulated comprehensive income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20" w:type="dxa"/>
            <w:vAlign w:val="bottom"/>
          </w:tcPr>
          <w:p>
            <w:pPr>
              <w:spacing w:after="0"/>
              <w:rPr>
                <w:sz w:val="20"/>
                <w:szCs w:val="20"/>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54,116</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58,093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15,854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14,050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and spares revenue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tcPr>
          <w:p>
            <w:pPr>
              <w:ind w:left="860"/>
              <w:spacing w:after="0"/>
              <w:rPr>
                <w:sz w:val="20"/>
                <w:szCs w:val="20"/>
                <w:color w:val="auto"/>
              </w:rPr>
            </w:pPr>
            <w:r>
              <w:rPr>
                <w:rFonts w:ascii="Arial" w:cs="Arial" w:eastAsia="Arial" w:hAnsi="Arial"/>
                <w:sz w:val="18"/>
                <w:szCs w:val="18"/>
                <w:color w:val="auto"/>
              </w:rPr>
              <w:t>Total revenue</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vMerge w:val="continue"/>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17,788</w:t>
            </w:r>
          </w:p>
        </w:tc>
        <w:tc>
          <w:tcPr>
            <w:tcW w:w="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15,783</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16,159</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16,134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11,172</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9,845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&amp; administrative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13,908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11,581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Litigation settlement expense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43,108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44,540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8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(25,320)</w:t>
            </w: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(28,757)</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(23,578)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Gain due to change in market value of investment rights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(22,891)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(27,780)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(21,703)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8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48,058</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42,471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(22,891)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(27,780)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(22,897)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(27,946)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7"/>
              </w:rPr>
              <w:t>Common Stock</w:t>
            </w:r>
          </w:p>
        </w:tc>
        <w:tc>
          <w:tcPr>
            <w:tcW w:w="160" w:type="dxa"/>
            <w:vAlign w:val="bottom"/>
          </w:tcPr>
          <w:p>
            <w:pPr>
              <w:spacing w:after="0"/>
              <w:rPr>
                <w:sz w:val="14"/>
                <w:szCs w:val="14"/>
                <w:color w:val="auto"/>
              </w:rPr>
            </w:pPr>
          </w:p>
        </w:tc>
        <w:tc>
          <w:tcPr>
            <w:tcW w:w="108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w w:val="94"/>
              </w:rPr>
              <w:t>Treasury Stock</w:t>
            </w:r>
          </w:p>
        </w:tc>
        <w:tc>
          <w:tcPr>
            <w:tcW w:w="1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40" w:type="dxa"/>
            <w:vAlign w:val="bottom"/>
            <w:tcBorders>
              <w:bottom w:val="single" w:sz="8" w:color="auto"/>
            </w:tcBorders>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bottom w:val="single" w:sz="8" w:color="auto"/>
            </w:tcBorders>
            <w:gridSpan w:val="5"/>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2"/>
                <w:szCs w:val="12"/>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Additional</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140"/>
              <w:spacing w:after="0" w:line="148"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Number</w:t>
            </w:r>
          </w:p>
        </w:tc>
        <w:tc>
          <w:tcPr>
            <w:tcW w:w="3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7"/>
              </w:rPr>
              <w:t>Par</w:t>
            </w:r>
          </w:p>
        </w:tc>
        <w:tc>
          <w:tcPr>
            <w:tcW w:w="1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4"/>
              </w:rPr>
              <w:t>At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1"/>
                <w:szCs w:val="11"/>
                <w:color w:val="auto"/>
              </w:rPr>
            </w:pPr>
          </w:p>
        </w:tc>
        <w:tc>
          <w:tcPr>
            <w:tcW w:w="92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Paid-In</w:t>
            </w:r>
          </w:p>
        </w:tc>
        <w:tc>
          <w:tcPr>
            <w:tcW w:w="92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1"/>
                <w:szCs w:val="11"/>
                <w:color w:val="auto"/>
              </w:rPr>
            </w:pPr>
          </w:p>
        </w:tc>
        <w:tc>
          <w:tcPr>
            <w:tcW w:w="106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100" w:type="dxa"/>
            <w:vAlign w:val="bottom"/>
          </w:tcPr>
          <w:p>
            <w:pPr>
              <w:spacing w:after="0"/>
              <w:rPr>
                <w:sz w:val="11"/>
                <w:szCs w:val="11"/>
                <w:color w:val="auto"/>
              </w:rPr>
            </w:pP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of Shares</w:t>
            </w:r>
          </w:p>
        </w:tc>
        <w:tc>
          <w:tcPr>
            <w:tcW w:w="220" w:type="dxa"/>
            <w:vAlign w:val="bottom"/>
          </w:tcPr>
          <w:p>
            <w:pPr>
              <w:spacing w:after="0"/>
              <w:rPr>
                <w:sz w:val="15"/>
                <w:szCs w:val="15"/>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of 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Compensation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5"/>
                <w:szCs w:val="15"/>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41,672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214,548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Employee stock purchases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483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w w:val="86"/>
              </w:rPr>
              <w:t>514</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exercised stock options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Amortization of deferred stock compensation</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164</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(64)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 on investments</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(21,703)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(21,703)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42,150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214,993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Employee stock purchases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674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w w:val="86"/>
              </w:rPr>
              <w:t>944</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stock compensation</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Change in unrealized loss on investments</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marketable securities</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(27,780)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(27,780)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42,824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$215,937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(157,798)</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Employee stock purchases</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585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w w:val="86"/>
              </w:rPr>
              <w:t>983</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9"/>
              </w:rPr>
              <w:t>Sale of common stock, less $1,179 in issuance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17,706</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Repurchase of exercised stock options</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6"/>
              </w:rPr>
              <w:t>344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Amortization of deferred stock compensation</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Fair market value of investment rights</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6"/>
              </w:rPr>
              <w:t>964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Change in market value of investment rights</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(964)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6"/>
              </w:rPr>
              <w:t>177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Change in unrealized loss on investments</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marketable securities</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loss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(22,891)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(22,891)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48,864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235,147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(180,689)</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(22,891)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(27,780)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5"/>
              </w:rPr>
              <w:t>$ (21,703)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1,904</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2,167</w:t>
            </w:r>
          </w:p>
        </w:tc>
        <w:tc>
          <w:tcPr>
            <w:tcW w:w="660" w:type="dxa"/>
            <w:vAlign w:val="bottom"/>
          </w:tcPr>
          <w:p>
            <w:pPr>
              <w:jc w:val="right"/>
              <w:spacing w:after="0"/>
              <w:rPr>
                <w:sz w:val="20"/>
                <w:szCs w:val="20"/>
                <w:color w:val="auto"/>
              </w:rPr>
            </w:pPr>
            <w:r>
              <w:rPr>
                <w:rFonts w:ascii="Arial" w:cs="Arial" w:eastAsia="Arial" w:hAnsi="Arial"/>
                <w:sz w:val="18"/>
                <w:szCs w:val="18"/>
                <w:color w:val="auto"/>
              </w:rPr>
              <w:t>2,306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Change in allowance for doubtful accounts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1,207</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premium / discount on investments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fixed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Impairment charge on technology license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613</w:t>
            </w:r>
          </w:p>
        </w:tc>
        <w:tc>
          <w:tcPr>
            <w:tcW w:w="3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Change in market value of investments rights</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(964)</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compensation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(276)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565</w:t>
            </w:r>
          </w:p>
        </w:tc>
        <w:tc>
          <w:tcPr>
            <w:tcW w:w="660" w:type="dxa"/>
            <w:vAlign w:val="bottom"/>
          </w:tcPr>
          <w:p>
            <w:pPr>
              <w:jc w:val="right"/>
              <w:spacing w:after="0"/>
              <w:rPr>
                <w:sz w:val="20"/>
                <w:szCs w:val="20"/>
                <w:color w:val="auto"/>
              </w:rPr>
            </w:pPr>
            <w:r>
              <w:rPr>
                <w:rFonts w:ascii="Arial" w:cs="Arial" w:eastAsia="Arial" w:hAnsi="Arial"/>
                <w:sz w:val="18"/>
                <w:szCs w:val="18"/>
                <w:color w:val="auto"/>
              </w:rPr>
              <w:t>1,980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615</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660" w:type="dxa"/>
            <w:vAlign w:val="bottom"/>
          </w:tcPr>
          <w:p>
            <w:pPr>
              <w:jc w:val="right"/>
              <w:spacing w:after="0"/>
              <w:rPr>
                <w:sz w:val="20"/>
                <w:szCs w:val="20"/>
                <w:color w:val="auto"/>
              </w:rPr>
            </w:pPr>
            <w:r>
              <w:rPr>
                <w:rFonts w:ascii="Arial" w:cs="Arial" w:eastAsia="Arial" w:hAnsi="Arial"/>
                <w:sz w:val="18"/>
                <w:szCs w:val="18"/>
                <w:color w:val="auto"/>
              </w:rPr>
              <w:t>1,341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66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(21,440)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(26,789)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(16,926)</w:t>
            </w:r>
          </w:p>
        </w:tc>
        <w:tc>
          <w:tcPr>
            <w:tcW w:w="0" w:type="dxa"/>
            <w:vAlign w:val="bottom"/>
          </w:tcPr>
          <w:p>
            <w:pPr>
              <w:spacing w:after="0"/>
              <w:rPr>
                <w:sz w:val="1"/>
                <w:szCs w:val="1"/>
                <w:color w:val="auto"/>
              </w:rPr>
            </w:pPr>
          </w:p>
        </w:tc>
      </w:tr>
      <w:tr>
        <w:trPr>
          <w:trHeight w:val="322"/>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(43,833)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(32,630)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Sales/maturities of marketable securities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36,646</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64,285</w:t>
            </w:r>
          </w:p>
        </w:tc>
        <w:tc>
          <w:tcPr>
            <w:tcW w:w="660" w:type="dxa"/>
            <w:vAlign w:val="bottom"/>
          </w:tcPr>
          <w:p>
            <w:pPr>
              <w:jc w:val="right"/>
              <w:spacing w:after="0"/>
              <w:rPr>
                <w:sz w:val="20"/>
                <w:szCs w:val="20"/>
                <w:color w:val="auto"/>
              </w:rPr>
            </w:pPr>
            <w:r>
              <w:rPr>
                <w:rFonts w:ascii="Arial" w:cs="Arial" w:eastAsia="Arial" w:hAnsi="Arial"/>
                <w:sz w:val="18"/>
                <w:szCs w:val="18"/>
                <w:color w:val="auto"/>
              </w:rPr>
              <w:t>87,473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(8,251)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31,396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private placement of common stock</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19,855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Issuance costs</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(1,179)</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purchases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19,656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8"/>
                <w:szCs w:val="18"/>
                <w:color w:val="auto"/>
              </w:rPr>
              <w:t>Change in cash and cash equivalents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(10,035)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5,552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(15,053)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17,625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12,073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7,590</w:t>
            </w:r>
          </w:p>
        </w:tc>
        <w:tc>
          <w:tcPr>
            <w:tcW w:w="3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$ 17,625</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$ 12,073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 Organization</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Active Power, Inc. (“we, “us”, “Active Power” or the “Company”) was founded as a Texas Corporation in 1992 for the purpose of developing and commercializing advances in the field of electromechanics. The Company was reincorporated in Delaware in 2000 prior to our Initial Public Offering. We design, manufacture and market power quality products to provide consistent, reliable electric power required by customers during electric utility disturbances. We have commercialized a flywheel energy storage system that provides a highly-reliable, low-cost and non-toxic replacement for lead-acid batteries used in conventional power quality installations. We have broadened our product offerings and expanded our available markets by developing additional power quality systems to address customer needs at both higher and lower power levels. We have also developed a battery-free extended runtime technology called CoolAir DC that utilizes thermal and compressed air storage and provides backup power for minutes to hours depending on the application. This extended runtime product typically operates at lower power levels than our flywheel products, and is sold as a minute-for-minute DC replacement for traditional lead-acid batteries. We sell our products globally through direct, manufacturer’s representatives and OEM channels and our principle markets are North America and Europe, Middle East and Africa (“EMEA”).</w:t>
      </w:r>
    </w:p>
    <w:p>
      <w:pPr>
        <w:spacing w:after="0" w:line="204" w:lineRule="exact"/>
        <w:rPr>
          <w:sz w:val="20"/>
          <w:szCs w:val="20"/>
          <w:color w:val="auto"/>
        </w:rPr>
      </w:pPr>
    </w:p>
    <w:p>
      <w:pPr>
        <w:ind w:right="8980" w:firstLine="8"/>
        <w:spacing w:after="0" w:line="344" w:lineRule="auto"/>
        <w:tabs>
          <w:tab w:leader="none" w:pos="1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Significant Accounting Policies </w:t>
      </w:r>
      <w:r>
        <w:rPr>
          <w:rFonts w:ascii="Arial" w:cs="Arial" w:eastAsia="Arial" w:hAnsi="Arial"/>
          <w:sz w:val="18"/>
          <w:szCs w:val="18"/>
          <w:i w:val="1"/>
          <w:iCs w:val="1"/>
          <w:color w:val="auto"/>
        </w:rPr>
        <w:t>Use of Estimates</w:t>
      </w:r>
    </w:p>
    <w:p>
      <w:pPr>
        <w:spacing w:after="0" w:line="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amounts reported in the financial statements and accompanying notes. Actual results could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general, revenue is recognized when title has transferred as stipulated by the delivery terms in the sales contract. In addition, prior to revenue recognition we require persuasive evidence of the arrangement, that the price is fixed or determinable, and that collectibility is reasonably assured.</w:t>
      </w:r>
    </w:p>
    <w:p>
      <w:pPr>
        <w:spacing w:after="0" w:line="85"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or is deferred and recognized over the service period (where applicable). When products and services are contracted under a single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Development funding revenue is recognized as we achieve development milestones specified in the respective agreements. Revenue associated with the sale of extended warranties is recognized ratably over the contract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90"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We classify shipping and handling costs related to product sales as cost of revenue, and any payments from customers for shipping and handling are categorized in revenue. We classify shipping and handling costs associated with receiving production inventory as cost of product revenue. Any materials received or shipped which are related to our engineering, sales, marketing and administrative functions are classified as operating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with a contractual maturity of three months or less when purchased are classified as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Restricted cash balances of $116 and $741 as of December 31, 2005 and 2004, respectively, secure product performance guarantees given to a customer.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Upon satisfaction of these guarantees, the restriction on these funds is released.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Marketable Securities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Investments in marketable securities consist of commercial paper and debt securities with readily determinable fair values. Active Power accounts for investments that are reasonably expected to be realized in cash, sold or consumed during the year as short-term investments. We classify investments in marketable securities as available-for-sale and all reclassifications made from unrealized gains/losses to realized gains/losses are determined based on the specific identification method. The carrying amount of investments in marketable securities approximates fair value at December 31, 2005.</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of our investments in marketable securities consists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Gross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Losses</w:t>
            </w:r>
          </w:p>
        </w:tc>
        <w:tc>
          <w:tcPr>
            <w:tcW w:w="4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Corporate Notes</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Certificate of Deposit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16,445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16,445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tcPr>
          <w:p>
            <w:pPr>
              <w:spacing w:after="0"/>
              <w:rPr>
                <w:sz w:val="19"/>
                <w:szCs w:val="19"/>
                <w:color w:val="auto"/>
              </w:rPr>
            </w:pP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$ 34,427</w:t>
            </w:r>
          </w:p>
        </w:tc>
        <w:tc>
          <w:tcPr>
            <w:tcW w:w="20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investments in marketable securities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6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Gross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Losses</w:t>
            </w:r>
          </w:p>
        </w:tc>
        <w:tc>
          <w:tcPr>
            <w:tcW w:w="4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11,923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tcPr>
          <w:p>
            <w:pPr>
              <w:spacing w:after="0"/>
              <w:rPr>
                <w:sz w:val="19"/>
                <w:szCs w:val="19"/>
                <w:color w:val="auto"/>
              </w:rPr>
            </w:pP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$ 27,396</w:t>
            </w:r>
          </w:p>
        </w:tc>
        <w:tc>
          <w:tcPr>
            <w:tcW w:w="20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investments in marketable securities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(21,308)</w:t>
            </w:r>
          </w:p>
        </w:tc>
        <w:tc>
          <w:tcPr>
            <w:tcW w:w="0" w:type="dxa"/>
            <w:vAlign w:val="bottom"/>
          </w:tcPr>
          <w:p>
            <w:pPr>
              <w:spacing w:after="0"/>
              <w:rPr>
                <w:sz w:val="1"/>
                <w:szCs w:val="1"/>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Included in the above totals for gross unrealized losses are $52 and $41 as of December 31, 2005 and 2004, respectively, that related to long-term investments in marketable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460" w:type="dxa"/>
            <w:vAlign w:val="bottom"/>
            <w:gridSpan w:val="2"/>
          </w:tcPr>
          <w:p>
            <w:pPr>
              <w:spacing w:after="0"/>
              <w:rPr>
                <w:sz w:val="20"/>
                <w:szCs w:val="20"/>
                <w:color w:val="auto"/>
              </w:rPr>
            </w:pPr>
            <w:r>
              <w:rPr>
                <w:rFonts w:ascii="Arial" w:cs="Arial" w:eastAsia="Arial" w:hAnsi="Arial"/>
                <w:sz w:val="18"/>
                <w:szCs w:val="18"/>
                <w:color w:val="auto"/>
              </w:rPr>
              <w:t>The fair value by contractual maturity of our marketable securities at December 31, 2005 is shown below:</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$15,919</w:t>
            </w:r>
          </w:p>
        </w:tc>
      </w:tr>
      <w:tr>
        <w:trPr>
          <w:trHeight w:val="216"/>
        </w:trPr>
        <w:tc>
          <w:tcPr>
            <w:tcW w:w="46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2,970</w:t>
            </w:r>
          </w:p>
        </w:tc>
      </w:tr>
      <w:tr>
        <w:trPr>
          <w:trHeight w:val="216"/>
        </w:trPr>
        <w:tc>
          <w:tcPr>
            <w:tcW w:w="46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10 years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After 10 years</w:t>
            </w:r>
          </w:p>
        </w:tc>
        <w:tc>
          <w:tcPr>
            <w:tcW w:w="10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15,445</w:t>
            </w:r>
          </w:p>
        </w:tc>
      </w:tr>
      <w:tr>
        <w:trPr>
          <w:trHeight w:val="216"/>
        </w:trPr>
        <w:tc>
          <w:tcPr>
            <w:tcW w:w="46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34,334</w:t>
            </w:r>
          </w:p>
        </w:tc>
      </w:tr>
      <w:tr>
        <w:trPr>
          <w:trHeight w:val="20"/>
        </w:trPr>
        <w:tc>
          <w:tcPr>
            <w:tcW w:w="4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estimate an allowance for doubtful accounts based on factors related to the credit risk of each customer. Historically, credit losses have been minimal, primarily because the majority of our revenues have been generated from large OEM customers. As we have been integrating additional distribution channels into our business and selling more of our products directly to customers, the risk of credit losses has increased in fiscal 2005. Allowance for doubtful account balances are $1,342 and $135 as of December 31, 2005 and 2004, respectively. The increase in our allowance for doubtful account balance in 2005 relates to foreign customer receivables for which we feel collection is uncertain due to the continued weakening of the customer’s financial condition. Although we have fully provided for these balances, we continue to pursue collection of these receivables.</w:t>
      </w:r>
    </w:p>
    <w:p>
      <w:pPr>
        <w:sectPr>
          <w:pgSz w:w="11900" w:h="16838" w:orient="portrait"/>
          <w:cols w:equalWidth="0" w:num="1">
            <w:col w:w="11400"/>
          </w:cols>
          <w:pgMar w:left="240" w:top="459" w:right="259" w:bottom="1440" w:gutter="0" w:footer="0" w:header="0"/>
        </w:sectPr>
      </w:pP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the changes in the allowance for doubtful accounts:</w:t>
      </w:r>
    </w:p>
    <w:p>
      <w:pPr>
        <w:spacing w:after="0" w:line="2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Additions charged to expense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Write-off of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2003</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Write-off of uncollectible accounts</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Additions charged to expense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Write-off of uncollectible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326" w:hanging="326"/>
        <w:spacing w:after="0"/>
        <w:tabs>
          <w:tab w:leader="none" w:pos="326" w:val="left"/>
        </w:tabs>
        <w:numPr>
          <w:ilvl w:val="0"/>
          <w:numId w:val="24"/>
        </w:numPr>
        <w:rPr>
          <w:rFonts w:ascii="Arial" w:cs="Arial" w:eastAsia="Arial" w:hAnsi="Arial"/>
          <w:sz w:val="18"/>
          <w:szCs w:val="18"/>
          <w:color w:val="auto"/>
        </w:rPr>
      </w:pPr>
      <w:r>
        <w:rPr>
          <w:rFonts w:ascii="Arial" w:cs="Arial" w:eastAsia="Arial" w:hAnsi="Arial"/>
          <w:sz w:val="18"/>
          <w:szCs w:val="18"/>
          <w:color w:val="auto"/>
        </w:rPr>
        <w:t>39</w:t>
      </w:r>
    </w:p>
    <w:p>
      <w:pPr>
        <w:spacing w:after="0" w:line="15" w:lineRule="exact"/>
        <w:rPr>
          <w:rFonts w:ascii="Arial" w:cs="Arial" w:eastAsia="Arial" w:hAnsi="Arial"/>
          <w:sz w:val="18"/>
          <w:szCs w:val="18"/>
          <w:color w:val="auto"/>
        </w:rPr>
      </w:pPr>
    </w:p>
    <w:p>
      <w:pPr>
        <w:ind w:left="326"/>
        <w:spacing w:after="0"/>
        <w:rPr>
          <w:rFonts w:ascii="Arial" w:cs="Arial" w:eastAsia="Arial" w:hAnsi="Arial"/>
          <w:sz w:val="18"/>
          <w:szCs w:val="18"/>
          <w:color w:val="auto"/>
        </w:rPr>
      </w:pPr>
      <w:r>
        <w:rPr>
          <w:rFonts w:ascii="Arial" w:cs="Arial" w:eastAsia="Arial" w:hAnsi="Arial"/>
          <w:sz w:val="18"/>
          <w:szCs w:val="18"/>
          <w:color w:val="auto"/>
        </w:rPr>
        <w:t>82</w:t>
      </w:r>
    </w:p>
    <w:p>
      <w:pPr>
        <w:spacing w:after="0" w:line="9" w:lineRule="exact"/>
        <w:rPr>
          <w:sz w:val="20"/>
          <w:szCs w:val="20"/>
          <w:color w:val="auto"/>
        </w:rPr>
      </w:pPr>
    </w:p>
    <w:p>
      <w:pPr>
        <w:jc w:val="right"/>
        <w:ind w:right="9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ind w:left="246"/>
        <w:spacing w:after="0"/>
        <w:rPr>
          <w:sz w:val="20"/>
          <w:szCs w:val="20"/>
          <w:color w:val="auto"/>
        </w:rPr>
      </w:pPr>
      <w:r>
        <w:rPr>
          <w:rFonts w:ascii="Arial" w:cs="Arial" w:eastAsia="Arial" w:hAnsi="Arial"/>
          <w:sz w:val="18"/>
          <w:szCs w:val="18"/>
          <w:color w:val="auto"/>
        </w:rPr>
        <w:t>105</w:t>
      </w:r>
    </w:p>
    <w:p>
      <w:pPr>
        <w:spacing w:after="0" w:line="15" w:lineRule="exact"/>
        <w:rPr>
          <w:sz w:val="20"/>
          <w:szCs w:val="20"/>
          <w:color w:val="auto"/>
        </w:rPr>
      </w:pPr>
    </w:p>
    <w:p>
      <w:pPr>
        <w:ind w:left="326"/>
        <w:spacing w:after="0"/>
        <w:rPr>
          <w:sz w:val="20"/>
          <w:szCs w:val="20"/>
          <w:color w:val="auto"/>
        </w:rPr>
      </w:pPr>
      <w:r>
        <w:rPr>
          <w:rFonts w:ascii="Arial" w:cs="Arial" w:eastAsia="Arial" w:hAnsi="Arial"/>
          <w:sz w:val="18"/>
          <w:szCs w:val="18"/>
          <w:color w:val="auto"/>
        </w:rPr>
        <w:t>49</w:t>
      </w:r>
    </w:p>
    <w:p>
      <w:pPr>
        <w:spacing w:after="0" w:line="9" w:lineRule="exact"/>
        <w:rPr>
          <w:sz w:val="20"/>
          <w:szCs w:val="20"/>
          <w:color w:val="auto"/>
        </w:rPr>
      </w:pPr>
    </w:p>
    <w:p>
      <w:pPr>
        <w:jc w:val="right"/>
        <w:ind w:right="9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jc w:val="right"/>
        <w:ind w:right="960"/>
        <w:spacing w:after="0"/>
        <w:rPr>
          <w:sz w:val="20"/>
          <w:szCs w:val="20"/>
          <w:color w:val="auto"/>
        </w:rPr>
      </w:pPr>
      <w:r>
        <w:rPr>
          <w:rFonts w:ascii="Arial" w:cs="Arial" w:eastAsia="Arial" w:hAnsi="Arial"/>
          <w:sz w:val="18"/>
          <w:szCs w:val="18"/>
          <w:color w:val="auto"/>
        </w:rPr>
        <w:t>135</w:t>
      </w:r>
    </w:p>
    <w:p>
      <w:pPr>
        <w:spacing w:after="0" w:line="15" w:lineRule="exact"/>
        <w:rPr>
          <w:sz w:val="20"/>
          <w:szCs w:val="20"/>
          <w:color w:val="auto"/>
        </w:rPr>
      </w:pPr>
    </w:p>
    <w:p>
      <w:pPr>
        <w:jc w:val="right"/>
        <w:ind w:right="960"/>
        <w:spacing w:after="0"/>
        <w:rPr>
          <w:sz w:val="20"/>
          <w:szCs w:val="20"/>
          <w:color w:val="auto"/>
        </w:rPr>
      </w:pPr>
      <w:r>
        <w:rPr>
          <w:rFonts w:ascii="Arial" w:cs="Arial" w:eastAsia="Arial" w:hAnsi="Arial"/>
          <w:sz w:val="18"/>
          <w:szCs w:val="18"/>
          <w:color w:val="auto"/>
        </w:rPr>
        <w:t>1,212</w:t>
      </w:r>
    </w:p>
    <w:p>
      <w:pPr>
        <w:spacing w:after="0" w:line="9" w:lineRule="exact"/>
        <w:rPr>
          <w:sz w:val="20"/>
          <w:szCs w:val="20"/>
          <w:color w:val="auto"/>
        </w:rPr>
      </w:pPr>
    </w:p>
    <w:p>
      <w:pPr>
        <w:jc w:val="right"/>
        <w:ind w:right="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17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0" w:lineRule="exact"/>
        <w:rPr>
          <w:sz w:val="20"/>
          <w:szCs w:val="20"/>
          <w:color w:val="auto"/>
        </w:rPr>
      </w:pPr>
    </w:p>
    <w:p>
      <w:pPr>
        <w:ind w:left="6"/>
        <w:spacing w:after="0"/>
        <w:rPr>
          <w:sz w:val="20"/>
          <w:szCs w:val="20"/>
          <w:color w:val="auto"/>
        </w:rPr>
      </w:pPr>
      <w:r>
        <w:rPr>
          <w:rFonts w:ascii="Arial" w:cs="Arial" w:eastAsia="Arial" w:hAnsi="Arial"/>
          <w:sz w:val="18"/>
          <w:szCs w:val="18"/>
          <w:u w:val="single" w:color="auto"/>
          <w:color w:val="auto"/>
        </w:rPr>
        <w:t>$1,342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17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14" w:space="720"/>
            <w:col w:w="1466"/>
          </w:cols>
          <w:pgMar w:left="240" w:top="459" w:right="25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are stated at the lower of cost or market, using the first-in-first-out method, and consist of the following at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$2,308</w:t>
            </w:r>
          </w:p>
        </w:tc>
        <w:tc>
          <w:tcPr>
            <w:tcW w:w="6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5760" w:type="dxa"/>
            <w:vAlign w:val="bottom"/>
            <w:gridSpan w:val="2"/>
          </w:tcPr>
          <w:p>
            <w:pPr>
              <w:jc w:val="right"/>
              <w:spacing w:after="0"/>
              <w:rPr>
                <w:sz w:val="20"/>
                <w:szCs w:val="20"/>
                <w:color w:val="auto"/>
              </w:rPr>
            </w:pPr>
            <w:r>
              <w:rPr>
                <w:rFonts w:ascii="Arial" w:cs="Arial" w:eastAsia="Arial" w:hAnsi="Arial"/>
                <w:sz w:val="18"/>
                <w:szCs w:val="18"/>
                <w:color w:val="auto"/>
              </w:rPr>
              <w:t>1,966</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2,238</w:t>
            </w:r>
          </w:p>
        </w:tc>
        <w:tc>
          <w:tcPr>
            <w:tcW w:w="6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reserves</w:t>
            </w:r>
          </w:p>
        </w:tc>
        <w:tc>
          <w:tcPr>
            <w:tcW w:w="5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0"/>
        </w:trPr>
        <w:tc>
          <w:tcPr>
            <w:tcW w:w="38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3800" w:type="dxa"/>
            <w:vAlign w:val="bottom"/>
          </w:tcPr>
          <w:p>
            <w:pPr>
              <w:spacing w:after="0"/>
              <w:rPr>
                <w:sz w:val="19"/>
                <w:szCs w:val="19"/>
                <w:color w:val="auto"/>
              </w:rPr>
            </w:pPr>
          </w:p>
        </w:tc>
        <w:tc>
          <w:tcPr>
            <w:tcW w:w="5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4,242</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3,966</w:t>
            </w:r>
          </w:p>
        </w:tc>
        <w:tc>
          <w:tcPr>
            <w:tcW w:w="6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800" w:type="dxa"/>
            <w:vAlign w:val="bottom"/>
          </w:tcPr>
          <w:p>
            <w:pPr>
              <w:spacing w:after="0"/>
              <w:rPr>
                <w:sz w:val="24"/>
                <w:szCs w:val="24"/>
                <w:color w:val="auto"/>
              </w:rPr>
            </w:pPr>
          </w:p>
        </w:tc>
        <w:tc>
          <w:tcPr>
            <w:tcW w:w="6140" w:type="dxa"/>
            <w:vAlign w:val="bottom"/>
            <w:gridSpan w:val="3"/>
          </w:tcPr>
          <w:p>
            <w:pPr>
              <w:jc w:val="right"/>
              <w:ind w:right="4520"/>
              <w:spacing w:after="0"/>
              <w:rPr>
                <w:sz w:val="20"/>
                <w:szCs w:val="20"/>
                <w:color w:val="auto"/>
              </w:rPr>
            </w:pPr>
            <w:r>
              <w:rPr>
                <w:rFonts w:ascii="Arial" w:cs="Arial" w:eastAsia="Arial" w:hAnsi="Arial"/>
                <w:sz w:val="18"/>
                <w:szCs w:val="18"/>
                <w:color w:val="auto"/>
              </w:rPr>
              <w:t>F-11</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Property and equipment is stated at cost and is depreciated using the straight-line method over the estimated useful lives of the assets, as follows (in years):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 10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Demonstration units</w:t>
            </w:r>
          </w:p>
        </w:tc>
        <w:tc>
          <w:tcPr>
            <w:tcW w:w="342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ind w:left="20"/>
              <w:spacing w:after="0"/>
              <w:rPr>
                <w:sz w:val="20"/>
                <w:szCs w:val="20"/>
                <w:color w:val="auto"/>
              </w:rPr>
            </w:pPr>
            <w:r>
              <w:rPr>
                <w:rFonts w:ascii="Arial" w:cs="Arial" w:eastAsia="Arial" w:hAnsi="Arial"/>
                <w:sz w:val="18"/>
                <w:szCs w:val="18"/>
                <w:color w:val="auto"/>
              </w:rPr>
              <w:t>– 5</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w:t>
            </w: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42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ind w:left="20"/>
              <w:spacing w:after="0"/>
              <w:rPr>
                <w:sz w:val="20"/>
                <w:szCs w:val="20"/>
                <w:color w:val="auto"/>
              </w:rPr>
            </w:pPr>
            <w:r>
              <w:rPr>
                <w:rFonts w:ascii="Arial" w:cs="Arial" w:eastAsia="Arial" w:hAnsi="Arial"/>
                <w:sz w:val="18"/>
                <w:szCs w:val="18"/>
                <w:color w:val="auto"/>
              </w:rPr>
              <w:t>– 5</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 are depreciated over the shorter of the life of the improvement or the remainder of the property lease, including renewal options.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Repair and maintenance is expensed as incurred.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We evaluate our long-lived assets in accordance with Financial Accounting Standards Board (“FASB”) Statement of Financial Accounting Standards (“SFAS”) No. 144, </w:t>
      </w:r>
      <w:r>
        <w:rPr>
          <w:rFonts w:ascii="Arial" w:cs="Arial" w:eastAsia="Arial" w:hAnsi="Arial"/>
          <w:sz w:val="18"/>
          <w:szCs w:val="18"/>
          <w:i w:val="1"/>
          <w:iCs w:val="1"/>
          <w:color w:val="auto"/>
        </w:rPr>
        <w:t>Accounting for the Impairment of Long-lived Assets</w:t>
      </w:r>
      <w:r>
        <w:rPr>
          <w:rFonts w:ascii="Arial" w:cs="Arial" w:eastAsia="Arial" w:hAnsi="Arial"/>
          <w:sz w:val="18"/>
          <w:szCs w:val="18"/>
          <w:color w:val="auto"/>
        </w:rPr>
        <w:t xml:space="preserve"> (“SFAS 144”). Long-lived assets held and used by the Company are reviewed for impairment whenever events or changes in circumstances indicate that their net book value may not be recoverable. When such factors and circumstances exist, we compare the projected undiscounted future cash flows associated with the related asset or group of assets over their estimated useful lives against their respective carrying amounts. Impairment, if any, is based on the excess of the carrying amount over the fair value of those assets and is recorded in the period in which the determination was made.</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the fourth quarter of 2005, we abandoned our efforts to use certain technology licenses when we decided to focus our development efforts on the CoolAir product family. This change of circumstances required us to follow the guidance of SFAS 144 to test these assets for impairment. Because there are no current plans to use this technology in any current or future products, or any attempt to sell these licenses, we do not anticipate any future cash flows from these licenses. Accordingly, the remaining net asset value of $613 was written down to $0 and the remaining minimum royalty obligations of $300 were accrued. The resultant $913 impairment charge is included as a component of Research and Development Expenses in the accompanying 2005 Statement of Operations and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Application Costs</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have not capitalized patent application fees and related costs because of uncertainties regarding net realizable value of the technology represented by the existing patent applications and ultimate recoverability. All patent costs have been expensed through December 31, 2005.</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at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0" w:type="dxa"/>
            <w:vAlign w:val="bottom"/>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Warranty liability</w:t>
            </w:r>
          </w:p>
        </w:tc>
        <w:tc>
          <w:tcPr>
            <w:tcW w:w="500" w:type="dxa"/>
            <w:vAlign w:val="bottom"/>
          </w:tcPr>
          <w:p>
            <w:pPr>
              <w:jc w:val="right"/>
              <w:spacing w:after="0"/>
              <w:rPr>
                <w:sz w:val="20"/>
                <w:szCs w:val="20"/>
                <w:color w:val="auto"/>
              </w:rPr>
            </w:pPr>
            <w:r>
              <w:rPr>
                <w:rFonts w:ascii="Arial" w:cs="Arial" w:eastAsia="Arial" w:hAnsi="Arial"/>
                <w:sz w:val="18"/>
                <w:szCs w:val="18"/>
                <w:color w:val="auto"/>
              </w:rPr>
              <w:t>644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Property, state sales and franchise tax</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Professional fees</w:t>
            </w:r>
          </w:p>
        </w:tc>
        <w:tc>
          <w:tcPr>
            <w:tcW w:w="500" w:type="dxa"/>
            <w:vAlign w:val="bottom"/>
          </w:tcPr>
          <w:p>
            <w:pPr>
              <w:jc w:val="right"/>
              <w:spacing w:after="0"/>
              <w:rPr>
                <w:sz w:val="20"/>
                <w:szCs w:val="20"/>
                <w:color w:val="auto"/>
              </w:rPr>
            </w:pPr>
            <w:r>
              <w:rPr>
                <w:rFonts w:ascii="Arial" w:cs="Arial" w:eastAsia="Arial" w:hAnsi="Arial"/>
                <w:sz w:val="18"/>
                <w:szCs w:val="18"/>
                <w:color w:val="auto"/>
              </w:rPr>
              <w:t>419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8"/>
                <w:szCs w:val="18"/>
                <w:color w:val="auto"/>
              </w:rPr>
            </w:pPr>
          </w:p>
        </w:tc>
      </w:tr>
      <w:tr>
        <w:trPr>
          <w:trHeight w:val="222"/>
        </w:trPr>
        <w:tc>
          <w:tcPr>
            <w:tcW w:w="9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3,780</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3,410</w:t>
            </w:r>
          </w:p>
        </w:tc>
      </w:tr>
      <w:tr>
        <w:trPr>
          <w:trHeight w:val="20"/>
        </w:trPr>
        <w:tc>
          <w:tcPr>
            <w:tcW w:w="9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Liability</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Active Power, whichever period is shorter. Occasionally we offer longer warranty periods to certain customers. The warranty period for products sold to Caterpillar is 12 months from the date of shipment to the end-user. We provide for the estimated cost of product warranties at the time revenue is recognized and this accrual is included in accrued expenses on the accompanying balance sheet.</w:t>
      </w:r>
    </w:p>
    <w:p>
      <w:pPr>
        <w:sectPr>
          <w:pgSz w:w="11900" w:h="16838" w:orient="portrait"/>
          <w:cols w:equalWidth="0" w:num="1">
            <w:col w:w="11380"/>
          </w:cols>
          <w:pgMar w:left="240" w:top="459" w:right="279" w:bottom="1440" w:gutter="0" w:footer="0" w:header="0"/>
        </w:sectPr>
      </w:pP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the Company’s warranty liability are as follows:</w:t>
      </w:r>
    </w:p>
    <w:p>
      <w:pPr>
        <w:spacing w:after="0" w:line="2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2003</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Warranty charges incurred</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December 31, 2005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jc w:val="right"/>
        <w:ind w:right="940"/>
        <w:spacing w:after="0"/>
        <w:rPr>
          <w:sz w:val="20"/>
          <w:szCs w:val="20"/>
          <w:color w:val="auto"/>
        </w:rPr>
      </w:pPr>
      <w:r>
        <w:rPr>
          <w:rFonts w:ascii="Arial" w:cs="Arial" w:eastAsia="Arial" w:hAnsi="Arial"/>
          <w:sz w:val="16"/>
          <w:szCs w:val="16"/>
          <w:color w:val="auto"/>
        </w:rPr>
        <w:t>$ 645</w:t>
      </w:r>
    </w:p>
    <w:p>
      <w:pPr>
        <w:spacing w:after="0" w:line="38"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267</w:t>
      </w:r>
    </w:p>
    <w:p>
      <w:pPr>
        <w:spacing w:after="0" w:line="9"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2660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597</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820</w:t>
      </w:r>
    </w:p>
    <w:p>
      <w:pPr>
        <w:spacing w:after="0" w:line="9"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2660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639</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454</w:t>
      </w:r>
    </w:p>
    <w:p>
      <w:pPr>
        <w:spacing w:after="0" w:line="9"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2660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2660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2">
            <w:col w:w="9300" w:space="720"/>
            <w:col w:w="1360"/>
          </w:cols>
          <w:pgMar w:left="240" w:top="459" w:right="279" w:bottom="1440" w:gutter="0" w:footer="0" w:header="0"/>
          <w:type w:val="continuous"/>
        </w:sectPr>
      </w:pPr>
    </w:p>
    <w:p>
      <w:pPr>
        <w:ind w:firstLine="456"/>
        <w:spacing w:after="0" w:line="290" w:lineRule="auto"/>
        <w:rPr>
          <w:sz w:val="20"/>
          <w:szCs w:val="20"/>
          <w:color w:val="auto"/>
        </w:rPr>
      </w:pPr>
      <w:r>
        <w:rPr>
          <w:rFonts w:ascii="Arial" w:cs="Arial" w:eastAsia="Arial" w:hAnsi="Arial"/>
          <w:sz w:val="16"/>
          <w:szCs w:val="16"/>
          <w:color w:val="auto"/>
        </w:rPr>
        <w:t xml:space="preserve">As allowed by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Active Power accounts for its stock compensation arrangements with employees using the intrinsic value method under the provisions of the Accounting Principles Board’s Opinion (“APB”) No. 25, </w:t>
      </w:r>
      <w:r>
        <w:rPr>
          <w:rFonts w:ascii="Arial" w:cs="Arial" w:eastAsia="Arial" w:hAnsi="Arial"/>
          <w:sz w:val="16"/>
          <w:szCs w:val="16"/>
          <w:i w:val="1"/>
          <w:iCs w:val="1"/>
          <w:color w:val="auto"/>
        </w:rPr>
        <w:t>Accounting for Stock Issued</w:t>
      </w:r>
      <w:r>
        <w:rPr>
          <w:rFonts w:ascii="Arial" w:cs="Arial" w:eastAsia="Arial" w:hAnsi="Arial"/>
          <w:sz w:val="16"/>
          <w:szCs w:val="16"/>
          <w:color w:val="auto"/>
        </w:rPr>
        <w:t xml:space="preserve"> </w:t>
      </w:r>
      <w:r>
        <w:rPr>
          <w:rFonts w:ascii="Arial" w:cs="Arial" w:eastAsia="Arial" w:hAnsi="Arial"/>
          <w:sz w:val="16"/>
          <w:szCs w:val="16"/>
          <w:i w:val="1"/>
          <w:iCs w:val="1"/>
          <w:color w:val="auto"/>
        </w:rPr>
        <w:t>to Employees</w:t>
      </w:r>
      <w:r>
        <w:rPr>
          <w:rFonts w:ascii="Arial" w:cs="Arial" w:eastAsia="Arial" w:hAnsi="Arial"/>
          <w:sz w:val="16"/>
          <w:szCs w:val="16"/>
          <w:color w:val="auto"/>
        </w:rPr>
        <w:t>. Deferred stock-based compensation is amortized over the vesting period, which is generally four years, utilizing the accelerated method prescribed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in FASB Interpretation No. 28. Pro Forma stock compensation is amortized using the straight line method over the vesting period. Where it is not feasible to reasonably estimate fair value at grant date, compensation is measured using fair value and other pertinent data at the first date of which it is possible to reasonably estimate that value. Generally that is the date that the number of shares and exercise price are determinable. This method is used for shares granted pursuant to the Company’s stock purchase plan.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purposes of pro forma disclosure, the estimated fair value of the options is amortized to expense using the straight line method over the options’ vesting period. The following table illustrates the effect on net loss and net loss per share if we had applied the fair value recognition provisions of SFAS 123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(22,891)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(27,780)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(21,703)</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w w:val="99"/>
              </w:rPr>
              <w:t>Stock-based compensation cost, net of related tax effects included in the determination of net loss as reported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w w:val="89"/>
              </w:rPr>
              <w:t>Stock-based employee compensation cost, net of related tax effects, that would have been included in the determination of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if the fair value based method had been applied to all awards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(3,607)</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(5,414)</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color w:val="auto"/>
              </w:rPr>
              <w:t>Pro forma net loss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(26,270)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(33,160)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(27,642)</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Basic and diluted - as reported</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 - pro forma</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Option valuation models incorporate highly subjective assumptions. Since changes in the subjective assumptions can materially affect the fair value estimate, the existing models do not necessarily provide a reliable single measure of the fair value of our employee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account for income taxes under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which requires the liability method of accounting for income taxes. Under the liability method, deferred taxes are determined based on the difference between the financial statement and tax basis of assets and liabilities using enacted tax rates in effect in the years in which the differences are expected to reverse.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Active Power’s chief operating decision makers allocate resources and assesses the performance of its power management product development and sales activities as one segment.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financial instruments consist principally of cash and cash equivalents, restricted cash, investments, accounts receivable and accounts payable. We believe all of these financial instruments are recorded at amounts that approximate their current market values.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Financial instruments which potentially subject Active Power to concentrations of credit risk consist of cash and cash equivalents, investments and accounts receivable. Active Power’s cash and cash equivalents and investments are placed with high credit quality financial institutions and issuers. Active Power performs limited credit evaluations of its customers’ financial condition. We generally require letter of credits or prepayments from higher-risk customers as deemed necessary to ensure collection. Our allowance for doubtful accounts is estimated based on factors related to the credit risk of each customer. Individual receivables are written off after they have been deemed uncollectible.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Dependence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heavily dependent on our relationship with Caterpillar. If this relationship is unsuccessful, our business and revenue may suffer. The loss of or a significant reduction in orders from Caterpillar, or the failure to provide adequate service and support to the end-users of our products by Caterpillar, could significantly reduce our revenue. Our operating results in the foreseeable future will continue to depend on sales to a relatively small number of OEM customers, primarily Caterpillar.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customers accounted for a significant percentage of Active Power’s total revenue during each of the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2005</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Caterpillar</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color w:val="auto"/>
              </w:rPr>
              <w:t>North African Industrial Customer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70"/>
        </w:trPr>
        <w:tc>
          <w:tcPr>
            <w:tcW w:w="10260" w:type="dxa"/>
            <w:vAlign w:val="bottom"/>
            <w:gridSpan w:val="5"/>
          </w:tcPr>
          <w:p>
            <w:pPr>
              <w:ind w:left="460"/>
              <w:spacing w:after="0"/>
              <w:rPr>
                <w:sz w:val="20"/>
                <w:szCs w:val="20"/>
                <w:color w:val="auto"/>
              </w:rPr>
            </w:pPr>
            <w:r>
              <w:rPr>
                <w:rFonts w:ascii="Arial" w:cs="Arial" w:eastAsia="Arial" w:hAnsi="Arial"/>
                <w:sz w:val="18"/>
                <w:szCs w:val="18"/>
                <w:color w:val="auto"/>
                <w:w w:val="94"/>
              </w:rPr>
              <w:t>The following customers accounted for a significant percentage of Active Power’s total gross accounts receivable at December 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Caterpillar</w:t>
            </w: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46%</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North African Industrial Customer</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expense advertising costs as incurred. These expenses were approximately $40, $232 and $559 in 2005, 2004 and 2003,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 for the years ended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(22,891)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(27,780)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(21,703)</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48,058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42,472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subject to repurchase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48,058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42,471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calculation of diluted loss per share excludes 6,277,316, 4,750,592 and 4,008,806 shares of common stock issuable upon exercise of employee stock options as of December 31, 2005, 2004 and 2003, respectively, because their inclusion in the calculation would be antidilutive.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Certain reclassifications have been made to conform prior period financial information to the current presentation, including, but not limited to the reclassification of amortization of deferred stock compensation into the different operating expense categories based upon the actual employees to which that deferred compensation related.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December 2004, the FASB issued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(“SFAS 123R”), which supersedes APB 25, SFAS 123 and related implementation guidelines. The pronouncement is effective for annual periods beginning after June 15, 2005. Under this pronouncement, stock-based compensation to employees is required to be recognized as a charge to the Statement of Operations and such charge is required to be measured according to the fair value of the stock options. Pro forma disclosure will no longer be an alternative. In the absence of an observable market price for the stock awards, the fair value of the stock options will be based upon a valuation methodology that takes into consideration various factors, including the exercise price of the option, the expected term of the option, the current price of the underlying shares, the expected volatility of the underlying shares, the expected dividends on the underlying shares and the risk-free interest rate. SEC Staff Accounting Bulletin No. 107, issued in March 2005, provides further clarification of how to determine the fair value of stock awards.</w:t>
      </w:r>
    </w:p>
    <w:p>
      <w:pPr>
        <w:spacing w:after="0" w:line="1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will adopt the delayed provisions of SFAS 123R beginning January 1, 2006 using a modified version of prospective application, as allowed by the standard. Under this modified prospective application method, SFAS 123R will be applied to new stock awards granted after the date of adoption and to awards modified, repurchased or cancelled after January 1, 2006. Additionally, compensation costs for the portion of stock awards for which the requisite service has not been rendered/vested that are outstanding as of January 1, 2006 shall be recognized as the requisite service is rendered after January 1, 2006. The compensation costs for that portion of stock awards shall be based on the grant-date fair value of those awards as calculated for pro-forma disclosures under SFAS 123.</w:t>
      </w:r>
    </w:p>
    <w:p>
      <w:pPr>
        <w:spacing w:after="0" w:line="100"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We anticipate that the impact of adopting SFAS 123R on net income and earnings per share will approximate the impact of the adjustments made to determine pro forma net income and pro forma earnings per share under SFAS 123, as described above, although there are certain differences between the requirements of SFAS 123 and SFAS 123R that may result in differences from the amounts disclosed above.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November 2004, the FASB issued SFAS No.151, </w:t>
      </w:r>
      <w:r>
        <w:rPr>
          <w:rFonts w:ascii="Arial" w:cs="Arial" w:eastAsia="Arial" w:hAnsi="Arial"/>
          <w:sz w:val="16"/>
          <w:szCs w:val="16"/>
          <w:i w:val="1"/>
          <w:iCs w:val="1"/>
          <w:color w:val="auto"/>
        </w:rPr>
        <w:t>Inventory Costs, an Amendment of Accounting Research Bulletin (“ARB”) No. 43, Chapter 4</w:t>
      </w:r>
      <w:r>
        <w:rPr>
          <w:rFonts w:ascii="Arial" w:cs="Arial" w:eastAsia="Arial" w:hAnsi="Arial"/>
          <w:sz w:val="16"/>
          <w:szCs w:val="16"/>
          <w:color w:val="auto"/>
        </w:rPr>
        <w:t xml:space="preserve"> (“SFAS 151”). SFAS 151 amends ARB No. 43, </w:t>
      </w:r>
      <w:r>
        <w:rPr>
          <w:rFonts w:ascii="Arial" w:cs="Arial" w:eastAsia="Arial" w:hAnsi="Arial"/>
          <w:sz w:val="16"/>
          <w:szCs w:val="16"/>
          <w:i w:val="1"/>
          <w:iCs w:val="1"/>
          <w:color w:val="auto"/>
        </w:rPr>
        <w:t>Chapter 4</w:t>
      </w:r>
      <w:r>
        <w:rPr>
          <w:rFonts w:ascii="Arial" w:cs="Arial" w:eastAsia="Arial" w:hAnsi="Arial"/>
          <w:sz w:val="16"/>
          <w:szCs w:val="16"/>
          <w:color w:val="auto"/>
        </w:rPr>
        <w:t>, to clarify that amounts of idle facility expense, freight, handling costs and wasted materials (spoilage) be recognized as current period charges. It also requires that allocation of fixed production overheads to the costs of conversion be based on the normal capacity of the production facilities. SFAS 151 is effective for inventory costs incurred during fiscal years beginning after June 15, 2005. We do not believe that the adoption of SFAS 151 will have a material impact on our results of operations or fiscal position</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40"/>
          </w:cols>
          <w:pgMar w:left="240" w:top="459"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March 2005 the FASB issued FASB Interpretation No. 47, </w:t>
      </w:r>
      <w:r>
        <w:rPr>
          <w:rFonts w:ascii="Arial" w:cs="Arial" w:eastAsia="Arial" w:hAnsi="Arial"/>
          <w:sz w:val="16"/>
          <w:szCs w:val="16"/>
          <w:i w:val="1"/>
          <w:iCs w:val="1"/>
          <w:color w:val="auto"/>
        </w:rPr>
        <w:t>Accounting for Conditional Asset Retirement Obligations</w:t>
      </w:r>
      <w:r>
        <w:rPr>
          <w:rFonts w:ascii="Arial" w:cs="Arial" w:eastAsia="Arial" w:hAnsi="Arial"/>
          <w:sz w:val="16"/>
          <w:szCs w:val="16"/>
          <w:color w:val="auto"/>
        </w:rPr>
        <w:t xml:space="preserve"> (“FIN 47”)</w:t>
      </w:r>
      <w:r>
        <w:rPr>
          <w:rFonts w:ascii="Arial" w:cs="Arial" w:eastAsia="Arial" w:hAnsi="Arial"/>
          <w:sz w:val="16"/>
          <w:szCs w:val="16"/>
          <w:i w:val="1"/>
          <w:iCs w:val="1"/>
          <w:color w:val="auto"/>
        </w:rPr>
        <w:t>.</w:t>
      </w:r>
      <w:r>
        <w:rPr>
          <w:rFonts w:ascii="Arial" w:cs="Arial" w:eastAsia="Arial" w:hAnsi="Arial"/>
          <w:sz w:val="16"/>
          <w:szCs w:val="16"/>
          <w:color w:val="auto"/>
        </w:rPr>
        <w:t xml:space="preserve"> FIN 47 requires a company to recognize a liability for the fair value of a conditional asset retirement obligation if the fair value of the liability can be reasonably recognized. A conditional asset retirement obligation refers to a legal obligation to perform an asset retirement activity, such as restoring a facility to its original condition, and where the timing and method of settlement are contingent upon a future event, that may or may not be beyond the company’s control. This liability should be recognized when incurred; typically upon acquisition or entering into a lease. FIN 47 provides guidance as to when suitable information exists to enable a company to determine its liability for a contingent asset retirement obligation. If insufficient information exits to enable a company to measure the liability when incurred, it shall recognize a liability in the period when sufficient information becomes available to estimate its fair value. The Company is currently assessing the financial impact of adopting FIN 47 and is obtaining the information necessary to make a determination of the financial impact of adoption.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3. 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at December 31: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Demonstration units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60" w:type="dxa"/>
            <w:vAlign w:val="bottom"/>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216"/>
        </w:trPr>
        <w:tc>
          <w:tcPr>
            <w:tcW w:w="55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18,803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17,253</w:t>
            </w:r>
          </w:p>
        </w:tc>
        <w:tc>
          <w:tcPr>
            <w:tcW w:w="60" w:type="dxa"/>
            <w:vAlign w:val="bottom"/>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(11,273)</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(9,424)</w:t>
            </w:r>
          </w:p>
        </w:tc>
      </w:tr>
      <w:tr>
        <w:trPr>
          <w:trHeight w:val="216"/>
        </w:trPr>
        <w:tc>
          <w:tcPr>
            <w:tcW w:w="55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7,829</w:t>
            </w:r>
          </w:p>
        </w:tc>
        <w:tc>
          <w:tcPr>
            <w:tcW w:w="60" w:type="dxa"/>
            <w:vAlign w:val="bottom"/>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ind w:right="9620" w:firstLine="8"/>
        <w:spacing w:after="0" w:line="387" w:lineRule="auto"/>
        <w:tabs>
          <w:tab w:leader="none" w:pos="1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Stockholders’ Equity </w:t>
      </w:r>
      <w:r>
        <w:rPr>
          <w:rFonts w:ascii="Arial" w:cs="Arial" w:eastAsia="Arial" w:hAnsi="Arial"/>
          <w:sz w:val="16"/>
          <w:szCs w:val="16"/>
          <w:i w:val="1"/>
          <w:iCs w:val="1"/>
          <w:color w:val="auto"/>
        </w:rPr>
        <w:t>Preferred Stock</w:t>
      </w:r>
    </w:p>
    <w:p>
      <w:pPr>
        <w:ind w:left="460"/>
        <w:spacing w:after="0"/>
        <w:rPr>
          <w:rFonts w:ascii="Arial" w:cs="Arial" w:eastAsia="Arial" w:hAnsi="Arial"/>
          <w:sz w:val="16"/>
          <w:szCs w:val="16"/>
          <w:color w:val="auto"/>
        </w:rPr>
      </w:pPr>
      <w:r>
        <w:rPr>
          <w:rFonts w:ascii="Arial" w:cs="Arial" w:eastAsia="Arial" w:hAnsi="Arial"/>
          <w:sz w:val="18"/>
          <w:szCs w:val="18"/>
          <w:color w:val="auto"/>
        </w:rPr>
        <w:t>At December 31, 2005, Active Power had 10,420,000 shares of preferred stock authorized and no shares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reserved for future issuance at December 31, 2005 consists of the following:</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86"/>
              </w:rPr>
              <w:t>For issuance under the 2000</w:t>
            </w:r>
          </w:p>
        </w:tc>
        <w:tc>
          <w:tcPr>
            <w:tcW w:w="6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 Plan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7,123,241</w:t>
            </w:r>
          </w:p>
        </w:tc>
      </w:tr>
      <w:tr>
        <w:trPr>
          <w:trHeight w:val="223"/>
        </w:trPr>
        <w:tc>
          <w:tcPr>
            <w:tcW w:w="2000" w:type="dxa"/>
            <w:vAlign w:val="bottom"/>
          </w:tcPr>
          <w:p>
            <w:pPr>
              <w:spacing w:after="0"/>
              <w:rPr>
                <w:sz w:val="20"/>
                <w:szCs w:val="20"/>
                <w:color w:val="auto"/>
              </w:rPr>
            </w:pPr>
            <w:r>
              <w:rPr>
                <w:rFonts w:ascii="Arial" w:cs="Arial" w:eastAsia="Arial" w:hAnsi="Arial"/>
                <w:sz w:val="18"/>
                <w:szCs w:val="18"/>
                <w:color w:val="auto"/>
                <w:w w:val="86"/>
              </w:rPr>
              <w:t>For issuance under the 2000</w:t>
            </w:r>
          </w:p>
        </w:tc>
        <w:tc>
          <w:tcPr>
            <w:tcW w:w="682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945,202</w:t>
            </w: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Common Stock reserved for issuance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8,068,443</w:t>
            </w:r>
          </w:p>
        </w:tc>
      </w:tr>
      <w:tr>
        <w:trPr>
          <w:trHeight w:val="20"/>
        </w:trPr>
        <w:tc>
          <w:tcPr>
            <w:tcW w:w="20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February 2005 we completed the private placement of 5,454,510 shares of our Common Stock at a price of $3.64 per share, for an aggregate offering price of approximately $19.8 million to certain institutional investors (the “Purchasers”). We also offered the Purchasers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00"/>
          </w:cols>
          <w:pgMar w:left="24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Additional Investment Rights to purchase 1,636,353 shares of Common Stock (the “Additional Investment Rights”) at an exercise price of $3.64 per share. In connection with this transaction, we paid placement agent fees and expenses of approximately $1.1 million. We agreed to register for resale under the Securities Act all the shares issued in this offering as well as the shares issuable upon exercise of the Additional Investment Rights. We filed a registration statement with the Securities and Exchange Commission in March 2005 that was declared effective on May 18, 2005.</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accordance with the requirements of SFAS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the fair value of the Additional Investment Rights was determined at the time of issuance based on the proceeds of the offering and the relative fair values of the securities and the Additional Investment Rights. We used the Black-Scholes valuation model to determine the fair value of the Additional Investment Rights, and accordingly attributed a value of $964 to the Additional Investment Rights, which was recorded as additional paid in capital. Changes in the fair value of the Additional Investment Rights since the date of issuance are required to be reflected in our earnings. The additional investment rights expired during the third quarter of 2005, resulting in our recording a gain of $964.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Rights Plan</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December 2001, the Board of Directors adopted a Stockholder Rights Plan in which preferred stock purchase rights will be distributed as a dividend at the rate of one Right for each share of common stock of the Company held by stockholders of record as of the close of business on December 26, 2001. The Rights Plan is designed to deter coercive takeover tactics including the accumulation of shares in the open market or through private transactions and to prevent an acquirer from gaining control of the Company without offering a fair price to all of the Company’s stockholders. The Rights Plan was not adopted in response to any specific threat or takeover offer. The Rights will expire on December 26,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12,591,980 authorized shares of Common Stock for issuance under our 1993 and 2000 Stock Incentive Plans. We grant options under these plans that are immediately exercisable upon grant and vest over periods ranging from immediately to four years. The term of each option is no more than ten years from the date of grant. We have repurchase rights for unvested shares purchased by optionees. At December 31, 2003 there remained 6,025 purchased shares unvested and subject to repurchase. At December 31, 2005 and 2004, no such shares remained unvested. At December 31, 2005, 845,925 shares were available for future grants.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Common Stock option activity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780" w:type="dxa"/>
            <w:vAlign w:val="bottom"/>
            <w:gridSpan w:val="2"/>
          </w:tcPr>
          <w:p>
            <w:pPr>
              <w:ind w:left="240"/>
              <w:spacing w:after="0"/>
              <w:rPr>
                <w:sz w:val="20"/>
                <w:szCs w:val="20"/>
                <w:color w:val="auto"/>
              </w:rPr>
            </w:pPr>
            <w:r>
              <w:rPr>
                <w:rFonts w:ascii="Arial" w:cs="Arial" w:eastAsia="Arial" w:hAnsi="Arial"/>
                <w:sz w:val="14"/>
                <w:szCs w:val="14"/>
                <w:b w:val="1"/>
                <w:bCs w:val="1"/>
                <w:color w:val="auto"/>
                <w:w w:val="86"/>
              </w:rPr>
              <w:t>Range of</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6"/>
              </w:rPr>
              <w:t>Exercise Prices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Exercise Prices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2002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3,618,418</w:t>
            </w:r>
          </w:p>
        </w:tc>
        <w:tc>
          <w:tcPr>
            <w:tcW w:w="12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$0.07 – 68.50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80" w:type="dxa"/>
            <w:vAlign w:val="bottom"/>
            <w:gridSpan w:val="2"/>
          </w:tcPr>
          <w:p>
            <w:pPr>
              <w:ind w:left="320"/>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1,683,250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1.00 – 3.64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(189,309)</w:t>
            </w:r>
          </w:p>
        </w:tc>
        <w:tc>
          <w:tcPr>
            <w:tcW w:w="3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0.07 – 2.34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80" w:type="dxa"/>
            <w:vAlign w:val="bottom"/>
            <w:gridSpan w:val="2"/>
          </w:tcPr>
          <w:p>
            <w:pPr>
              <w:ind w:left="320"/>
              <w:spacing w:after="0"/>
              <w:rPr>
                <w:sz w:val="20"/>
                <w:szCs w:val="20"/>
                <w:color w:val="auto"/>
              </w:rPr>
            </w:pPr>
            <w:r>
              <w:rPr>
                <w:rFonts w:ascii="Arial" w:cs="Arial" w:eastAsia="Arial" w:hAnsi="Arial"/>
                <w:sz w:val="18"/>
                <w:szCs w:val="18"/>
                <w:color w:val="auto"/>
              </w:rPr>
              <w:t>Canceled</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(1,103,553)</w:t>
            </w:r>
          </w:p>
        </w:tc>
        <w:tc>
          <w:tcPr>
            <w:tcW w:w="360" w:type="dxa"/>
            <w:vAlign w:val="bottom"/>
          </w:tcPr>
          <w:p>
            <w:pPr>
              <w:spacing w:after="0"/>
              <w:rPr>
                <w:sz w:val="19"/>
                <w:szCs w:val="19"/>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w w:val="95"/>
              </w:rPr>
              <w:t>0.16 – 68.50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2003</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4,008,806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0.16 – 68.50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80" w:type="dxa"/>
            <w:vAlign w:val="bottom"/>
            <w:gridSpan w:val="2"/>
          </w:tcPr>
          <w:p>
            <w:pPr>
              <w:ind w:left="320"/>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1,525,250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2.71 – 4.46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(316,406)</w:t>
            </w:r>
          </w:p>
        </w:tc>
        <w:tc>
          <w:tcPr>
            <w:tcW w:w="3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0.16 – 3.58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80" w:type="dxa"/>
            <w:vAlign w:val="bottom"/>
            <w:gridSpan w:val="2"/>
          </w:tcPr>
          <w:p>
            <w:pPr>
              <w:ind w:left="320"/>
              <w:spacing w:after="0"/>
              <w:rPr>
                <w:sz w:val="20"/>
                <w:szCs w:val="20"/>
                <w:color w:val="auto"/>
              </w:rPr>
            </w:pPr>
            <w:r>
              <w:rPr>
                <w:rFonts w:ascii="Arial" w:cs="Arial" w:eastAsia="Arial" w:hAnsi="Arial"/>
                <w:sz w:val="18"/>
                <w:szCs w:val="18"/>
                <w:color w:val="auto"/>
              </w:rPr>
              <w:t>Canceled</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(467,058)</w:t>
            </w:r>
          </w:p>
        </w:tc>
        <w:tc>
          <w:tcPr>
            <w:tcW w:w="360" w:type="dxa"/>
            <w:vAlign w:val="bottom"/>
          </w:tcPr>
          <w:p>
            <w:pPr>
              <w:spacing w:after="0"/>
              <w:rPr>
                <w:sz w:val="19"/>
                <w:szCs w:val="19"/>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w w:val="95"/>
              </w:rPr>
              <w:t>1.22 – 38.06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4,750,592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0.16 – 68.50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80" w:type="dxa"/>
            <w:vAlign w:val="bottom"/>
            <w:gridSpan w:val="2"/>
          </w:tcPr>
          <w:p>
            <w:pPr>
              <w:ind w:left="320"/>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2,257,500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2.44 – 4.49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(265,936)</w:t>
            </w:r>
          </w:p>
        </w:tc>
        <w:tc>
          <w:tcPr>
            <w:tcW w:w="3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.42 – 3.58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80" w:type="dxa"/>
            <w:vAlign w:val="bottom"/>
            <w:gridSpan w:val="2"/>
          </w:tcPr>
          <w:p>
            <w:pPr>
              <w:ind w:left="320"/>
              <w:spacing w:after="0"/>
              <w:rPr>
                <w:sz w:val="20"/>
                <w:szCs w:val="20"/>
                <w:color w:val="auto"/>
              </w:rPr>
            </w:pPr>
            <w:r>
              <w:rPr>
                <w:rFonts w:ascii="Arial" w:cs="Arial" w:eastAsia="Arial" w:hAnsi="Arial"/>
                <w:sz w:val="18"/>
                <w:szCs w:val="18"/>
                <w:color w:val="auto"/>
              </w:rPr>
              <w:t>Canceled</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(464,840)</w:t>
            </w:r>
          </w:p>
        </w:tc>
        <w:tc>
          <w:tcPr>
            <w:tcW w:w="360" w:type="dxa"/>
            <w:vAlign w:val="bottom"/>
          </w:tcPr>
          <w:p>
            <w:pPr>
              <w:spacing w:after="0"/>
              <w:rPr>
                <w:sz w:val="19"/>
                <w:szCs w:val="19"/>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w w:val="95"/>
              </w:rPr>
              <w:t>1.22 – 38.06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6,277,316</w:t>
            </w:r>
          </w:p>
        </w:tc>
        <w:tc>
          <w:tcPr>
            <w:tcW w:w="12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$0.16 – 68.50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80" w:type="dxa"/>
            <w:vAlign w:val="bottom"/>
            <w:gridSpan w:val="2"/>
            <w:vMerge w:val="restart"/>
          </w:tcPr>
          <w:p>
            <w:pPr>
              <w:ind w:left="340"/>
              <w:spacing w:after="0"/>
              <w:rPr>
                <w:sz w:val="20"/>
                <w:szCs w:val="20"/>
                <w:color w:val="auto"/>
              </w:rPr>
            </w:pPr>
            <w:r>
              <w:rPr>
                <w:rFonts w:ascii="Arial" w:cs="Arial" w:eastAsia="Arial" w:hAnsi="Arial"/>
                <w:sz w:val="18"/>
                <w:szCs w:val="18"/>
                <w:color w:val="auto"/>
                <w:w w:val="97"/>
              </w:rPr>
              <w:t>The following is a summary of options outstanding and exercisable as of December 31, 2005:</w:t>
            </w: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42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2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7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Life (in</w:t>
            </w:r>
          </w:p>
        </w:tc>
        <w:tc>
          <w:tcPr>
            <w:tcW w:w="42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55"/>
        </w:trPr>
        <w:tc>
          <w:tcPr>
            <w:tcW w:w="7700" w:type="dxa"/>
            <w:vAlign w:val="bottom"/>
            <w:gridSpan w:val="4"/>
            <w:vMerge w:val="continue"/>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ind w:left="100"/>
              <w:spacing w:after="0" w:line="148" w:lineRule="exact"/>
              <w:rPr>
                <w:sz w:val="20"/>
                <w:szCs w:val="20"/>
                <w:color w:val="auto"/>
              </w:rPr>
            </w:pPr>
            <w:r>
              <w:rPr>
                <w:rFonts w:ascii="Arial" w:cs="Arial" w:eastAsia="Arial" w:hAnsi="Arial"/>
                <w:sz w:val="14"/>
                <w:szCs w:val="14"/>
                <w:b w:val="1"/>
                <w:bCs w:val="1"/>
                <w:color w:val="auto"/>
              </w:rPr>
              <w:t>Number</w:t>
            </w:r>
          </w:p>
        </w:tc>
        <w:tc>
          <w:tcPr>
            <w:tcW w:w="70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87"/>
              </w:rPr>
              <w:t>years)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7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$0.49</w:t>
            </w:r>
          </w:p>
        </w:tc>
        <w:tc>
          <w:tcPr>
            <w:tcW w:w="4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59,174</w:t>
            </w:r>
          </w:p>
        </w:tc>
        <w:tc>
          <w:tcPr>
            <w:tcW w:w="4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0.50</w:t>
            </w:r>
          </w:p>
        </w:tc>
        <w:tc>
          <w:tcPr>
            <w:tcW w:w="7140" w:type="dxa"/>
            <w:vAlign w:val="bottom"/>
          </w:tcPr>
          <w:p>
            <w:pPr>
              <w:ind w:left="20"/>
              <w:spacing w:after="0"/>
              <w:rPr>
                <w:sz w:val="20"/>
                <w:szCs w:val="20"/>
                <w:color w:val="auto"/>
              </w:rPr>
            </w:pPr>
            <w:r>
              <w:rPr>
                <w:rFonts w:ascii="Arial" w:cs="Arial" w:eastAsia="Arial" w:hAnsi="Arial"/>
                <w:sz w:val="18"/>
                <w:szCs w:val="18"/>
                <w:color w:val="auto"/>
              </w:rPr>
              <w:t>- $1.99</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1,022,328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$3.99</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4,154,025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4.00</w:t>
            </w:r>
          </w:p>
        </w:tc>
        <w:tc>
          <w:tcPr>
            <w:tcW w:w="7140" w:type="dxa"/>
            <w:vAlign w:val="bottom"/>
          </w:tcPr>
          <w:p>
            <w:pPr>
              <w:ind w:left="20"/>
              <w:spacing w:after="0"/>
              <w:rPr>
                <w:sz w:val="20"/>
                <w:szCs w:val="20"/>
                <w:color w:val="auto"/>
              </w:rPr>
            </w:pPr>
            <w:r>
              <w:rPr>
                <w:rFonts w:ascii="Arial" w:cs="Arial" w:eastAsia="Arial" w:hAnsi="Arial"/>
                <w:sz w:val="18"/>
                <w:szCs w:val="18"/>
                <w:color w:val="auto"/>
              </w:rPr>
              <w:t>- $6.99</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490,980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$20.99</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478,558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21.00</w:t>
            </w:r>
          </w:p>
        </w:tc>
        <w:tc>
          <w:tcPr>
            <w:tcW w:w="7140" w:type="dxa"/>
            <w:vAlign w:val="bottom"/>
          </w:tcPr>
          <w:p>
            <w:pPr>
              <w:ind w:left="20"/>
              <w:spacing w:after="0"/>
              <w:rPr>
                <w:sz w:val="20"/>
                <w:szCs w:val="20"/>
                <w:color w:val="auto"/>
              </w:rPr>
            </w:pPr>
            <w:r>
              <w:rPr>
                <w:rFonts w:ascii="Arial" w:cs="Arial" w:eastAsia="Arial" w:hAnsi="Arial"/>
                <w:sz w:val="18"/>
                <w:szCs w:val="18"/>
                <w:color w:val="auto"/>
              </w:rPr>
              <w:t>- $68.50</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72,251</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6,277,316</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40" w:type="dxa"/>
            <w:vAlign w:val="bottom"/>
            <w:gridSpan w:val="2"/>
            <w:shd w:val="clear" w:color="auto" w:fill="CCEEFF"/>
          </w:tcPr>
          <w:p>
            <w:pPr>
              <w:jc w:val="center"/>
              <w:ind w:left="32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options exercisable but not subject to repurchase as of December 31, 2005, 2004 and 2003 were 3,203,302, 2,759,285 and 1,960,674, respectively.</w:t>
      </w:r>
    </w:p>
    <w:p>
      <w:pPr>
        <w:spacing w:after="0" w:line="19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Prior to our initial public offering in August 2000, 2,377,404 of the stock options granted to employees had exercise prices below the fair value determined subsequently by our Board of Directors of the underlying shares of Common Stock on the date of grant. As a result, Active Power recorded deferred stock compensation of $15,843. All of this deferred stock compensation had been expensed as of December 31, 2004, including $34 and $100 which was amortized as non-cash compensation during 2004 and 2003,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During the year ended December 31, 2005, we issued 100,000 restricted shares to an officer of the company and recorded deferred stock compensation of $344. Of this amount $51 was amortized as non cash compensation during 2005 and $293 is included as deferred stock compensation in stockholders’ equity as of December 31, 2005.</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Pro forma information regarding net loss is required by SFAS 123 and is provided in footnote 2 above. This information has been determined as if we had accounted for our employee stock options under the fair value method of SFAS 123. The fair value for these options was estimated at the date of grant using a minimum value option pricing model until the date of the initial public offering and the Black-Scholes option pricing model thereafter, with the following assumptions for the years ended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4"/>
                <w:szCs w:val="14"/>
                <w:color w:val="auto"/>
              </w:rPr>
            </w:pP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Weighted-average expected life of the options</w:t>
            </w:r>
          </w:p>
        </w:tc>
        <w:tc>
          <w:tcPr>
            <w:tcW w:w="88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4 years</w:t>
            </w:r>
          </w:p>
        </w:tc>
        <w:tc>
          <w:tcPr>
            <w:tcW w:w="88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5 years</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5 years</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2"/>
        </w:trPr>
        <w:tc>
          <w:tcPr>
            <w:tcW w:w="9000" w:type="dxa"/>
            <w:vAlign w:val="bottom"/>
          </w:tcPr>
          <w:p>
            <w:pPr>
              <w:spacing w:after="0"/>
              <w:rPr>
                <w:sz w:val="20"/>
                <w:szCs w:val="20"/>
                <w:color w:val="auto"/>
              </w:rPr>
            </w:pPr>
            <w:r>
              <w:rPr>
                <w:rFonts w:ascii="Arial" w:cs="Arial" w:eastAsia="Arial" w:hAnsi="Arial"/>
                <w:sz w:val="18"/>
                <w:szCs w:val="18"/>
                <w:color w:val="auto"/>
              </w:rPr>
              <w:t>Assumed volatility</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grant date fair value of options granted during 2005, 2004 and 2003 was $1.87, $2.36 and $0.94,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We offer an Employee Stock Purchase Plan (the “Purchase Plan”) under which eligible employees may purchase a limited number of shares of the Company’s common stock at 85% of the market value at semi-annual intervals. As of December 31, 2005, a total of 2,222,243 shares of common stock were authorized for issuance under the Purchase Plan. There were 317,036, 357,004 and 293,531 shares issued under the Purchase Plan in 2005, 2004 and 2003, respectively. Our board of directors has elected to discontinue this plan in 2006.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5. Income Taxes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of December 31, 2005, the Company had federal net operating loss carryforwards of $164,611 and research and development credit carryforwards of $2,813. The net operating loss and credit carryforwards will expire beginning in 2019, if not utilized. Utilization of the net operating losses may be subject to a substantial annual limitation due to the “change of ownership” provisions of the Internal Revenue Code of 1986. The annual limitation may result in the expiration of net operating losses before utilization.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are as follows: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440"/>
              <w:spacing w:after="0"/>
              <w:rPr>
                <w:sz w:val="20"/>
                <w:szCs w:val="20"/>
                <w:color w:val="auto"/>
              </w:rPr>
            </w:pPr>
            <w:r>
              <w:rPr>
                <w:rFonts w:ascii="Arial" w:cs="Arial" w:eastAsia="Arial" w:hAnsi="Arial"/>
                <w:sz w:val="18"/>
                <w:szCs w:val="18"/>
                <w:color w:val="auto"/>
              </w:rPr>
              <w:t>Current deferred tax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Reserves and allowances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8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Valuation allowance for current deferred tax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30"/>
        </w:trPr>
        <w:tc>
          <w:tcPr>
            <w:tcW w:w="8500" w:type="dxa"/>
            <w:vAlign w:val="bottom"/>
          </w:tcPr>
          <w:p>
            <w:pPr>
              <w:ind w:left="440"/>
              <w:spacing w:after="0"/>
              <w:rPr>
                <w:sz w:val="20"/>
                <w:szCs w:val="20"/>
                <w:color w:val="auto"/>
              </w:rPr>
            </w:pPr>
            <w:r>
              <w:rPr>
                <w:rFonts w:ascii="Arial" w:cs="Arial" w:eastAsia="Arial" w:hAnsi="Arial"/>
                <w:sz w:val="18"/>
                <w:szCs w:val="18"/>
                <w:color w:val="auto"/>
              </w:rPr>
              <w:t>Net current deferred tax assets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Noncurrent 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880"/>
              <w:spacing w:after="0"/>
              <w:rPr>
                <w:sz w:val="20"/>
                <w:szCs w:val="20"/>
                <w:color w:val="auto"/>
              </w:rPr>
            </w:pPr>
            <w:r>
              <w:rPr>
                <w:rFonts w:ascii="Arial" w:cs="Arial" w:eastAsia="Arial" w:hAnsi="Arial"/>
                <w:sz w:val="18"/>
                <w:szCs w:val="18"/>
                <w:color w:val="auto"/>
              </w:rPr>
              <w:t>Acquired technology</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Capital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880"/>
              <w:spacing w:after="0"/>
              <w:rPr>
                <w:sz w:val="20"/>
                <w:szCs w:val="20"/>
                <w:color w:val="auto"/>
              </w:rPr>
            </w:pPr>
            <w:r>
              <w:rPr>
                <w:rFonts w:ascii="Arial" w:cs="Arial" w:eastAsia="Arial" w:hAnsi="Arial"/>
                <w:sz w:val="18"/>
                <w:szCs w:val="18"/>
                <w:color w:val="auto"/>
              </w:rPr>
              <w:t>Net operating loss and tax credit carryforwards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61,951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54,882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gains/losses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tcPr>
          <w:p>
            <w:pPr>
              <w:ind w:left="440"/>
              <w:spacing w:after="0"/>
              <w:rPr>
                <w:sz w:val="20"/>
                <w:szCs w:val="20"/>
                <w:color w:val="auto"/>
              </w:rPr>
            </w:pPr>
            <w:r>
              <w:rPr>
                <w:rFonts w:ascii="Arial" w:cs="Arial" w:eastAsia="Arial" w:hAnsi="Arial"/>
                <w:sz w:val="18"/>
                <w:szCs w:val="18"/>
                <w:color w:val="auto"/>
              </w:rPr>
              <w:t>Valuation allowance for noncurrent deferred tax assets</w:t>
            </w: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(64,544)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(57,507)</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noncurrent deferred tax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8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deferred tax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8"/>
                <w:szCs w:val="18"/>
                <w:color w:val="auto"/>
              </w:rPr>
              <w:t>Net current deferred tax asset (liability)</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8"/>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deferred tax asset (liability)</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00" w:type="dxa"/>
            <w:vAlign w:val="bottom"/>
          </w:tcPr>
          <w:p>
            <w:pPr>
              <w:spacing w:after="0"/>
              <w:rPr>
                <w:sz w:val="20"/>
                <w:szCs w:val="20"/>
                <w:color w:val="auto"/>
              </w:rPr>
            </w:pPr>
            <w:r>
              <w:rPr>
                <w:rFonts w:ascii="Arial" w:cs="Arial" w:eastAsia="Arial" w:hAnsi="Arial"/>
                <w:sz w:val="18"/>
                <w:szCs w:val="18"/>
                <w:color w:val="auto"/>
              </w:rPr>
              <w:t>Net deferred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has established a valuation allowance equal to its net deferred tax asset due to uncertainties regarding their realization based on the Company’s lack of earnings history. The valuation allowance increased by $7,493 during 2005. Approximately $6,336 of the total valuation allowance relates to tax benefits for stock option deductions included in the net operating loss carryforward, which when realized, will be allocated directly to additional paid-in capital to the extent the benefits exceed amounts attributable to deferred compensation expense.</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Company’s provision for income taxes differs from the expected tax expense (benefit) amount computed by applying the statutory federal income tax rate of 34% to loss before taxes due to the following for the years ended December 31: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2005</w:t>
            </w:r>
          </w:p>
        </w:tc>
        <w:tc>
          <w:tcPr>
            <w:tcW w:w="5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2004</w:t>
            </w:r>
          </w:p>
        </w:tc>
        <w:tc>
          <w:tcPr>
            <w:tcW w:w="5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2003</w:t>
            </w:r>
          </w:p>
        </w:tc>
        <w:tc>
          <w:tcPr>
            <w:tcW w:w="220" w:type="dxa"/>
            <w:vAlign w:val="bottom"/>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5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(34.0)%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(34.0)%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5980" w:type="dxa"/>
            <w:vAlign w:val="bottom"/>
            <w:gridSpan w:val="3"/>
          </w:tcPr>
          <w:p>
            <w:pPr>
              <w:jc w:val="right"/>
              <w:ind w:right="460"/>
              <w:spacing w:after="0"/>
              <w:rPr>
                <w:sz w:val="20"/>
                <w:szCs w:val="20"/>
                <w:color w:val="auto"/>
              </w:rPr>
            </w:pPr>
            <w:r>
              <w:rPr>
                <w:rFonts w:ascii="Arial" w:cs="Arial" w:eastAsia="Arial" w:hAnsi="Arial"/>
                <w:sz w:val="18"/>
                <w:szCs w:val="18"/>
                <w:color w:val="auto"/>
              </w:rPr>
              <w:t>(1.6)</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(3.0)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50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R&amp;D credits generated</w:t>
            </w:r>
          </w:p>
        </w:tc>
        <w:tc>
          <w:tcPr>
            <w:tcW w:w="5980" w:type="dxa"/>
            <w:vAlign w:val="bottom"/>
            <w:gridSpan w:val="3"/>
          </w:tcPr>
          <w:p>
            <w:pPr>
              <w:jc w:val="right"/>
              <w:ind w:right="460"/>
              <w:spacing w:after="0"/>
              <w:rPr>
                <w:sz w:val="20"/>
                <w:szCs w:val="20"/>
                <w:color w:val="auto"/>
              </w:rPr>
            </w:pPr>
            <w:r>
              <w:rPr>
                <w:rFonts w:ascii="Arial" w:cs="Arial" w:eastAsia="Arial" w:hAnsi="Arial"/>
                <w:sz w:val="18"/>
                <w:szCs w:val="18"/>
                <w:color w:val="auto"/>
              </w:rPr>
              <w:t>(5.6)</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Change in state rate</w:t>
            </w:r>
          </w:p>
        </w:tc>
        <w:tc>
          <w:tcPr>
            <w:tcW w:w="5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9.9</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Permanent items and other</w:t>
            </w:r>
          </w:p>
        </w:tc>
        <w:tc>
          <w:tcPr>
            <w:tcW w:w="5980" w:type="dxa"/>
            <w:vAlign w:val="bottom"/>
            <w:gridSpan w:val="3"/>
          </w:tcPr>
          <w:p>
            <w:pPr>
              <w:jc w:val="right"/>
              <w:ind w:right="460"/>
              <w:spacing w:after="0"/>
              <w:rPr>
                <w:sz w:val="20"/>
                <w:szCs w:val="20"/>
                <w:color w:val="auto"/>
              </w:rPr>
            </w:pPr>
            <w:r>
              <w:rPr>
                <w:rFonts w:ascii="Arial" w:cs="Arial" w:eastAsia="Arial" w:hAnsi="Arial"/>
                <w:sz w:val="18"/>
                <w:szCs w:val="18"/>
                <w:color w:val="auto"/>
              </w:rPr>
              <w:t>(1.4)</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(0.7)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50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5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5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18"/>
                <w:szCs w:val="18"/>
                <w:color w:val="auto"/>
              </w:rPr>
            </w:pPr>
          </w:p>
        </w:tc>
      </w:tr>
      <w:tr>
        <w:trPr>
          <w:trHeight w:val="222"/>
        </w:trPr>
        <w:tc>
          <w:tcPr>
            <w:tcW w:w="39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0"/>
        </w:trPr>
        <w:tc>
          <w:tcPr>
            <w:tcW w:w="39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8"/>
        </w:trPr>
        <w:tc>
          <w:tcPr>
            <w:tcW w:w="3940" w:type="dxa"/>
            <w:vAlign w:val="bottom"/>
          </w:tcPr>
          <w:p>
            <w:pPr>
              <w:spacing w:after="0"/>
              <w:rPr>
                <w:sz w:val="24"/>
                <w:szCs w:val="24"/>
                <w:color w:val="auto"/>
              </w:rPr>
            </w:pPr>
          </w:p>
        </w:tc>
        <w:tc>
          <w:tcPr>
            <w:tcW w:w="5980" w:type="dxa"/>
            <w:vAlign w:val="bottom"/>
            <w:gridSpan w:val="3"/>
          </w:tcPr>
          <w:p>
            <w:pPr>
              <w:jc w:val="right"/>
              <w:ind w:right="4040"/>
              <w:spacing w:after="0"/>
              <w:rPr>
                <w:sz w:val="20"/>
                <w:szCs w:val="20"/>
                <w:color w:val="auto"/>
              </w:rPr>
            </w:pPr>
            <w:r>
              <w:rPr>
                <w:rFonts w:ascii="Arial" w:cs="Arial" w:eastAsia="Arial" w:hAnsi="Arial"/>
                <w:sz w:val="18"/>
                <w:szCs w:val="18"/>
                <w:color w:val="auto"/>
              </w:rPr>
              <w:t>F-21</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6. Commitments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lease our office and manufacturing facilities under various operating lease agreements. The office space and manufacturing facilities leases are noncancelable and obligate us to pay taxes and maintenance costs. In addition, we lease certain equipment such as copiers and phone systems under noncancelable leases. Rent expense was $1,005, $1,143 and $1,276 for the years ended December 31, 2005, 2004 and 2003, respectively. We lease 13% of our office space from landlords who have contractual agreements with Hill Partners. Some portions of the Company’s lease payments are paid to Hill Partners from our landlord as remuneration for facility management services. One of the Company’s directors, Richard Anderson, is a partner of Hill Partners.</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Future minimum payments under these leases at December 31, 2005 are as follows: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9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1,971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enter into certain commitments to purchase inventory and other items in the course of normal operations. At December 31, 2005, the total of these commitments that will mature in 2006 and 2007 are $5,736 and $17,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 Employee Benefit Plan</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maintain a 401(k) Plan that covers substantially all full-time employees. Company contributions to the plan are determined at the discretion of the Board of Directors and vest ratably over five years of service starting after the first year of employment. We did not contribute to this plan in 2005, 2004 or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8. Geographic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for the year ended December 31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$10,171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Europe</w:t>
            </w:r>
          </w:p>
        </w:tc>
        <w:tc>
          <w:tcPr>
            <w:tcW w:w="4600" w:type="dxa"/>
            <w:vAlign w:val="bottom"/>
            <w:gridSpan w:val="3"/>
          </w:tcPr>
          <w:p>
            <w:pPr>
              <w:jc w:val="right"/>
              <w:ind w:right="120"/>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1,988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4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foreign regions</w:t>
            </w:r>
          </w:p>
        </w:tc>
        <w:tc>
          <w:tcPr>
            <w:tcW w:w="39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1,774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17,788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15,783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Revenues from foreign countries above represent shipments to customers located in eighteen countries. Substantially all of our property, plant and equipment is located in the United States.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9.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Between March 2002 and October 2004, Active Power and Joseph Pinkerton, our Chairman and Chief Executive Officer, were parties to a lawsuit with Magnex Corporation and other plaintiffs alleging breach of a joint venture agreement, misappropriation of trade secrets and other torts. This litigation was settled in October 2004 with the Company paying $5.08 million in settlement that was recorded as an expense in 2004. The plaintiffs dismissed their claims and provided a covenant not to sue the defendants in the future. The plaintiffs further agreed to transfer, assign and otherwise release to the defendants all rights to certain technology involved in the lawsuit,</w:t>
      </w:r>
    </w:p>
    <w:p>
      <w:pPr>
        <w:spacing w:after="0" w:line="143"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On July 16, 2004 we filed a lawsuit against Greenwich Insurance Company seeking coverage under an insurance policy providing for management liability and company reimbursement coverage for certain of our and our CEO, Joe Pinkerton’s, expenses and damages related to the Magnex litigation described above.</w:t>
      </w:r>
    </w:p>
    <w:p>
      <w:pPr>
        <w:spacing w:after="0" w:line="6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This case seeks a declaratory judgment that we are entitled to coverage under our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In the event of any recovery in this action, we would retain an amount equal to our legal expenses related to this Greenwich Insurance litigation. Any additional recovery up to $1.22 million shall next be paid to Mr. Pinkerton as reimbursement for his settlement expense and other costs related to the Magnex lawsuit. Any recovery beyond this amount would be retained by us.</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During the course of renewing the Company’s annual Directors and Officer’s Insurance policies in July 2005, we met with Greenwich Insurance Company in an attempt to settle this litigation, but were unsuccessful. Discovery in this case is underway and continuing at this time. On February 10, 2006, Greenwich filed a motion for summary judgment. As of the date of this definitive proxy statement, we have not yet filed a response to this motion.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Selected Quarterly Financial Data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98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Year Ended December 31, 2005</w:t>
            </w:r>
          </w:p>
        </w:tc>
        <w:tc>
          <w:tcPr>
            <w:tcW w:w="460" w:type="dxa"/>
            <w:vAlign w:val="bottom"/>
          </w:tcPr>
          <w:p>
            <w:pPr>
              <w:spacing w:after="0"/>
              <w:rPr>
                <w:sz w:val="14"/>
                <w:szCs w:val="14"/>
                <w:color w:val="auto"/>
              </w:rPr>
            </w:pPr>
          </w:p>
        </w:tc>
        <w:tc>
          <w:tcPr>
            <w:tcW w:w="18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86"/>
              </w:rPr>
              <w:t>Year Ended December 31, 2004</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40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First</w:t>
            </w:r>
          </w:p>
        </w:tc>
        <w:tc>
          <w:tcPr>
            <w:tcW w:w="7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2"/>
              </w:rPr>
              <w:t>Second</w:t>
            </w:r>
          </w:p>
        </w:tc>
        <w:tc>
          <w:tcPr>
            <w:tcW w:w="74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Third</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Fourth</w:t>
            </w:r>
          </w:p>
        </w:tc>
        <w:tc>
          <w:tcPr>
            <w:tcW w:w="28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312"/>
              <w:spacing w:after="0" w:line="129" w:lineRule="exact"/>
              <w:rPr>
                <w:sz w:val="20"/>
                <w:szCs w:val="20"/>
                <w:color w:val="auto"/>
              </w:rPr>
            </w:pPr>
            <w:r>
              <w:rPr>
                <w:rFonts w:ascii="Arial" w:cs="Arial" w:eastAsia="Arial" w:hAnsi="Arial"/>
                <w:sz w:val="14"/>
                <w:szCs w:val="14"/>
                <w:b w:val="1"/>
                <w:bCs w:val="1"/>
                <w:color w:val="auto"/>
              </w:rPr>
              <w:t>First</w:t>
            </w:r>
          </w:p>
        </w:tc>
        <w:tc>
          <w:tcPr>
            <w:tcW w:w="7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2"/>
              </w:rPr>
              <w:t>Second</w:t>
            </w:r>
          </w:p>
        </w:tc>
        <w:tc>
          <w:tcPr>
            <w:tcW w:w="82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Third</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Fourth</w:t>
            </w:r>
          </w:p>
        </w:tc>
        <w:tc>
          <w:tcPr>
            <w:tcW w:w="60" w:type="dxa"/>
            <w:vAlign w:val="bottom"/>
          </w:tcPr>
          <w:p>
            <w:pPr>
              <w:spacing w:after="0"/>
              <w:rPr>
                <w:sz w:val="11"/>
                <w:szCs w:val="11"/>
                <w:color w:val="auto"/>
              </w:rPr>
            </w:pPr>
          </w:p>
        </w:tc>
      </w:tr>
      <w:tr>
        <w:trPr>
          <w:trHeight w:val="161"/>
        </w:trPr>
        <w:tc>
          <w:tcPr>
            <w:tcW w:w="4060" w:type="dxa"/>
            <w:vAlign w:val="bottom"/>
          </w:tcPr>
          <w:p>
            <w:pPr>
              <w:spacing w:after="0"/>
              <w:rPr>
                <w:sz w:val="20"/>
                <w:szCs w:val="20"/>
                <w:color w:val="auto"/>
              </w:rPr>
            </w:pPr>
            <w:r>
              <w:rPr>
                <w:rFonts w:ascii="Arial" w:cs="Arial" w:eastAsia="Arial" w:hAnsi="Arial"/>
                <w:sz w:val="14"/>
                <w:szCs w:val="14"/>
                <w:b w:val="1"/>
                <w:bCs w:val="1"/>
                <w:color w:val="auto"/>
              </w:rPr>
              <w:t>(Thousands, except per share amounts)</w:t>
            </w:r>
          </w:p>
        </w:tc>
        <w:tc>
          <w:tcPr>
            <w:tcW w:w="22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Quarter</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Quarter</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Quarter</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Quarter</w:t>
            </w:r>
          </w:p>
        </w:tc>
        <w:tc>
          <w:tcPr>
            <w:tcW w:w="7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w w:val="86"/>
              </w:rPr>
              <w:t>Quarter</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Quarter</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Quarter</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Quarter</w:t>
            </w: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2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2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2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2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3,240</w:t>
            </w:r>
          </w:p>
        </w:tc>
        <w:tc>
          <w:tcPr>
            <w:tcW w:w="2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3,715</w:t>
            </w:r>
          </w:p>
        </w:tc>
        <w:tc>
          <w:tcPr>
            <w:tcW w:w="2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2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Total margin (loss)</w:t>
            </w:r>
          </w:p>
        </w:tc>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(351)</w:t>
            </w: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rPr>
              <w:t>(811)</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(1,154)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(5,327)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(5,604)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(5,188)</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(6,772)</w:t>
            </w: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7"/>
              </w:rPr>
              <w:t>(5,624)</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(6,093)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(10,929)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(5,134)</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(0.12)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(0.11)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rPr>
              <w:t>(0.13)</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(0.26)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(0.12)</w:t>
            </w:r>
          </w:p>
        </w:tc>
      </w:tr>
    </w:tbl>
    <w:p>
      <w:pPr>
        <w:spacing w:after="0" w:line="14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the fourth quarter of 2005, the Company recorded extra charges of $913 for technology impairments related to license agreements signed in 2000 and 2001 for third party technologies that we have decided not to commercialized and $1,245 for an increase in our provision for doubtful accounts relating to certain foreign customer receivables.</w:t>
      </w:r>
    </w:p>
    <w:p>
      <w:pPr>
        <w:spacing w:after="0" w:line="140"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In the third quarter of 2004, the Company recorded a charge of $4,800 for a litigation settlement. In the fourth quarter of 2004, the Company met the performance requirements of a significant contract and recorded revenue of approximately $560 for items that were shipped to customers in the second quarter of 2004.</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(Form S-8 Nos. 333-43248, 333-56122, 333-104725, 333-115039, and 333-123587) pertaining to the 2000 Stock Incentive Plan and 2000 Employee Stock Purchase Plan of Active Power, Inc. of our reports dated February 24, 2006, with respect to the financial statements of Active Power, Inc., Active Power, Inc. management’s assessment of the effectiveness of internal control over financial reporting, and the effectiveness of internal control over financial reporting of Active Power, Inc., included in the Annual Report (Form 10-K) for the year ended December 31, 2005.</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2006</w:t>
      </w:r>
    </w:p>
    <w:p>
      <w:pPr>
        <w:sectPr>
          <w:pgSz w:w="11900" w:h="16838" w:orient="portrait"/>
          <w:cols w:equalWidth="0" w:num="1">
            <w:col w:w="11420"/>
          </w:cols>
          <w:pgMar w:left="2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Joseph F. Pinkerton, III, certify that:</w:t>
      </w:r>
    </w:p>
    <w:p>
      <w:pPr>
        <w:spacing w:after="0" w:line="9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3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3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connection with the Annual Report on Form 10-K of Active Power, Inc. (the “Company”) for the period ending December 31, 2005, as filed with the Securities and Exchange Commission on the date hereof (the “Report”), I, Joseph F. Pinkerton, III, Chief Executive Officer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27, 2006</w:t>
      </w:r>
    </w:p>
    <w:p>
      <w:pPr>
        <w:spacing w:after="0" w:line="17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Active Power, Inc.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connection with the Annual Report on Form 10-K of Active Power, Inc. (the “Company”) for the period ending December 31, 2005 as filed with the Securities and Exchange Commission on the date hereof (the “Report”), I, John K. Penver, Chief Financial Officer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of Finance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27, 2006</w:t>
      </w:r>
    </w:p>
    <w:p>
      <w:pPr>
        <w:spacing w:after="0" w:line="17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Active Power, Inc.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lvl w:ilvl="1">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lvl w:ilvl="1">
      <w:lvlJc w:val="left"/>
      <w:lvlText w:val="-"/>
      <w:numFmt w:val="bullet"/>
      <w:start w:val="1"/>
    </w:lvl>
  </w:abstractNum>
  <w:abstractNum w:abstractNumId="10">
    <w:nsid w:val="62BBD95A"/>
    <w:multiLevelType w:val="hybridMultilevel"/>
    <w:lvl w:ilvl="0">
      <w:lvlJc w:val="left"/>
      <w:lvlText w:val="•"/>
      <w:numFmt w:val="bullet"/>
      <w:start w:val="1"/>
    </w:lvl>
    <w:lvl w:ilvl="1">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lvl w:ilvl="1">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lvl w:ilvl="1">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endash "/>
      <w:numFmt w:val="bullet"/>
      <w:start w:val="1"/>
    </w:lvl>
  </w:abstractNum>
  <w:abstractNum w:abstractNumId="18">
    <w:nsid w:val="75A2A8D4"/>
    <w:multiLevelType w:val="hybridMultilevel"/>
    <w:lvl w:ilvl="0">
      <w:lvlJc w:val="left"/>
      <w:lvlText w:val="(%1)"/>
      <w:numFmt w:val="lowerLetter"/>
      <w:start w:val="1"/>
    </w:lvl>
    <w:lvl w:ilvl="1">
      <w:lvlJc w:val="left"/>
      <w:lvlText w:val="%2."/>
      <w:numFmt w:val="decimal"/>
      <w:start w:val="1"/>
    </w:lvl>
  </w:abstractNum>
  <w:abstractNum w:abstractNumId="19">
    <w:nsid w:val="8EDBDAB"/>
    <w:multiLevelType w:val="hybridMultilevel"/>
    <w:lvl w:ilvl="0">
      <w:lvlJc w:val="left"/>
      <w:lvlText w:val="%1."/>
      <w:numFmt w:val="decimal"/>
      <w:start w:val="3"/>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lvl w:ilvl="1">
      <w:lvlJc w:val="left"/>
      <w:lvlText w:val="-"/>
      <w:numFmt w:val="bullet"/>
      <w:start w:val="1"/>
    </w:lvl>
  </w:abstractNum>
  <w:abstractNum w:abstractNumId="22">
    <w:nsid w:val="B03E0C6"/>
    <w:multiLevelType w:val="hybridMultilevel"/>
    <w:lvl w:ilvl="0">
      <w:lvlJc w:val="left"/>
      <w:lvlText w:val="%1."/>
      <w:numFmt w:val="decimal"/>
      <w:start w:val="2"/>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4"/>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2019-12-14T18:12:49Z</dcterms:created>
  <dcterms:modified xsi:type="dcterms:W3CDTF">2019-12-14T18:12:49Z</dcterms:modified>
</cp:coreProperties>
</file>