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May 28, 2024</w:t>
      </w:r>
    </w:p>
    <w:p>
      <w:pPr>
        <w:spacing w:after="0" w:line="28" w:lineRule="exact"/>
        <w:rPr>
          <w:sz w:val="24"/>
          <w:szCs w:val="24"/>
          <w:color w:val="auto"/>
        </w:rPr>
      </w:pPr>
    </w:p>
    <w:p>
      <w:pPr>
        <w:ind w:left="9020"/>
        <w:spacing w:after="0"/>
        <w:rPr>
          <w:sz w:val="20"/>
          <w:szCs w:val="20"/>
          <w:color w:val="auto"/>
        </w:rPr>
      </w:pPr>
      <w:r>
        <w:rPr>
          <w:rFonts w:ascii="Times New Roman" w:cs="Times New Roman" w:eastAsia="Times New Roman" w:hAnsi="Times New Roman"/>
          <w:sz w:val="16"/>
          <w:szCs w:val="16"/>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-9525</wp:posOffset>
            </wp:positionV>
            <wp:extent cx="4114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2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FORM S-1</w:t>
      </w:r>
    </w:p>
    <w:p>
      <w:pPr>
        <w:spacing w:after="0" w:line="4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ind w:right="-139"/>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128905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0"/>
          <w:szCs w:val="40"/>
          <w:b w:val="1"/>
          <w:bCs w:val="1"/>
          <w:color w:val="auto"/>
        </w:rPr>
        <w:t>P10, Inc.</w:t>
      </w:r>
    </w:p>
    <w:p>
      <w:pPr>
        <w:spacing w:after="0" w:line="3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114300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9" w:lineRule="exact"/>
        <w:rPr>
          <w:sz w:val="24"/>
          <w:szCs w:val="24"/>
          <w:color w:val="auto"/>
        </w:rPr>
      </w:pPr>
    </w:p>
    <w:tbl>
      <w:tblPr>
        <w:tblLayout w:type="fixed"/>
        <w:tblInd w:w="1020" w:type="dxa"/>
        <w:tblCellMar>
          <w:top w:w="0" w:type="dxa"/>
          <w:left w:w="0" w:type="dxa"/>
          <w:bottom w:w="0" w:type="dxa"/>
          <w:right w:w="0" w:type="dxa"/>
        </w:tblCellMar>
      </w:tblPr>
      <w:tr>
        <w:trPr>
          <w:trHeight w:val="194"/>
        </w:trPr>
        <w:tc>
          <w:tcPr>
            <w:tcW w:w="2860" w:type="dxa"/>
            <w:vAlign w:val="bottom"/>
          </w:tcPr>
          <w:p>
            <w:pPr>
              <w:jc w:val="center"/>
              <w:ind w:right="84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860" w:type="dxa"/>
            <w:vAlign w:val="bottom"/>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9"/>
              </w:rPr>
              <w:t>6282</w:t>
            </w:r>
          </w:p>
        </w:tc>
        <w:tc>
          <w:tcPr>
            <w:tcW w:w="2200" w:type="dxa"/>
            <w:vAlign w:val="bottom"/>
          </w:tcPr>
          <w:p>
            <w:pPr>
              <w:jc w:val="center"/>
              <w:ind w:left="985"/>
              <w:spacing w:after="0"/>
              <w:rPr>
                <w:sz w:val="20"/>
                <w:szCs w:val="20"/>
                <w:color w:val="auto"/>
              </w:rPr>
            </w:pPr>
            <w:r>
              <w:rPr>
                <w:rFonts w:ascii="Times New Roman" w:cs="Times New Roman" w:eastAsia="Times New Roman" w:hAnsi="Times New Roman"/>
                <w:sz w:val="16"/>
                <w:szCs w:val="16"/>
                <w:b w:val="1"/>
                <w:bCs w:val="1"/>
                <w:color w:val="auto"/>
              </w:rPr>
              <w:t>87-2908160</w:t>
            </w:r>
          </w:p>
        </w:tc>
      </w:tr>
      <w:tr>
        <w:trPr>
          <w:trHeight w:val="148"/>
        </w:trPr>
        <w:tc>
          <w:tcPr>
            <w:tcW w:w="2860" w:type="dxa"/>
            <w:vAlign w:val="bottom"/>
          </w:tcPr>
          <w:p>
            <w:pPr>
              <w:jc w:val="center"/>
              <w:ind w:right="84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6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200" w:type="dxa"/>
            <w:vAlign w:val="bottom"/>
          </w:tcPr>
          <w:p>
            <w:pPr>
              <w:jc w:val="center"/>
              <w:ind w:left="98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60" w:type="dxa"/>
            <w:vAlign w:val="bottom"/>
          </w:tcPr>
          <w:p>
            <w:pPr>
              <w:jc w:val="center"/>
              <w:ind w:right="84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6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Classification Code No.)</w:t>
            </w:r>
          </w:p>
        </w:tc>
        <w:tc>
          <w:tcPr>
            <w:tcW w:w="2200" w:type="dxa"/>
            <w:vAlign w:val="bottom"/>
          </w:tcPr>
          <w:p>
            <w:pPr>
              <w:jc w:val="center"/>
              <w:ind w:left="985"/>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4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4514 Cole Avenue, Suite 1600</w:t>
      </w:r>
    </w:p>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Dallas, Texas 75205</w:t>
      </w:r>
    </w:p>
    <w:p>
      <w:pPr>
        <w:jc w:val="center"/>
        <w:ind w:right="-139"/>
        <w:spacing w:after="0" w:line="217" w:lineRule="auto"/>
        <w:rPr>
          <w:sz w:val="20"/>
          <w:szCs w:val="20"/>
          <w:color w:val="auto"/>
        </w:rPr>
      </w:pPr>
      <w:r>
        <w:rPr>
          <w:rFonts w:ascii="Times New Roman" w:cs="Times New Roman" w:eastAsia="Times New Roman" w:hAnsi="Times New Roman"/>
          <w:sz w:val="15"/>
          <w:szCs w:val="15"/>
          <w:b w:val="1"/>
          <w:bCs w:val="1"/>
          <w:color w:val="auto"/>
        </w:rPr>
        <w:t>(214) 865-7998</w:t>
      </w:r>
    </w:p>
    <w:p>
      <w:pPr>
        <w:spacing w:after="0" w:line="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125095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Luke A. Sarsfield III</w:t>
      </w:r>
    </w:p>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Chief Executive Officer</w:t>
      </w:r>
    </w:p>
    <w:p>
      <w:pPr>
        <w:jc w:val="center"/>
        <w:ind w:right="-139"/>
        <w:spacing w:after="0" w:line="225" w:lineRule="auto"/>
        <w:rPr>
          <w:sz w:val="20"/>
          <w:szCs w:val="20"/>
          <w:color w:val="auto"/>
        </w:rPr>
      </w:pPr>
      <w:r>
        <w:rPr>
          <w:rFonts w:ascii="Times New Roman" w:cs="Times New Roman" w:eastAsia="Times New Roman" w:hAnsi="Times New Roman"/>
          <w:sz w:val="15"/>
          <w:szCs w:val="15"/>
          <w:b w:val="1"/>
          <w:bCs w:val="1"/>
          <w:color w:val="auto"/>
        </w:rPr>
        <w:t>P10, Inc.</w:t>
      </w:r>
    </w:p>
    <w:p>
      <w:pPr>
        <w:jc w:val="center"/>
        <w:ind w:right="-139"/>
        <w:spacing w:after="0" w:line="225" w:lineRule="auto"/>
        <w:rPr>
          <w:sz w:val="20"/>
          <w:szCs w:val="20"/>
          <w:color w:val="auto"/>
        </w:rPr>
      </w:pPr>
      <w:r>
        <w:rPr>
          <w:rFonts w:ascii="Times New Roman" w:cs="Times New Roman" w:eastAsia="Times New Roman" w:hAnsi="Times New Roman"/>
          <w:sz w:val="15"/>
          <w:szCs w:val="15"/>
          <w:b w:val="1"/>
          <w:bCs w:val="1"/>
          <w:color w:val="auto"/>
        </w:rPr>
        <w:t>4514 Cole Avenue, Suite 1600</w:t>
      </w:r>
    </w:p>
    <w:p>
      <w:pPr>
        <w:jc w:val="center"/>
        <w:ind w:right="-139"/>
        <w:spacing w:after="0" w:line="226" w:lineRule="auto"/>
        <w:rPr>
          <w:sz w:val="20"/>
          <w:szCs w:val="20"/>
          <w:color w:val="auto"/>
        </w:rPr>
      </w:pPr>
      <w:r>
        <w:rPr>
          <w:rFonts w:ascii="Times New Roman" w:cs="Times New Roman" w:eastAsia="Times New Roman" w:hAnsi="Times New Roman"/>
          <w:sz w:val="15"/>
          <w:szCs w:val="15"/>
          <w:b w:val="1"/>
          <w:bCs w:val="1"/>
          <w:color w:val="auto"/>
        </w:rPr>
        <w:t>Dallas, Texas 75205</w:t>
      </w:r>
    </w:p>
    <w:p>
      <w:pPr>
        <w:jc w:val="center"/>
        <w:ind w:right="-139"/>
        <w:spacing w:after="0" w:line="218" w:lineRule="auto"/>
        <w:rPr>
          <w:sz w:val="20"/>
          <w:szCs w:val="20"/>
          <w:color w:val="auto"/>
        </w:rPr>
      </w:pPr>
      <w:r>
        <w:rPr>
          <w:rFonts w:ascii="Times New Roman" w:cs="Times New Roman" w:eastAsia="Times New Roman" w:hAnsi="Times New Roman"/>
          <w:sz w:val="15"/>
          <w:szCs w:val="15"/>
          <w:b w:val="1"/>
          <w:bCs w:val="1"/>
          <w:color w:val="auto"/>
        </w:rPr>
        <w:t>(214) 865-7998</w:t>
      </w: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40" w:lineRule="exact"/>
        <w:rPr>
          <w:sz w:val="24"/>
          <w:szCs w:val="24"/>
          <w:color w:val="auto"/>
        </w:rPr>
      </w:pPr>
    </w:p>
    <w:tbl>
      <w:tblPr>
        <w:tblLayout w:type="fixed"/>
        <w:tblInd w:w="1940" w:type="dxa"/>
        <w:tblCellMar>
          <w:top w:w="0" w:type="dxa"/>
          <w:left w:w="0" w:type="dxa"/>
          <w:bottom w:w="0" w:type="dxa"/>
          <w:right w:w="0" w:type="dxa"/>
        </w:tblCellMar>
      </w:tblPr>
      <w:tr>
        <w:trPr>
          <w:trHeight w:val="214"/>
        </w:trPr>
        <w:tc>
          <w:tcPr>
            <w:tcW w:w="2560" w:type="dxa"/>
            <w:vAlign w:val="bottom"/>
          </w:tcPr>
          <w:p>
            <w:pPr>
              <w:spacing w:after="0"/>
              <w:rPr>
                <w:sz w:val="18"/>
                <w:szCs w:val="18"/>
                <w:color w:val="auto"/>
              </w:rPr>
            </w:pPr>
          </w:p>
        </w:tc>
        <w:tc>
          <w:tcPr>
            <w:tcW w:w="5240" w:type="dxa"/>
            <w:vAlign w:val="bottom"/>
          </w:tcPr>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With copies to:</w:t>
            </w:r>
          </w:p>
        </w:tc>
      </w:tr>
      <w:tr>
        <w:trPr>
          <w:trHeight w:val="228"/>
        </w:trPr>
        <w:tc>
          <w:tcPr>
            <w:tcW w:w="2560" w:type="dxa"/>
            <w:vAlign w:val="bottom"/>
          </w:tcPr>
          <w:p>
            <w:pPr>
              <w:jc w:val="center"/>
              <w:ind w:right="564"/>
              <w:spacing w:after="0"/>
              <w:rPr>
                <w:sz w:val="20"/>
                <w:szCs w:val="20"/>
                <w:color w:val="auto"/>
              </w:rPr>
            </w:pPr>
            <w:r>
              <w:rPr>
                <w:rFonts w:ascii="Times New Roman" w:cs="Times New Roman" w:eastAsia="Times New Roman" w:hAnsi="Times New Roman"/>
                <w:sz w:val="15"/>
                <w:szCs w:val="15"/>
                <w:b w:val="1"/>
                <w:bCs w:val="1"/>
                <w:color w:val="auto"/>
              </w:rPr>
              <w:t>Melodie Craft, Esq.</w:t>
            </w:r>
          </w:p>
        </w:tc>
        <w:tc>
          <w:tcPr>
            <w:tcW w:w="5240" w:type="dxa"/>
            <w:vAlign w:val="bottom"/>
          </w:tcPr>
          <w:p>
            <w:pPr>
              <w:jc w:val="center"/>
              <w:ind w:left="2603"/>
              <w:spacing w:after="0"/>
              <w:rPr>
                <w:sz w:val="20"/>
                <w:szCs w:val="20"/>
                <w:color w:val="auto"/>
              </w:rPr>
            </w:pPr>
            <w:r>
              <w:rPr>
                <w:rFonts w:ascii="Times New Roman" w:cs="Times New Roman" w:eastAsia="Times New Roman" w:hAnsi="Times New Roman"/>
                <w:sz w:val="15"/>
                <w:szCs w:val="15"/>
                <w:b w:val="1"/>
                <w:bCs w:val="1"/>
                <w:color w:val="auto"/>
              </w:rPr>
              <w:t>Todd E. Lenson, Esq.</w:t>
            </w:r>
          </w:p>
        </w:tc>
      </w:tr>
      <w:tr>
        <w:trPr>
          <w:trHeight w:val="162"/>
        </w:trPr>
        <w:tc>
          <w:tcPr>
            <w:tcW w:w="2560" w:type="dxa"/>
            <w:vAlign w:val="bottom"/>
          </w:tcPr>
          <w:p>
            <w:pPr>
              <w:jc w:val="center"/>
              <w:ind w:right="564"/>
              <w:spacing w:after="0" w:line="162" w:lineRule="exact"/>
              <w:rPr>
                <w:sz w:val="20"/>
                <w:szCs w:val="20"/>
                <w:color w:val="auto"/>
              </w:rPr>
            </w:pPr>
            <w:r>
              <w:rPr>
                <w:rFonts w:ascii="Times New Roman" w:cs="Times New Roman" w:eastAsia="Times New Roman" w:hAnsi="Times New Roman"/>
                <w:sz w:val="15"/>
                <w:szCs w:val="15"/>
                <w:b w:val="1"/>
                <w:bCs w:val="1"/>
                <w:color w:val="auto"/>
              </w:rPr>
              <w:t>General Counsel</w:t>
            </w:r>
          </w:p>
        </w:tc>
        <w:tc>
          <w:tcPr>
            <w:tcW w:w="5240" w:type="dxa"/>
            <w:vAlign w:val="bottom"/>
          </w:tcPr>
          <w:p>
            <w:pPr>
              <w:jc w:val="center"/>
              <w:ind w:left="2603"/>
              <w:spacing w:after="0" w:line="162" w:lineRule="exact"/>
              <w:rPr>
                <w:sz w:val="20"/>
                <w:szCs w:val="20"/>
                <w:color w:val="auto"/>
              </w:rPr>
            </w:pPr>
            <w:r>
              <w:rPr>
                <w:rFonts w:ascii="Times New Roman" w:cs="Times New Roman" w:eastAsia="Times New Roman" w:hAnsi="Times New Roman"/>
                <w:sz w:val="15"/>
                <w:szCs w:val="15"/>
                <w:b w:val="1"/>
                <w:bCs w:val="1"/>
                <w:color w:val="auto"/>
              </w:rPr>
              <w:t>Kramer Levin Naftalis &amp; Frankel LLP</w:t>
            </w:r>
          </w:p>
        </w:tc>
      </w:tr>
      <w:tr>
        <w:trPr>
          <w:trHeight w:val="162"/>
        </w:trPr>
        <w:tc>
          <w:tcPr>
            <w:tcW w:w="2560" w:type="dxa"/>
            <w:vAlign w:val="bottom"/>
          </w:tcPr>
          <w:p>
            <w:pPr>
              <w:jc w:val="center"/>
              <w:ind w:right="564"/>
              <w:spacing w:after="0" w:line="162" w:lineRule="exact"/>
              <w:rPr>
                <w:sz w:val="20"/>
                <w:szCs w:val="20"/>
                <w:color w:val="auto"/>
              </w:rPr>
            </w:pPr>
            <w:r>
              <w:rPr>
                <w:rFonts w:ascii="Times New Roman" w:cs="Times New Roman" w:eastAsia="Times New Roman" w:hAnsi="Times New Roman"/>
                <w:sz w:val="15"/>
                <w:szCs w:val="15"/>
                <w:b w:val="1"/>
                <w:bCs w:val="1"/>
                <w:color w:val="auto"/>
                <w:w w:val="99"/>
              </w:rPr>
              <w:t>P10, Inc.</w:t>
            </w:r>
          </w:p>
        </w:tc>
        <w:tc>
          <w:tcPr>
            <w:tcW w:w="5240" w:type="dxa"/>
            <w:vAlign w:val="bottom"/>
          </w:tcPr>
          <w:p>
            <w:pPr>
              <w:jc w:val="center"/>
              <w:ind w:left="2603"/>
              <w:spacing w:after="0" w:line="162" w:lineRule="exact"/>
              <w:rPr>
                <w:sz w:val="20"/>
                <w:szCs w:val="20"/>
                <w:color w:val="auto"/>
              </w:rPr>
            </w:pPr>
            <w:r>
              <w:rPr>
                <w:rFonts w:ascii="Times New Roman" w:cs="Times New Roman" w:eastAsia="Times New Roman" w:hAnsi="Times New Roman"/>
                <w:sz w:val="15"/>
                <w:szCs w:val="15"/>
                <w:b w:val="1"/>
                <w:bCs w:val="1"/>
                <w:color w:val="auto"/>
              </w:rPr>
              <w:t>1177 Avenue of the Americas</w:t>
            </w:r>
          </w:p>
        </w:tc>
      </w:tr>
      <w:tr>
        <w:trPr>
          <w:trHeight w:val="162"/>
        </w:trPr>
        <w:tc>
          <w:tcPr>
            <w:tcW w:w="2560" w:type="dxa"/>
            <w:vAlign w:val="bottom"/>
          </w:tcPr>
          <w:p>
            <w:pPr>
              <w:jc w:val="center"/>
              <w:ind w:right="564"/>
              <w:spacing w:after="0" w:line="162" w:lineRule="exact"/>
              <w:rPr>
                <w:sz w:val="20"/>
                <w:szCs w:val="20"/>
                <w:color w:val="auto"/>
              </w:rPr>
            </w:pPr>
            <w:r>
              <w:rPr>
                <w:rFonts w:ascii="Times New Roman" w:cs="Times New Roman" w:eastAsia="Times New Roman" w:hAnsi="Times New Roman"/>
                <w:sz w:val="15"/>
                <w:szCs w:val="15"/>
                <w:b w:val="1"/>
                <w:bCs w:val="1"/>
                <w:color w:val="auto"/>
              </w:rPr>
              <w:t>4514 Cole Avenue, Suite 1600</w:t>
            </w:r>
          </w:p>
        </w:tc>
        <w:tc>
          <w:tcPr>
            <w:tcW w:w="5240" w:type="dxa"/>
            <w:vAlign w:val="bottom"/>
          </w:tcPr>
          <w:p>
            <w:pPr>
              <w:jc w:val="center"/>
              <w:ind w:left="2603"/>
              <w:spacing w:after="0" w:line="162" w:lineRule="exact"/>
              <w:rPr>
                <w:sz w:val="20"/>
                <w:szCs w:val="20"/>
                <w:color w:val="auto"/>
              </w:rPr>
            </w:pPr>
            <w:r>
              <w:rPr>
                <w:rFonts w:ascii="Times New Roman" w:cs="Times New Roman" w:eastAsia="Times New Roman" w:hAnsi="Times New Roman"/>
                <w:sz w:val="15"/>
                <w:szCs w:val="15"/>
                <w:b w:val="1"/>
                <w:bCs w:val="1"/>
                <w:color w:val="auto"/>
              </w:rPr>
              <w:t>New York, NY 10036</w:t>
            </w:r>
          </w:p>
        </w:tc>
      </w:tr>
      <w:tr>
        <w:trPr>
          <w:trHeight w:val="162"/>
        </w:trPr>
        <w:tc>
          <w:tcPr>
            <w:tcW w:w="2560" w:type="dxa"/>
            <w:vAlign w:val="bottom"/>
          </w:tcPr>
          <w:p>
            <w:pPr>
              <w:jc w:val="center"/>
              <w:ind w:right="564"/>
              <w:spacing w:after="0" w:line="162" w:lineRule="exact"/>
              <w:rPr>
                <w:sz w:val="20"/>
                <w:szCs w:val="20"/>
                <w:color w:val="auto"/>
              </w:rPr>
            </w:pPr>
            <w:r>
              <w:rPr>
                <w:rFonts w:ascii="Times New Roman" w:cs="Times New Roman" w:eastAsia="Times New Roman" w:hAnsi="Times New Roman"/>
                <w:sz w:val="15"/>
                <w:szCs w:val="15"/>
                <w:b w:val="1"/>
                <w:bCs w:val="1"/>
                <w:color w:val="auto"/>
              </w:rPr>
              <w:t>Dallas, Texas 75205</w:t>
            </w:r>
          </w:p>
        </w:tc>
        <w:tc>
          <w:tcPr>
            <w:tcW w:w="5240" w:type="dxa"/>
            <w:vAlign w:val="bottom"/>
          </w:tcPr>
          <w:p>
            <w:pPr>
              <w:jc w:val="center"/>
              <w:ind w:left="2603"/>
              <w:spacing w:after="0" w:line="162" w:lineRule="exact"/>
              <w:rPr>
                <w:sz w:val="20"/>
                <w:szCs w:val="20"/>
                <w:color w:val="auto"/>
              </w:rPr>
            </w:pPr>
            <w:r>
              <w:rPr>
                <w:rFonts w:ascii="Times New Roman" w:cs="Times New Roman" w:eastAsia="Times New Roman" w:hAnsi="Times New Roman"/>
                <w:sz w:val="15"/>
                <w:szCs w:val="15"/>
                <w:b w:val="1"/>
                <w:bCs w:val="1"/>
                <w:color w:val="auto"/>
              </w:rPr>
              <w:t>Telephone: (212) 715-9216</w:t>
            </w:r>
          </w:p>
        </w:tc>
      </w:tr>
      <w:tr>
        <w:trPr>
          <w:trHeight w:val="202"/>
        </w:trPr>
        <w:tc>
          <w:tcPr>
            <w:tcW w:w="2560" w:type="dxa"/>
            <w:vAlign w:val="bottom"/>
          </w:tcPr>
          <w:p>
            <w:pPr>
              <w:jc w:val="center"/>
              <w:ind w:right="564"/>
              <w:spacing w:after="0"/>
              <w:rPr>
                <w:sz w:val="20"/>
                <w:szCs w:val="20"/>
                <w:color w:val="auto"/>
              </w:rPr>
            </w:pPr>
            <w:r>
              <w:rPr>
                <w:rFonts w:ascii="Times New Roman" w:cs="Times New Roman" w:eastAsia="Times New Roman" w:hAnsi="Times New Roman"/>
                <w:sz w:val="15"/>
                <w:szCs w:val="15"/>
                <w:b w:val="1"/>
                <w:bCs w:val="1"/>
                <w:color w:val="auto"/>
              </w:rPr>
              <w:t>Telephone: (214) 997-1956</w:t>
            </w:r>
          </w:p>
        </w:tc>
        <w:tc>
          <w:tcPr>
            <w:tcW w:w="524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116840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5"/>
          <w:szCs w:val="15"/>
          <w:b w:val="1"/>
          <w:bCs w:val="1"/>
          <w:color w:val="auto"/>
        </w:rPr>
        <w:t xml:space="preserve">Approximate date of commencement of proposed sale to the public: </w:t>
      </w:r>
      <w:r>
        <w:rPr>
          <w:rFonts w:ascii="Times New Roman" w:cs="Times New Roman" w:eastAsia="Times New Roman" w:hAnsi="Times New Roman"/>
          <w:sz w:val="15"/>
          <w:szCs w:val="15"/>
          <w:color w:val="auto"/>
        </w:rPr>
        <w:t>From time to time after the effective date of this Registration Statement.</w:t>
      </w:r>
    </w:p>
    <w:p>
      <w:pPr>
        <w:spacing w:after="0" w:line="75" w:lineRule="exact"/>
        <w:rPr>
          <w:sz w:val="24"/>
          <w:szCs w:val="24"/>
          <w:color w:val="auto"/>
        </w:rPr>
      </w:pPr>
    </w:p>
    <w:p>
      <w:pPr>
        <w:ind w:left="120" w:right="120"/>
        <w:spacing w:after="0" w:line="199" w:lineRule="exact"/>
        <w:rPr>
          <w:sz w:val="20"/>
          <w:szCs w:val="20"/>
          <w:color w:val="auto"/>
        </w:rPr>
      </w:pPr>
      <w:r>
        <w:rPr>
          <w:rFonts w:ascii="Times New Roman" w:cs="Times New Roman" w:eastAsia="Times New Roman" w:hAnsi="Times New Roman"/>
          <w:sz w:val="15"/>
          <w:szCs w:val="15"/>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5"/>
          <w:szCs w:val="15"/>
          <w:color w:val="auto"/>
        </w:rPr>
        <w:t>☒</w:t>
      </w:r>
    </w:p>
    <w:p>
      <w:pPr>
        <w:spacing w:after="0" w:line="22" w:lineRule="exact"/>
        <w:rPr>
          <w:sz w:val="24"/>
          <w:szCs w:val="24"/>
          <w:color w:val="auto"/>
        </w:rPr>
      </w:pPr>
    </w:p>
    <w:p>
      <w:pPr>
        <w:ind w:left="120" w:right="40"/>
        <w:spacing w:after="0" w:line="199"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22" w:lineRule="exact"/>
        <w:rPr>
          <w:sz w:val="24"/>
          <w:szCs w:val="24"/>
          <w:color w:val="auto"/>
        </w:rPr>
      </w:pPr>
    </w:p>
    <w:p>
      <w:pPr>
        <w:ind w:left="120" w:right="20"/>
        <w:spacing w:after="0" w:line="199"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35" w:lineRule="exact"/>
        <w:rPr>
          <w:sz w:val="24"/>
          <w:szCs w:val="24"/>
          <w:color w:val="auto"/>
        </w:rPr>
      </w:pPr>
    </w:p>
    <w:p>
      <w:pPr>
        <w:ind w:left="120" w:right="20"/>
        <w:spacing w:after="0" w:line="199"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2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32" w:lineRule="exact"/>
        <w:rPr>
          <w:sz w:val="24"/>
          <w:szCs w:val="24"/>
          <w:color w:val="auto"/>
        </w:rPr>
      </w:pPr>
    </w:p>
    <w:tbl>
      <w:tblPr>
        <w:tblLayout w:type="fixed"/>
        <w:tblInd w:w="120" w:type="dxa"/>
        <w:tblCellMar>
          <w:top w:w="0" w:type="dxa"/>
          <w:left w:w="0" w:type="dxa"/>
          <w:bottom w:w="0" w:type="dxa"/>
          <w:right w:w="0" w:type="dxa"/>
        </w:tblCellMar>
      </w:tblP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740" w:type="dxa"/>
            <w:vAlign w:val="bottom"/>
          </w:tcPr>
          <w:p>
            <w:pPr>
              <w:ind w:left="160"/>
              <w:spacing w:after="0" w:line="151" w:lineRule="exact"/>
              <w:rPr>
                <w:sz w:val="20"/>
                <w:szCs w:val="20"/>
                <w:color w:val="auto"/>
              </w:rPr>
            </w:pPr>
            <w:r>
              <w:rPr>
                <w:rFonts w:ascii="MS PGothic" w:cs="MS PGothic" w:eastAsia="MS PGothic" w:hAnsi="MS PGothic"/>
                <w:sz w:val="15"/>
                <w:szCs w:val="15"/>
                <w:color w:val="auto"/>
              </w:rPr>
              <w:t>☐</w:t>
            </w:r>
          </w:p>
        </w:tc>
        <w:tc>
          <w:tcPr>
            <w:tcW w:w="5340" w:type="dxa"/>
            <w:vAlign w:val="bottom"/>
          </w:tcPr>
          <w:p>
            <w:pPr>
              <w:ind w:left="3460"/>
              <w:spacing w:after="0"/>
              <w:rPr>
                <w:sz w:val="20"/>
                <w:szCs w:val="20"/>
                <w:color w:val="auto"/>
              </w:rPr>
            </w:pPr>
            <w:r>
              <w:rPr>
                <w:rFonts w:ascii="Times New Roman" w:cs="Times New Roman" w:eastAsia="Times New Roman" w:hAnsi="Times New Roman"/>
                <w:sz w:val="15"/>
                <w:szCs w:val="15"/>
                <w:color w:val="auto"/>
              </w:rPr>
              <w:t>Accelerated filer</w:t>
            </w:r>
          </w:p>
        </w:tc>
        <w:tc>
          <w:tcPr>
            <w:tcW w:w="340" w:type="dxa"/>
            <w:vAlign w:val="bottom"/>
          </w:tcPr>
          <w:p>
            <w:pPr>
              <w:ind w:left="2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740" w:type="dxa"/>
            <w:vAlign w:val="bottom"/>
          </w:tcPr>
          <w:p>
            <w:pPr>
              <w:ind w:left="160"/>
              <w:spacing w:after="0" w:line="151" w:lineRule="exact"/>
              <w:rPr>
                <w:sz w:val="20"/>
                <w:szCs w:val="20"/>
                <w:color w:val="auto"/>
              </w:rPr>
            </w:pPr>
            <w:r>
              <w:rPr>
                <w:rFonts w:ascii="MS PGothic" w:cs="MS PGothic" w:eastAsia="MS PGothic" w:hAnsi="MS PGothic"/>
                <w:sz w:val="15"/>
                <w:szCs w:val="15"/>
                <w:color w:val="auto"/>
              </w:rPr>
              <w:t>☐</w:t>
            </w:r>
          </w:p>
        </w:tc>
        <w:tc>
          <w:tcPr>
            <w:tcW w:w="5340" w:type="dxa"/>
            <w:vAlign w:val="bottom"/>
          </w:tcPr>
          <w:p>
            <w:pPr>
              <w:ind w:left="346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340" w:type="dxa"/>
            <w:vAlign w:val="bottom"/>
          </w:tcPr>
          <w:p>
            <w:pPr>
              <w:ind w:left="2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152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5340" w:type="dxa"/>
            <w:vAlign w:val="bottom"/>
          </w:tcPr>
          <w:p>
            <w:pPr>
              <w:ind w:left="3460"/>
              <w:spacing w:after="0"/>
              <w:rPr>
                <w:sz w:val="20"/>
                <w:szCs w:val="20"/>
                <w:color w:val="auto"/>
              </w:rPr>
            </w:pPr>
            <w:r>
              <w:rPr>
                <w:rFonts w:ascii="Times New Roman" w:cs="Times New Roman" w:eastAsia="Times New Roman" w:hAnsi="Times New Roman"/>
                <w:sz w:val="15"/>
                <w:szCs w:val="15"/>
                <w:color w:val="auto"/>
              </w:rPr>
              <w:t>Emerging growth company</w:t>
            </w:r>
          </w:p>
        </w:tc>
        <w:tc>
          <w:tcPr>
            <w:tcW w:w="340" w:type="dxa"/>
            <w:vAlign w:val="bottom"/>
          </w:tcPr>
          <w:p>
            <w:pPr>
              <w:ind w:left="20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21" w:lineRule="exact"/>
        <w:rPr>
          <w:sz w:val="24"/>
          <w:szCs w:val="24"/>
          <w:color w:val="auto"/>
        </w:rPr>
      </w:pPr>
    </w:p>
    <w:p>
      <w:pPr>
        <w:ind w:left="120" w:right="360"/>
        <w:spacing w:after="0" w:line="199"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110490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4" w:lineRule="exact"/>
        <w:rPr>
          <w:sz w:val="24"/>
          <w:szCs w:val="24"/>
          <w:color w:val="auto"/>
        </w:rPr>
      </w:pPr>
    </w:p>
    <w:p>
      <w:pPr>
        <w:ind w:left="120" w:right="100"/>
        <w:spacing w:after="0" w:line="236" w:lineRule="auto"/>
        <w:rPr>
          <w:sz w:val="20"/>
          <w:szCs w:val="20"/>
          <w:color w:val="auto"/>
        </w:rPr>
      </w:pPr>
      <w:r>
        <w:rPr>
          <w:rFonts w:ascii="Times New Roman" w:cs="Times New Roman" w:eastAsia="Times New Roman" w:hAnsi="Times New Roman"/>
          <w:sz w:val="15"/>
          <w:szCs w:val="15"/>
          <w:b w:val="1"/>
          <w:bCs w:val="1"/>
          <w:color w:val="auto"/>
        </w:rPr>
        <w:t>Pursuant to Rule 429 under the Securities Act, the prospectus contained in this Registration Statement on Form S-1 (this “Registration Statement”) will be used as a combined prospectus in connection with this Registration Statement and the registrant’s earlier Registration Statement on Form S-3 (Registration No. 333-268275) and Registration Statement on Form S-3 (Registration No. 333-275667) (the “Prior Registration Statements”). This Registration Statement also constitutes Post-Effective Amendment No. 1 to Form S-3 on Form S-1 to both of the Prior Registration Statements. Such Post-Effective Amendment to the Prior Registration Statements will become effective concurrently with the effectiveness of this Registration Statement in accordance with Section 8(c) of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109220</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5" w:lineRule="exact"/>
        <w:rPr>
          <w:sz w:val="24"/>
          <w:szCs w:val="24"/>
          <w:color w:val="auto"/>
        </w:rPr>
      </w:pPr>
    </w:p>
    <w:p>
      <w:pPr>
        <w:jc w:val="both"/>
        <w:ind w:left="120" w:right="200"/>
        <w:spacing w:after="0" w:line="246" w:lineRule="auto"/>
        <w:rPr>
          <w:sz w:val="20"/>
          <w:szCs w:val="20"/>
          <w:color w:val="auto"/>
        </w:rPr>
      </w:pPr>
      <w:r>
        <w:rPr>
          <w:rFonts w:ascii="Times New Roman" w:cs="Times New Roman" w:eastAsia="Times New Roman" w:hAnsi="Times New Roman"/>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45085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88265</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38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preliminary prospectus is not complete and may be changed. These securities may not be sold until the registration statement filed with the Securities and Exchange Commission is effective. This preliminary prospectus is not an offer to sell, and it is not soliciting an offer to buy, these securities in any jurisdiction where the offer or sale is not permitted.</w:t>
      </w:r>
    </w:p>
    <w:p>
      <w:pPr>
        <w:spacing w:after="0" w:line="1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FF4338"/>
        </w:rPr>
        <w:t>Subject to Completion, dated May 28, 2024</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P10, Inc.</w:t>
      </w:r>
    </w:p>
    <w:p>
      <w:pPr>
        <w:spacing w:after="0" w:line="2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Up to 56,420,007</w:t>
      </w:r>
    </w:p>
    <w:p>
      <w:pPr>
        <w:spacing w:after="0" w:line="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Shares of</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by Selling</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Stockholders</w:t>
      </w:r>
    </w:p>
    <w:p>
      <w:pPr>
        <w:spacing w:after="0" w:line="20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This prospectus relates to the resale from time to time by the selling stockholders named in this prospectus (the “Selling Stockholders”) of up to 56,420,007 shares of our Class A common stock, par value $0.001 per share (“Class A common stock”), which includes: (i) 4,554,488 shares of Class A common stock held directly or indirectly by certain Selling Stockholders; (ii) up to 50,667,351 shares of Class A common stock issuable upon conversion of shares of our Class B common stock, par value $0.001 per share (“Class B common stock”), held directly or indirectly by certain Selling Stockholders; (iii) up to 334,893 shares of Class A common stock issuable upon vesting and settlement of restricted stock units held directly or indirectly by certain Selling Stockholders; (iv) up to 13,089 shares of Class A common stock that were issued as shares of restricted stock to a Selling Stockholder and remain subject to vesting; and (v) up to 850,186 shares of Class A common stock issuable upon exercise of stock options held directly or indirectly by certain Selling Stockholders. We will not receive any proceeds from the sale of our securities by the Selling Stockholders.</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bear all of the registration expenses incurred in connection with the registration of these shares of Class A common stock. The Selling Stockholders will pay discounts, commissions, fees of underwriters, selling brokers or dealer managers and similar expenses, if any, incurred for the sale of these shares of Class A common stock.</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Selling Stockholders identified in this prospectus may offer the shares from time to time on terms to be determined at the time of sale through ordinary brokerage transactions or through any other means described in this prospectus under the caption “Plan of Distribution.” The shares may be sold at fixed prices, at prevailing market prices, at prices related to prevailing market prices or at negotiated prices. For more information on the Selling Stockholders, see the section entitled “</w:t>
      </w:r>
      <w:r>
        <w:rPr>
          <w:rFonts w:ascii="Times New Roman" w:cs="Times New Roman" w:eastAsia="Times New Roman" w:hAnsi="Times New Roman"/>
          <w:sz w:val="18"/>
          <w:szCs w:val="18"/>
          <w:i w:val="1"/>
          <w:iCs w:val="1"/>
          <w:color w:val="auto"/>
        </w:rPr>
        <w:t>Selling Stockholders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We may amend or supplement this prospectus from time to time by filing amendments or supplements as required. You should read the entire prospectus and any amendments or supplements carefully before you make your investment decision. Our Class A common stock is listed on the New York Stock Exchange (“NYSE”) under the symbol “PX”. On May 22, 2024, the last reported sales price of our Class A common stock was $8.22 per share. We have two classes of common stock: Class A common stock and Class B common stock. Each share of Class A common stock entitles its holder to one vote per share. Each share of Class B common stock entitles its holder to ten votes per share.</w:t>
      </w:r>
    </w:p>
    <w:p>
      <w:pPr>
        <w:spacing w:after="0" w:line="168" w:lineRule="exact"/>
        <w:rPr>
          <w:sz w:val="20"/>
          <w:szCs w:val="20"/>
          <w:color w:val="auto"/>
        </w:rPr>
      </w:pPr>
    </w:p>
    <w:p>
      <w:pPr>
        <w:ind w:left="120" w:right="540" w:firstLine="551"/>
        <w:spacing w:after="0" w:line="247"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See “</w:t>
      </w:r>
      <w:r>
        <w:rPr>
          <w:rFonts w:ascii="Times New Roman" w:cs="Times New Roman" w:eastAsia="Times New Roman" w:hAnsi="Times New Roman"/>
          <w:sz w:val="22"/>
          <w:szCs w:val="22"/>
          <w:b w:val="1"/>
          <w:bCs w:val="1"/>
          <w:i w:val="1"/>
          <w:iCs w:val="1"/>
          <w:u w:val="single" w:color="auto"/>
          <w:color w:val="0000EE"/>
        </w:rPr>
        <w:t>Risk Factors</w:t>
      </w:r>
      <w:r>
        <w:rPr>
          <w:rFonts w:ascii="Times New Roman" w:cs="Times New Roman" w:eastAsia="Times New Roman" w:hAnsi="Times New Roman"/>
          <w:sz w:val="22"/>
          <w:szCs w:val="22"/>
          <w:b w:val="1"/>
          <w:bCs w:val="1"/>
          <w:color w:val="auto"/>
        </w:rPr>
        <w:t>” beginning on page 5 of this prospectus, as well as the other information contained in or incorporated by reference in this prospectus or in any accompanying prospectus supplement before making a decision to invest in our securities.</w:t>
      </w:r>
    </w:p>
    <w:p>
      <w:pPr>
        <w:spacing w:after="0" w:line="175"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3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date of this prospectus is 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3808095</wp:posOffset>
            </wp:positionH>
            <wp:positionV relativeFrom="paragraph">
              <wp:posOffset>-5080</wp:posOffset>
            </wp:positionV>
            <wp:extent cx="9137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13765" cy="8890"/>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7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4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82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6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84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9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7700" w:type="dxa"/>
            <w:vAlign w:val="bottom"/>
            <w:gridSpan w:val="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20" w:type="dxa"/>
            <w:vAlign w:val="bottom"/>
          </w:tcPr>
          <w:p>
            <w:pPr>
              <w:spacing w:after="0"/>
              <w:rPr>
                <w:sz w:val="17"/>
                <w:szCs w:val="17"/>
                <w:color w:val="auto"/>
              </w:rPr>
            </w:pPr>
          </w:p>
        </w:tc>
        <w:tc>
          <w:tcPr>
            <w:tcW w:w="86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040" w:type="dxa"/>
            <w:vAlign w:val="bottom"/>
            <w:gridSpan w:val="6"/>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20" w:type="dxa"/>
            <w:vAlign w:val="bottom"/>
          </w:tcPr>
          <w:p>
            <w:pPr>
              <w:spacing w:after="0"/>
              <w:rPr>
                <w:sz w:val="17"/>
                <w:szCs w:val="17"/>
                <w:color w:val="auto"/>
              </w:rPr>
            </w:pPr>
          </w:p>
        </w:tc>
        <w:tc>
          <w:tcPr>
            <w:tcW w:w="86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22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400" w:type="dxa"/>
            <w:vAlign w:val="bottom"/>
            <w:gridSpan w:val="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6580" w:type="dxa"/>
            <w:vAlign w:val="bottom"/>
            <w:gridSpan w:val="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120" w:type="dxa"/>
            <w:vAlign w:val="bottom"/>
          </w:tcPr>
          <w:p>
            <w:pPr>
              <w:spacing w:after="0"/>
              <w:rPr>
                <w:sz w:val="17"/>
                <w:szCs w:val="17"/>
                <w:color w:val="auto"/>
              </w:rPr>
            </w:pPr>
          </w:p>
        </w:tc>
        <w:tc>
          <w:tcPr>
            <w:tcW w:w="86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40" w:type="dxa"/>
            <w:vAlign w:val="bottom"/>
            <w:gridSpan w:val="7"/>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120" w:type="dxa"/>
            <w:vAlign w:val="bottom"/>
          </w:tcPr>
          <w:p>
            <w:pPr>
              <w:spacing w:after="0" w:line="20" w:lineRule="exact"/>
              <w:rPr>
                <w:sz w:val="1"/>
                <w:szCs w:val="1"/>
                <w:color w:val="auto"/>
              </w:rPr>
            </w:pPr>
          </w:p>
        </w:tc>
        <w:tc>
          <w:tcPr>
            <w:tcW w:w="3800" w:type="dxa"/>
            <w:vAlign w:val="bottom"/>
            <w:gridSpan w:val="8"/>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1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344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bl>
    <w:p>
      <w:pPr>
        <w:jc w:val="right"/>
        <w:spacing w:after="0" w:line="196"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S-1 that we filed with the Securities and Exchange Commission (the “SEC”) using the “shelf” registration process. Under this shelf registration process, the Selling Stockholders (or their pledgees, donees, transferees or other successors-in-interest) may, from time to time, sell or otherwise dispose of the securities described in this prospectus in one or more offerings. We will not receive any proceeds from the sale by such Selling Stockholders of the securities offered by them described in this prospectus.</w:t>
      </w:r>
    </w:p>
    <w:p>
      <w:pPr>
        <w:spacing w:after="0" w:line="180"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shares of Class A common stock that the Selling Stockholders may sell or otherwise dispose of. You should rely only on the information provided in this prospectus, as well as the information incorporated by reference into this prospectus and any applicable prospectus supplement. If there is any inconsistency between the information in this prospectus and any prospectus supplement, you should rely on the information provided in the prospectus supplement. Neither we nor the Selling Stockholders have authorized anyone to provide you with any information or to make any representations other than those contained in this prospectus or any applicable prospectus supplement. Neither we nor the Selling Stockholders take responsibility for, and can provide no assurance as to the reliability of, any other information that others may give you. You should not assume that the information in this prospectus or any applicable prospectus supplement is accurate as of any date other than the date of the applicable document. Since the date of this prospectus and the documents incorporated by reference into this prospectus, our business, financial condition, results of operations and prospects may have changed. Neither we nor the Selling Stockholders will make an offer to sell these securities in any jurisdiction where the offer or sale is not permitted.</w:t>
      </w:r>
    </w:p>
    <w:p>
      <w:pPr>
        <w:spacing w:after="0" w:line="194"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information incorporated by reference herein or therein. For information about the distribution of securities offered, please see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 below. You should carefully read both this prospectus and any prospectus supplement, together with the additional information described in “</w:t>
      </w:r>
      <w:r>
        <w:rPr>
          <w:rFonts w:ascii="Times New Roman" w:cs="Times New Roman" w:eastAsia="Times New Roman" w:hAnsi="Times New Roman"/>
          <w:sz w:val="17"/>
          <w:szCs w:val="17"/>
          <w:i w:val="1"/>
          <w:iCs w:val="1"/>
          <w:color w:val="auto"/>
        </w:rPr>
        <w:t>Where You Can Find More Information</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Incorporation of Certain Information by Reference</w:t>
      </w:r>
      <w:r>
        <w:rPr>
          <w:rFonts w:ascii="Times New Roman" w:cs="Times New Roman" w:eastAsia="Times New Roman" w:hAnsi="Times New Roman"/>
          <w:sz w:val="17"/>
          <w:szCs w:val="17"/>
          <w:color w:val="auto"/>
        </w:rPr>
        <w:t>” before you make any investment decisions regarding the securities. You may obtain the information incorporated by reference into this prospectus without charge by following the instructions under the headings “</w:t>
      </w:r>
      <w:r>
        <w:rPr>
          <w:rFonts w:ascii="Times New Roman" w:cs="Times New Roman" w:eastAsia="Times New Roman" w:hAnsi="Times New Roman"/>
          <w:sz w:val="17"/>
          <w:szCs w:val="17"/>
          <w:i w:val="1"/>
          <w:iCs w:val="1"/>
          <w:color w:val="auto"/>
        </w:rPr>
        <w:t>Where You Can Find More Information</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Incorporation of Certain Information by Reference.</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summarizes certain documents and other information, and we refer you to them for a more complete understanding of what we discuss in this prospectus. All of the summaries are qualified in their entirety by the actual documents. In making an investment decision, you must rely on your own examination of the Company and the terms of the offering and the securities, including the merits and risks involved.</w:t>
      </w:r>
    </w:p>
    <w:p>
      <w:pPr>
        <w:spacing w:after="0" w:line="176" w:lineRule="exact"/>
        <w:rPr>
          <w:sz w:val="20"/>
          <w:szCs w:val="20"/>
          <w:color w:val="auto"/>
        </w:rPr>
      </w:pPr>
    </w:p>
    <w:p>
      <w:pPr>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We are not making any representation to any purchasers of the securities regarding the legality of an investment in the securities by such purchasers. You should not consider any information in this prospectus to be legal, business or tax advice. You should consult your own attorney, business advisor or tax advisor for legal, business and tax advice regarding an investment in the securities.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the context indicates otherwise, references in this prospectus to the “Company,” “P10,” “we,” “us,” “our” and similar terms refer to P10,</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55"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This prospectus, any prospectus supplement and any related free writing prospectus, including the information incorporated by reference herein and therein, contain or may contain forward-looking statements, which reflect our current views with respect to, among other things, future events and financial performance, our operations, strategies and expectations. The words “believe,” “may,” “will,” “estimate,” “continue,” “anticipate,” “intend,” “expect,” “plan” and similar expressions are intended to identify these forward-looking statements. Any forward-looking statements contained in this prospectus are based upon our historical performance and on our current plans, estimates and expectations. The inclusion of this or any forward-looking information should not be regarded as a representation by us or any other person that the future plans, estimates or expectations contemplated by us will be achieved. Such forward-looking statements are subject to various risks, uncertainties and assumptions, including but not limited to global and domestic market and business conditions, our successful execution of business and growth strategies and regulatory factors relevant to our business, as well as assumptions relating to our operations, financial results, financial condition, business prospects, growth strategy and liquidity. Accordingly, there are or will be important factors that could cause actual outcomes or results to differ materially from those indicated in these statements. We believe these factors include, but are not limited to, those described or incorporated by reference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These factors should not be construed as exhaustive and should be read in conjunction with the other cautionary statements that are included or incorporated by reference in this prospectus or any applicable prospectus supplement.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We undertake no obligation to publicly update or review any forward-looking statement, whether as a result of new information or future developments, except as otherwise required by law.</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59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appearing elsewhere in or incorporated by reference into this prospectus. Because it is a summary, it may not contain all of the information that may be important to you. To understand this offering fully, you should read this entire prospectus and the documents incorporated by reference herein carefully, including the information referenced under the heading “Risk Factors” and in our financial statements, together with any accompanying prospectus supplement. Unless otherwise indicated or the context otherwise requires, all references in this prospectus to “we, ““us,” “our,” the “Company,” “P10”and similar terms refer to P10, Inc. and its subsidiaries. As used in this prospectus, (i) the term “P10 Holdings” refers to P10 Holdings, Inc. for all periods and (ii) the term “P10, Inc.” refers solely to P10, Inc., a Delaware corporation, and not to any of its subsidiaries.</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120" w:firstLine="426"/>
        <w:spacing w:after="0" w:line="254" w:lineRule="auto"/>
        <w:rPr>
          <w:sz w:val="20"/>
          <w:szCs w:val="20"/>
          <w:color w:val="auto"/>
        </w:rPr>
      </w:pPr>
      <w:r>
        <w:rPr>
          <w:rFonts w:ascii="Times New Roman" w:cs="Times New Roman" w:eastAsia="Times New Roman" w:hAnsi="Times New Roman"/>
          <w:sz w:val="18"/>
          <w:szCs w:val="18"/>
          <w:color w:val="auto"/>
        </w:rPr>
        <w:t>We are a leading multi-asset class private market solutions provider in the alternative asset management industry. Our mission is to provide our investors differentiated access to a broad set of investment solutions that address their diverse investment needs within private markets. We structure, manage and monitor portfolios of private market investments, which include specialized funds and customized separate accounts within primary investment funds, secondary investments, direct investments and co-investments, (collectively, “specialized investment vehicles”) across highly attractive asset classes and geographies in the middle and lower middle markets that generate superior risk-adjusted returns. Our existing portfolio of private solutions include Private Equity, Venture Capital, Impact Investing and Private Credit. Our deep industry relationships, differentiated investment access and structure, proprietary data analytics, and our portfolio monitoring and reporting capabilities provide our investors the ability to navigate the increasingly complex and difficult to access private markets investments.</w:t>
      </w:r>
    </w:p>
    <w:p>
      <w:pPr>
        <w:spacing w:after="0" w:line="192" w:lineRule="exact"/>
        <w:rPr>
          <w:sz w:val="20"/>
          <w:szCs w:val="20"/>
          <w:color w:val="auto"/>
        </w:rPr>
      </w:pPr>
    </w:p>
    <w:p>
      <w:pPr>
        <w:ind w:left="300" w:right="200" w:firstLine="426"/>
        <w:spacing w:after="0" w:line="261" w:lineRule="auto"/>
        <w:rPr>
          <w:sz w:val="20"/>
          <w:szCs w:val="20"/>
          <w:color w:val="auto"/>
        </w:rPr>
      </w:pPr>
      <w:r>
        <w:rPr>
          <w:rFonts w:ascii="Times New Roman" w:cs="Times New Roman" w:eastAsia="Times New Roman" w:hAnsi="Times New Roman"/>
          <w:sz w:val="18"/>
          <w:szCs w:val="18"/>
          <w:color w:val="auto"/>
        </w:rPr>
        <w:t>Our revenue is composed almost entirely of recurring management and advisory fees, with the vast majority of fees earned on committed capital that is typically subject to ten to fifteen year lock up agreements. We have an attractive business model that is underpinned by highly recurring, diversified management and advisory fee revenues, and strong free cash flow. The nature of our solutions and the integral role that our solutions play in our investors’ investment decisions have translated into high revenue visibility and investor retention.</w:t>
      </w:r>
    </w:p>
    <w:p>
      <w:pPr>
        <w:spacing w:after="0" w:line="180" w:lineRule="exact"/>
        <w:rPr>
          <w:sz w:val="20"/>
          <w:szCs w:val="20"/>
          <w:color w:val="auto"/>
        </w:rPr>
      </w:pPr>
    </w:p>
    <w:p>
      <w:pPr>
        <w:ind w:left="300" w:right="20" w:firstLine="426"/>
        <w:spacing w:after="0" w:line="253" w:lineRule="auto"/>
        <w:rPr>
          <w:sz w:val="20"/>
          <w:szCs w:val="20"/>
          <w:color w:val="auto"/>
        </w:rPr>
      </w:pPr>
      <w:r>
        <w:rPr>
          <w:rFonts w:ascii="Times New Roman" w:cs="Times New Roman" w:eastAsia="Times New Roman" w:hAnsi="Times New Roman"/>
          <w:sz w:val="18"/>
          <w:szCs w:val="18"/>
          <w:color w:val="auto"/>
        </w:rPr>
        <w:t xml:space="preserve">We are differentiated by the scale, depth, diversity and investment performance of our solutions, which are bolstered by the investment expertise of our investment team, our long-standing access to leading fund managers, our robust and constantly expanding data capabilities and our disciplined investment process. We market our solutions under well-established brands within the specialized markets in which we operate. These include RCP Advisors 2, LLC (“RCP 2”) and RCP Advisors 3, LLC (“RCP3”, and collectively with RCP 2, “RCP Advisors”), Bonaccord Capital Advisors LLC, and P10 Advisors, LLC, our </w:t>
      </w:r>
      <w:r>
        <w:rPr>
          <w:rFonts w:ascii="Times New Roman" w:cs="Times New Roman" w:eastAsia="Times New Roman" w:hAnsi="Times New Roman"/>
          <w:sz w:val="18"/>
          <w:szCs w:val="18"/>
          <w:i w:val="1"/>
          <w:iCs w:val="1"/>
          <w:color w:val="auto"/>
        </w:rPr>
        <w:t>Private Equity</w:t>
      </w:r>
      <w:r>
        <w:rPr>
          <w:rFonts w:ascii="Times New Roman" w:cs="Times New Roman" w:eastAsia="Times New Roman" w:hAnsi="Times New Roman"/>
          <w:sz w:val="18"/>
          <w:szCs w:val="18"/>
          <w:color w:val="auto"/>
        </w:rPr>
        <w:t xml:space="preserve"> solutions; TrueBridge Capital Partners LLC (“TrueBridge”), our </w:t>
      </w:r>
      <w:r>
        <w:rPr>
          <w:rFonts w:ascii="Times New Roman" w:cs="Times New Roman" w:eastAsia="Times New Roman" w:hAnsi="Times New Roman"/>
          <w:sz w:val="18"/>
          <w:szCs w:val="18"/>
          <w:i w:val="1"/>
          <w:iCs w:val="1"/>
          <w:color w:val="auto"/>
        </w:rPr>
        <w:t>Venture Capital</w:t>
      </w:r>
      <w:r>
        <w:rPr>
          <w:rFonts w:ascii="Times New Roman" w:cs="Times New Roman" w:eastAsia="Times New Roman" w:hAnsi="Times New Roman"/>
          <w:sz w:val="18"/>
          <w:szCs w:val="18"/>
          <w:color w:val="auto"/>
        </w:rPr>
        <w:t xml:space="preserve"> solution; Enhanced Capital Group, LLC (“Enhanced”), our </w:t>
      </w:r>
      <w:r>
        <w:rPr>
          <w:rFonts w:ascii="Times New Roman" w:cs="Times New Roman" w:eastAsia="Times New Roman" w:hAnsi="Times New Roman"/>
          <w:sz w:val="18"/>
          <w:szCs w:val="18"/>
          <w:i w:val="1"/>
          <w:iCs w:val="1"/>
          <w:color w:val="auto"/>
        </w:rPr>
        <w:t>Impact Investing</w:t>
      </w:r>
      <w:r>
        <w:rPr>
          <w:rFonts w:ascii="Times New Roman" w:cs="Times New Roman" w:eastAsia="Times New Roman" w:hAnsi="Times New Roman"/>
          <w:sz w:val="18"/>
          <w:szCs w:val="18"/>
          <w:color w:val="auto"/>
        </w:rPr>
        <w:t xml:space="preserve"> solution; and Five Points Capital, Inc. (“Five Points”), Hark Capital Advisors, LLC, and Westech Investment Advisors LLC (“WTI”), our </w:t>
      </w:r>
      <w:r>
        <w:rPr>
          <w:rFonts w:ascii="Times New Roman" w:cs="Times New Roman" w:eastAsia="Times New Roman" w:hAnsi="Times New Roman"/>
          <w:sz w:val="18"/>
          <w:szCs w:val="18"/>
          <w:i w:val="1"/>
          <w:iCs w:val="1"/>
          <w:color w:val="auto"/>
        </w:rPr>
        <w:t>Private Credit</w:t>
      </w:r>
      <w:r>
        <w:rPr>
          <w:rFonts w:ascii="Times New Roman" w:cs="Times New Roman" w:eastAsia="Times New Roman" w:hAnsi="Times New Roman"/>
          <w:sz w:val="18"/>
          <w:szCs w:val="18"/>
          <w:color w:val="auto"/>
        </w:rPr>
        <w:t xml:space="preserve"> solutions (which Five Points also offers certain private equity solutions). We believe adding new asset class solutions will foster deeper manager relationships, enabling managers and portfolio companies alike to benefit from our offering and expect to expand within other asset classes and geographies through additional acquisitions and future planned organic growth by providing additional specialized investment vehicles within our existing investment asset class solutions. As of the date of this prospectus, we are pursuing additional acquisitions and are in discussions with certain target companies, however the Company does not currently have any agreements or commitments with respect to any acquisitions.</w:t>
      </w:r>
    </w:p>
    <w:p>
      <w:pPr>
        <w:spacing w:after="0" w:line="190" w:lineRule="exact"/>
        <w:rPr>
          <w:sz w:val="20"/>
          <w:szCs w:val="20"/>
          <w:color w:val="auto"/>
        </w:rPr>
      </w:pPr>
    </w:p>
    <w:p>
      <w:pPr>
        <w:ind w:left="300" w:right="200" w:firstLine="426"/>
        <w:spacing w:after="0" w:line="282" w:lineRule="auto"/>
        <w:rPr>
          <w:sz w:val="20"/>
          <w:szCs w:val="20"/>
          <w:color w:val="auto"/>
        </w:rPr>
      </w:pPr>
      <w:r>
        <w:rPr>
          <w:rFonts w:ascii="Times New Roman" w:cs="Times New Roman" w:eastAsia="Times New Roman" w:hAnsi="Times New Roman"/>
          <w:sz w:val="18"/>
          <w:szCs w:val="18"/>
          <w:color w:val="auto"/>
        </w:rPr>
        <w:t>Our success and growth have been driven by our long history of strong performance and our position in the private markets ecosystem. We believe our growing scale in the middle and lower-middle market provides us a</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320" w:top="455" w:right="6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104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1047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spacing w:after="0" w:line="273" w:lineRule="auto"/>
        <w:rPr>
          <w:sz w:val="20"/>
          <w:szCs w:val="20"/>
          <w:color w:val="auto"/>
        </w:rPr>
      </w:pPr>
      <w:r>
        <w:rPr>
          <w:rFonts w:ascii="Times New Roman" w:cs="Times New Roman" w:eastAsia="Times New Roman" w:hAnsi="Times New Roman"/>
          <w:sz w:val="17"/>
          <w:szCs w:val="17"/>
          <w:color w:val="auto"/>
        </w:rPr>
        <w:t>competitive advantage with investors and fund managers. In addition, our senior investment professionals have developed strong and long-tenured relationships with leading middle and lower middle market private equity and venture capital firms, which we believe provides us with differentiated access to the relationship-driven middle and lower-middle market private equity and venture capital sectors. As we expand our offerings, our investors entrust us with additional capital, which strengthens our relationships with our fund managers, drives additional investment opportunities, sources more data, enables portfolio optimization and enhances returns, and in turn attracts new investors. We believe this powerful feedback process will continue to strengthen our position within the private markets ecosystem. In addition, our multi-asset class solutions are highly synergistic, and coupled with our vast network of general partners and portfolio companies, drive cross-solution sourcing opportunities.</w:t>
      </w:r>
    </w:p>
    <w:p>
      <w:pPr>
        <w:spacing w:after="0" w:line="171"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Our global investor base includes some of the world’s largest institutional investors, including pension funds, endowments, foundations, corporate pensions and financial institutions. In addition, we have a strong footprint within some of the most prominent family offices and high net worth individuals. We have a significant presence within the middle and lower middle-market private markets industry in North America, where the majority of our capital is currently being deployed as we leverage our differentiated solutions to serve our global investors.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80" w:firstLine="426"/>
        <w:spacing w:after="0" w:line="272" w:lineRule="auto"/>
        <w:rPr>
          <w:sz w:val="20"/>
          <w:szCs w:val="20"/>
          <w:color w:val="auto"/>
        </w:rPr>
      </w:pPr>
      <w:r>
        <w:rPr>
          <w:rFonts w:ascii="Times New Roman" w:cs="Times New Roman" w:eastAsia="Times New Roman" w:hAnsi="Times New Roman"/>
          <w:sz w:val="17"/>
          <w:szCs w:val="17"/>
          <w:color w:val="auto"/>
        </w:rPr>
        <w:t>P10, Inc. was incorporated in Delaware on January 20, 2021 as a wholly owned subsidiary of P10 Holdings, Inc. P10, Inc. became the sole stockholder of P10 Holdings, Inc. pursuant to a corporate reorganization effected by the Company in connection with its initial public offering (the “P10 Reorganization”). Our principal executive office is located at 4514 Cole Avenue, Suite 1600, Dallas, Texas 75205, and our phone number is</w:t>
      </w:r>
    </w:p>
    <w:p>
      <w:pPr>
        <w:spacing w:after="0" w:line="2" w:lineRule="exact"/>
        <w:rPr>
          <w:sz w:val="20"/>
          <w:szCs w:val="20"/>
          <w:color w:val="auto"/>
        </w:rPr>
      </w:pPr>
    </w:p>
    <w:p>
      <w:pPr>
        <w:ind w:left="300" w:right="20" w:hanging="2"/>
        <w:spacing w:after="0" w:line="260" w:lineRule="auto"/>
        <w:tabs>
          <w:tab w:leader="none" w:pos="7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865-7998. Our website is www.p10alts.com. Information contained on or accessible through our website is not incorporated by reference into this prospectus and should not be considered a part of this prospectus.</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Securities That May Be Offered</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300" w:right="320" w:firstLine="426"/>
        <w:spacing w:after="0" w:line="282" w:lineRule="auto"/>
        <w:rPr>
          <w:sz w:val="20"/>
          <w:szCs w:val="20"/>
          <w:color w:val="auto"/>
        </w:rPr>
      </w:pPr>
      <w:r>
        <w:rPr>
          <w:rFonts w:ascii="Times New Roman" w:cs="Times New Roman" w:eastAsia="Times New Roman" w:hAnsi="Times New Roman"/>
          <w:sz w:val="18"/>
          <w:szCs w:val="18"/>
          <w:color w:val="auto"/>
        </w:rPr>
        <w:t>The Selling Stockholders may offer or sell up to an aggregate of 56,420,007 Class A common stock in one or more offerings. We will not receive any proceeds from any such sale by the selling stockholders.</w:t>
      </w:r>
    </w:p>
    <w:p>
      <w:pPr>
        <w:spacing w:after="0" w:line="162"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The securities may be sold to or through underwriters, dealers or agents or directly to purchasers or as otherwise set forth in the section of this prospectus captioned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or in any applicable prospectus supplement.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80" w:lineRule="exact"/>
        <w:rPr>
          <w:sz w:val="20"/>
          <w:szCs w:val="20"/>
          <w:color w:val="auto"/>
        </w:rPr>
      </w:pPr>
    </w:p>
    <w:p>
      <w:pPr>
        <w:jc w:val="both"/>
        <w:ind w:left="300" w:right="240" w:firstLine="426"/>
        <w:spacing w:after="0" w:line="266" w:lineRule="auto"/>
        <w:rPr>
          <w:sz w:val="20"/>
          <w:szCs w:val="20"/>
          <w:color w:val="auto"/>
        </w:rPr>
      </w:pPr>
      <w:r>
        <w:rPr>
          <w:rFonts w:ascii="Times New Roman" w:cs="Times New Roman" w:eastAsia="Times New Roman" w:hAnsi="Times New Roman"/>
          <w:sz w:val="18"/>
          <w:szCs w:val="18"/>
          <w:color w:val="auto"/>
        </w:rPr>
        <w:t>Holders of our Class A common stock are entitled to receive dividends declared by our board of directors out of funds legally available for the payment of dividends, subject to rights, if any, of preferred stockholders. Each holder of common stock is entitled to one vote per share. The holders of common stock have no preemptive rights.</w:t>
      </w:r>
    </w:p>
    <w:p>
      <w:pPr>
        <w:spacing w:after="0" w:line="2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risks. You should carefully consider the risks, uncertainties and other factors described in our most recent Annual Report on Form 10-K, as supplemented and updated by subsequent Quarterly Reports on Form 10-Q and Current Reports on Form 8-K that we have filed or will file with the SEC, and in other documents which are incorporated by reference into this prospectus, including all future filings we make with the SEC pursuant to Sections 13(a), 13(c), 14 or 15(d) of the Securities Exchange Act of 1934, as amended (the “Exchange Act”), as well as the risk factors and other information contained in or incorporated by reference into any accompanying prospectus supplement before investing in any of our securities. Our financial condition, results of operations or cash flows could be materially adversely affected by any of these risks. The risks and uncertainties described in the documents incorporated by reference herein are not the only risks and uncertainties that you may face.</w:t>
      </w:r>
    </w:p>
    <w:p>
      <w:pPr>
        <w:spacing w:after="0" w:line="187" w:lineRule="exact"/>
        <w:rPr>
          <w:sz w:val="20"/>
          <w:szCs w:val="20"/>
          <w:color w:val="auto"/>
        </w:rPr>
      </w:pPr>
    </w:p>
    <w:p>
      <w:pPr>
        <w:ind w:left="120" w:right="200" w:firstLine="440"/>
        <w:spacing w:after="0" w:line="284" w:lineRule="auto"/>
        <w:rPr>
          <w:sz w:val="20"/>
          <w:szCs w:val="20"/>
          <w:color w:val="auto"/>
        </w:rPr>
      </w:pPr>
      <w:r>
        <w:rPr>
          <w:rFonts w:ascii="Times New Roman" w:cs="Times New Roman" w:eastAsia="Times New Roman" w:hAnsi="Times New Roman"/>
          <w:sz w:val="18"/>
          <w:szCs w:val="18"/>
          <w:color w:val="auto"/>
        </w:rPr>
        <w:t>For more information about our SEC filings, please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Reference</w:t>
      </w:r>
      <w:r>
        <w:rPr>
          <w:rFonts w:ascii="Times New Roman" w:cs="Times New Roman" w:eastAsia="Times New Roman" w:hAnsi="Times New Roman"/>
          <w:sz w:val="18"/>
          <w:szCs w:val="18"/>
          <w:color w:val="auto"/>
        </w:rPr>
        <w:t>.”</w:t>
      </w:r>
    </w:p>
    <w:p>
      <w:pPr>
        <w:spacing w:after="0" w:line="3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All shares of Class A common stock offered by this prospectus are being registered for resale by the Selling Stockholders. We will not receive any of the proceeds from the sale of these securities. The Selling Stockholders will bear all commissions and discounts, if any, attributable to the resale of the shares of Class A common stock.</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Selling Stockholders named below may resell from time to time up to 56,420,007 shares of the Class A common stock, including up to (i) 50,667,351 shares of Class A common stock that may be issued upon the conversion of Class B common stock, (ii) 334,893 shares of Class A common stock that may be issued upon the settlement of outstanding restricted stock units, (iii) 850,186 shares of Class A Common stock that may be issued upon the exercise of outstanding stock options, and (iv) 13,089 shares of Class A Common Stock that may be issued upon the vesting of restricted stock. All shares of Class B common stock identified or otherwise described below were originally issued by the Company through certain transactions undertaken as part of the P10 Reorganization, with such shares of Class B common stock being issued in exchange for certain equity interests in a predecessor or affiliate of the Company, as applicable, that were acquired by such holders in a private placement prior to the initial public offering.</w:t>
      </w:r>
    </w:p>
    <w:p>
      <w:pPr>
        <w:spacing w:after="0" w:line="18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following table shows information as of the date hereof regarding (i) the number of shares of Class A common stock held of record or beneficially by the Selling Stockholders as of such date (as determined below) (including the number of shares of Class A common stock that may be issued upon the conversion of Class B common stock, settlement of outstanding restricted stock units, or exercise of outstanding stock options and the number shares of restricted Class A common stock that are subject to vesting) and (ii) the number of shares that may be offered under this prospectus by the Selling Stockholders. The beneficial ownership of the issued and issuable shares of Class A common stock set forth in the following table is determined in accordance with Rule 13d-3 under the Exchange Act, and the information is not necessarily indicative of beneficial ownership for any other purpose.</w:t>
      </w:r>
    </w:p>
    <w:p>
      <w:pPr>
        <w:spacing w:after="0" w:line="18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percentage of shares owned prior to completion of the offering is based on 54,673,874 shares of Class A common stock outstanding as of May 6, 2024.</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color w:val="auto"/>
              </w:rPr>
              <w:t>Shares of Class A</w:t>
            </w: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Shares of Class A</w:t>
            </w:r>
          </w:p>
        </w:tc>
        <w:tc>
          <w:tcPr>
            <w:tcW w:w="18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color w:val="auto"/>
              </w:rPr>
              <w:t>Shares of Class A</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gridSpan w:val="4"/>
          </w:tcPr>
          <w:p>
            <w:pPr>
              <w:jc w:val="center"/>
              <w:ind w:right="48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180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gridSpan w:val="4"/>
          </w:tcPr>
          <w:p>
            <w:pPr>
              <w:jc w:val="center"/>
              <w:ind w:right="460"/>
              <w:spacing w:after="0" w:line="149" w:lineRule="exact"/>
              <w:rPr>
                <w:sz w:val="20"/>
                <w:szCs w:val="20"/>
                <w:color w:val="auto"/>
              </w:rPr>
            </w:pPr>
            <w:r>
              <w:rPr>
                <w:rFonts w:ascii="Times New Roman" w:cs="Times New Roman" w:eastAsia="Times New Roman" w:hAnsi="Times New Roman"/>
                <w:sz w:val="14"/>
                <w:szCs w:val="14"/>
                <w:color w:val="auto"/>
              </w:rPr>
              <w:t>beneficially owned before</w:t>
            </w: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offered pursuant</w:t>
            </w:r>
          </w:p>
        </w:tc>
        <w:tc>
          <w:tcPr>
            <w:tcW w:w="180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beneficially owned</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color w:val="auto"/>
              </w:rPr>
              <w:t>this offering</w:t>
            </w: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to this prospectus</w:t>
            </w:r>
          </w:p>
        </w:tc>
        <w:tc>
          <w:tcPr>
            <w:tcW w:w="18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color w:val="auto"/>
              </w:rPr>
              <w:t>after this offering</w:t>
            </w:r>
          </w:p>
        </w:tc>
        <w:tc>
          <w:tcPr>
            <w:tcW w:w="0" w:type="dxa"/>
            <w:vAlign w:val="bottom"/>
          </w:tcPr>
          <w:p>
            <w:pPr>
              <w:spacing w:after="0"/>
              <w:rPr>
                <w:sz w:val="1"/>
                <w:szCs w:val="1"/>
                <w:color w:val="auto"/>
              </w:rPr>
            </w:pPr>
          </w:p>
        </w:tc>
      </w:tr>
      <w:tr>
        <w:trPr>
          <w:trHeight w:val="119"/>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 of Selling Stockholder</w:t>
            </w:r>
          </w:p>
        </w:tc>
        <w:tc>
          <w:tcPr>
            <w:tcW w:w="220" w:type="dxa"/>
            <w:vAlign w:val="bottom"/>
          </w:tcPr>
          <w:p>
            <w:pPr>
              <w:spacing w:after="0"/>
              <w:rPr>
                <w:sz w:val="10"/>
                <w:szCs w:val="10"/>
                <w:color w:val="auto"/>
              </w:rPr>
            </w:pPr>
          </w:p>
        </w:tc>
        <w:tc>
          <w:tcPr>
            <w:tcW w:w="1180" w:type="dxa"/>
            <w:vAlign w:val="bottom"/>
            <w:tcBorders>
              <w:top w:val="single" w:sz="8" w:color="auto"/>
            </w:tcBorders>
            <w:gridSpan w:val="2"/>
          </w:tcPr>
          <w:p>
            <w:pPr>
              <w:ind w:left="100"/>
              <w:spacing w:after="0" w:line="119" w:lineRule="exact"/>
              <w:rPr>
                <w:sz w:val="20"/>
                <w:szCs w:val="20"/>
                <w:color w:val="auto"/>
              </w:rPr>
            </w:pPr>
            <w:r>
              <w:rPr>
                <w:rFonts w:ascii="Times New Roman" w:cs="Times New Roman" w:eastAsia="Times New Roman" w:hAnsi="Times New Roman"/>
                <w:sz w:val="13"/>
                <w:szCs w:val="13"/>
                <w:color w:val="auto"/>
              </w:rPr>
              <w:t>Number of</w:t>
            </w:r>
          </w:p>
        </w:tc>
        <w:tc>
          <w:tcPr>
            <w:tcW w:w="6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Percentage</w:t>
            </w:r>
          </w:p>
        </w:tc>
        <w:tc>
          <w:tcPr>
            <w:tcW w:w="460" w:type="dxa"/>
            <w:vAlign w:val="bottom"/>
          </w:tcPr>
          <w:p>
            <w:pPr>
              <w:spacing w:after="0"/>
              <w:rPr>
                <w:sz w:val="10"/>
                <w:szCs w:val="10"/>
                <w:color w:val="auto"/>
              </w:rPr>
            </w:pPr>
          </w:p>
        </w:tc>
        <w:tc>
          <w:tcPr>
            <w:tcW w:w="104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Number of</w:t>
            </w:r>
          </w:p>
        </w:tc>
        <w:tc>
          <w:tcPr>
            <w:tcW w:w="320" w:type="dxa"/>
            <w:vAlign w:val="bottom"/>
          </w:tcPr>
          <w:p>
            <w:pPr>
              <w:spacing w:after="0"/>
              <w:rPr>
                <w:sz w:val="10"/>
                <w:szCs w:val="10"/>
                <w:color w:val="auto"/>
              </w:rPr>
            </w:pPr>
          </w:p>
        </w:tc>
        <w:tc>
          <w:tcPr>
            <w:tcW w:w="960" w:type="dxa"/>
            <w:vAlign w:val="bottom"/>
            <w:tcBorders>
              <w:top w:val="single" w:sz="8" w:color="auto"/>
            </w:tcBorders>
            <w:gridSpan w:val="2"/>
          </w:tcPr>
          <w:p>
            <w:pPr>
              <w:jc w:val="right"/>
              <w:ind w:right="340"/>
              <w:spacing w:after="0" w:line="119" w:lineRule="exact"/>
              <w:rPr>
                <w:sz w:val="20"/>
                <w:szCs w:val="20"/>
                <w:color w:val="auto"/>
              </w:rPr>
            </w:pPr>
            <w:r>
              <w:rPr>
                <w:rFonts w:ascii="Times New Roman" w:cs="Times New Roman" w:eastAsia="Times New Roman" w:hAnsi="Times New Roman"/>
                <w:sz w:val="13"/>
                <w:szCs w:val="13"/>
                <w:color w:val="auto"/>
              </w:rPr>
              <w:t>Number of</w:t>
            </w:r>
          </w:p>
        </w:tc>
        <w:tc>
          <w:tcPr>
            <w:tcW w:w="6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Percentage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36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4"/>
                <w:szCs w:val="14"/>
                <w:color w:val="auto"/>
              </w:rPr>
              <w:t>shares</w:t>
            </w:r>
          </w:p>
        </w:tc>
        <w:tc>
          <w:tcPr>
            <w:tcW w:w="3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of shares</w:t>
            </w:r>
          </w:p>
        </w:tc>
        <w:tc>
          <w:tcPr>
            <w:tcW w:w="4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shares</w:t>
            </w:r>
          </w:p>
        </w:tc>
        <w:tc>
          <w:tcPr>
            <w:tcW w:w="3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color w:val="auto"/>
              </w:rPr>
              <w:t>shares</w:t>
            </w:r>
          </w:p>
        </w:tc>
        <w:tc>
          <w:tcPr>
            <w:tcW w:w="3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 shares</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Alpert (1)(2)</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769,996</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769,996</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 Clark Webb (1)(3)</w:t>
            </w:r>
          </w:p>
        </w:tc>
        <w:tc>
          <w:tcPr>
            <w:tcW w:w="14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1,083,383</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1.95%</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1,083,383</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210/P10 Acquisition Partners LLC (1)(4)</w:t>
            </w:r>
          </w:p>
        </w:tc>
        <w:tc>
          <w:tcPr>
            <w:tcW w:w="14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13,167,397</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20.46%</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13,167,397</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Scott L. Gwilliam (5)</w:t>
            </w:r>
          </w:p>
        </w:tc>
        <w:tc>
          <w:tcPr>
            <w:tcW w:w="14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325,448</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325,448</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Gwilliam Family Investments LLC (6)</w:t>
            </w:r>
          </w:p>
        </w:tc>
        <w:tc>
          <w:tcPr>
            <w:tcW w:w="14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530,953</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530,953</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TrueBridge Colonial Fund, u/a dated 11/15/2015 (7)</w:t>
            </w:r>
          </w:p>
        </w:tc>
        <w:tc>
          <w:tcPr>
            <w:tcW w:w="14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8,694,409</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13.72%</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8,694,409</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TrueBridge Ascent LLC (8)</w:t>
            </w:r>
          </w:p>
        </w:tc>
        <w:tc>
          <w:tcPr>
            <w:tcW w:w="14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155,175</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155,175</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198"/>
        </w:trPr>
        <w:tc>
          <w:tcPr>
            <w:tcW w:w="5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Alliance Trust Company, Trustee of The Mel Williams Irrevocable Trust</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u/a/d August 12, 2015 (9)</w:t>
            </w:r>
          </w:p>
        </w:tc>
        <w:tc>
          <w:tcPr>
            <w:tcW w:w="14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8,589,713</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13.58%</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8,589,713</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MAW Management Co. (10)</w:t>
            </w:r>
          </w:p>
        </w:tc>
        <w:tc>
          <w:tcPr>
            <w:tcW w:w="14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104,698</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104,698</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198"/>
        </w:trPr>
        <w:tc>
          <w:tcPr>
            <w:tcW w:w="5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Charles K. Huebner as Trustee of the Charles K. Huebner Trust dated</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January 16, 2001 (11)</w:t>
            </w:r>
          </w:p>
        </w:tc>
        <w:tc>
          <w:tcPr>
            <w:tcW w:w="14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4,261,939</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7.23%</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4,261,939</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Souder Family LLC (12)</w:t>
            </w:r>
          </w:p>
        </w:tc>
        <w:tc>
          <w:tcPr>
            <w:tcW w:w="14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4,261,939</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7.23%</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4,261,939</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198"/>
        </w:trPr>
        <w:tc>
          <w:tcPr>
            <w:tcW w:w="5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Jon I. Madorsky as Trustee of the Jon I. Madorsky Revocable Trust dated</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1, 2008 (13)</w:t>
            </w:r>
          </w:p>
        </w:tc>
        <w:tc>
          <w:tcPr>
            <w:tcW w:w="14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3,896,939</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6.65%</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3,896,939</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198"/>
        </w:trPr>
        <w:tc>
          <w:tcPr>
            <w:tcW w:w="5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Thomas P. Danis, Jr., as Trustee of the Thomas P. Danis, Jr. Revocable</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Living Trust dated March 10, 2003, as amended (14)</w:t>
            </w:r>
          </w:p>
        </w:tc>
        <w:tc>
          <w:tcPr>
            <w:tcW w:w="14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4,261,939</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7.23%</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4,261,939</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Nell Blatherwick (15)</w:t>
            </w:r>
          </w:p>
        </w:tc>
        <w:tc>
          <w:tcPr>
            <w:tcW w:w="14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1,011,307</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1.82%</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1,011,307</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Nelson and Laurie Nelson JTTEN (16)</w:t>
            </w:r>
          </w:p>
        </w:tc>
        <w:tc>
          <w:tcPr>
            <w:tcW w:w="14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971,307</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1.75%</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971,307</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Alexander Abell (17)</w:t>
            </w:r>
          </w:p>
        </w:tc>
        <w:tc>
          <w:tcPr>
            <w:tcW w:w="14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914,993</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1.65%</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914,993</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Feinglass (18)</w:t>
            </w:r>
          </w:p>
        </w:tc>
        <w:tc>
          <w:tcPr>
            <w:tcW w:w="14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601,259</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1.09%</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601,259</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David McCoy (19)</w:t>
            </w:r>
          </w:p>
        </w:tc>
        <w:tc>
          <w:tcPr>
            <w:tcW w:w="14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2,817,213</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2,817,213</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346"/>
        </w:trPr>
        <w:tc>
          <w:tcPr>
            <w:tcW w:w="53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 (1%)</w:t>
      </w:r>
    </w:p>
    <w:p>
      <w:pPr>
        <w:spacing w:after="0" w:line="27" w:lineRule="exact"/>
        <w:rPr>
          <w:sz w:val="20"/>
          <w:szCs w:val="20"/>
          <w:color w:val="auto"/>
        </w:rPr>
      </w:pPr>
    </w:p>
    <w:p>
      <w:pPr>
        <w:ind w:left="540" w:hanging="424"/>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principal office of this Selling Stockholder is 4514 Cole Avenue, Suite 1600 Dallas, Texas 75205.</w:t>
      </w:r>
    </w:p>
    <w:p>
      <w:pPr>
        <w:spacing w:after="0" w:line="9" w:lineRule="exact"/>
        <w:rPr>
          <w:rFonts w:ascii="Times New Roman" w:cs="Times New Roman" w:eastAsia="Times New Roman" w:hAnsi="Times New Roman"/>
          <w:sz w:val="18"/>
          <w:szCs w:val="18"/>
          <w:color w:val="auto"/>
        </w:rPr>
      </w:pPr>
    </w:p>
    <w:p>
      <w:pPr>
        <w:ind w:left="540" w:right="160" w:hanging="424"/>
        <w:spacing w:after="0" w:line="250"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shares set forth above includes: (i) 334,150 shares of Class A common stock held directly by Robert Alpert; (ii) 10,753 shares of Class A common stock issuable upon vesting of restricted stock units issued to Mr. Alpert; and (iii) 425,093 shares of Class A common stock issuable upon exercise of certain stock options granted to Mr. Alpert. As of the date of this prospectus, Mr. Alpert serves as the Executive Chairman of the Company. Prior to his appointment as Executive Chairman in October 2023, Mr. Alpert had served as the Co-Chief Executive Officer of the Company since 2017. In addition, Mr. Alpert currently serves as a member of the board of directors of the Company, a position he has held since 2017.</w:t>
      </w:r>
    </w:p>
    <w:p>
      <w:pPr>
        <w:spacing w:after="0" w:line="2"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shares set forth above includes: (i) 334,150 shares of Class A common stock held directly by C. Clark Webb; (ii) 324,140 shares of Class A common stock issuable upon vesting restricted stock units issued to Mr. Webb; and (iii) 425,093 shares of Class A common stock issuable upon exercise of certain stock options granted to Mr. Webb. As of the date of this prospectus, Mr. Webb serves as the Executive Vice Chairman of the Company. Prior to his appointment as Executive Vice Chairman in October 2023, Mr. Webb had served as the Co-Chief Executive Officer of the Company since 2017. In addition, Mr. Webb currently serves as a member of the board of directors of the Company, a position he has held since 2017.</w:t>
      </w:r>
    </w:p>
    <w:p>
      <w:pPr>
        <w:spacing w:after="0" w:line="2"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shares set forth above consists of 3,500,000 shares of Class A common stock and 9,667,397 shares of Class A common stock that are issuable upon the conversion of the same number of shares of Class B common stock that are beneficially owned directly or indirectly by 210/P10 Acquisition Partners LLC, 210 Capital, LLC, Covenant RHA Partners, L.P., CCW/LAW Holdings, LLC, RHA Investments, Inc., Robert Alpert, and C. Clark Webb (collectively, the “210 Group Holders”). As of the date of this prospectus, these shares of Class B common stock are owned directly by 210/P10 Acquisition Partners LLC, which may be deemed to be controlled indirectly by Mr. Alpert and Mr. Webb through their respective control of the other members of the 210 Group Holders. Certain 210 Group Holders are party to a controlled company agreement, dated October 20, 2021, as amended, with the Company and other parties named therein, which provides that the Company must include in its slate of nominees two directors designated by the 210 Group Holders so long as they continue to hold at least 10% of the outstanding shares (or one director designated by the 210 Group Holders if they hold less than 10% but at least 5% of the outstanding shares). Mr. Alpert and Mr. Webb have served as the two directors that have been designated by the 210 Group Holders pursuant to the controlled company agreement. 210/P10 Acquisition Partners LLC acquired its shares in connection with the P10 Reorganization.</w:t>
      </w:r>
    </w:p>
    <w:p>
      <w:pPr>
        <w:spacing w:after="0" w:line="4"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shares set forth above includes: (i) 12,126 shares of Class A common stock held directly by Scott L. Gwilliam; (ii)</w:t>
      </w:r>
    </w:p>
    <w:p>
      <w:pPr>
        <w:spacing w:after="0" w:line="9" w:lineRule="exact"/>
        <w:rPr>
          <w:rFonts w:ascii="Times New Roman" w:cs="Times New Roman" w:eastAsia="Times New Roman" w:hAnsi="Times New Roman"/>
          <w:sz w:val="18"/>
          <w:szCs w:val="18"/>
          <w:color w:val="auto"/>
        </w:rPr>
      </w:pPr>
    </w:p>
    <w:p>
      <w:pPr>
        <w:ind w:left="5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13,089 shares of restricted Class A common stock that remain subject to vesting and were issued to Mr. Gwilliam in consideration for his services as a director of the Company; and (iii) 300,233 shares of Class A common stock that are issuable upon the conversion of the same number of shares of Class B common stock that are held directly by Mr. Gwilliam. Mr. Gwilliam currently serves as a director on the board of directors of the Company, and has served in this position since October 2021. The address for this Selling Stockholder is c/o Keystone Capital, 155 N Wacker, Suite 4150, Chicago, IL 60606.</w:t>
      </w:r>
    </w:p>
    <w:p>
      <w:pPr>
        <w:spacing w:after="0" w:line="1" w:lineRule="exact"/>
        <w:rPr>
          <w:rFonts w:ascii="Times New Roman" w:cs="Times New Roman" w:eastAsia="Times New Roman" w:hAnsi="Times New Roman"/>
          <w:sz w:val="18"/>
          <w:szCs w:val="18"/>
          <w:color w:val="auto"/>
        </w:rPr>
      </w:pPr>
    </w:p>
    <w:p>
      <w:pPr>
        <w:ind w:left="540" w:right="180" w:hanging="424"/>
        <w:spacing w:after="0" w:line="250"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shares set forth above includes: (i) 200,000 shares of Class A common stock held directly by Gwilliam Family Investments LLC, which acquired these shares upon the conversion of the same number of shares of Class B common stock; and (ii) 330,953 shares that are issuable upon the conversion of the same number of shares of Class B common stock that are held directly by Gwilliam Family Investments LLC. The foregoing shares of Class B common stock were acquired by Gwilliam Family Investments LLC from a distribution of shares of Class B common stock by an affiliate of Keystone Capital, which had received such shares in connection with the P10 Reorganization. Mr. Gwilliam is the Managing Member of the Gwilliam Family Investments LLC. The address for this Selling Stockholder is c/o Keystone Capital, 155 N Wacker, Suite 4150, Chicago, IL 60606.</w:t>
      </w:r>
    </w:p>
    <w:p>
      <w:pPr>
        <w:spacing w:after="0" w:line="2" w:lineRule="exact"/>
        <w:rPr>
          <w:rFonts w:ascii="Times New Roman" w:cs="Times New Roman" w:eastAsia="Times New Roman" w:hAnsi="Times New Roman"/>
          <w:sz w:val="18"/>
          <w:szCs w:val="18"/>
          <w:color w:val="auto"/>
        </w:rPr>
      </w:pPr>
    </w:p>
    <w:p>
      <w:pPr>
        <w:ind w:left="540" w:right="260" w:hanging="424"/>
        <w:spacing w:after="0" w:line="260"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shares of Class A common stock that are issuable upon the conversion of the same number of shares of Class B common stock that are beneficially owned by TrueBridge Colonial Fund, u/a dated</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160"/>
        <w:spacing w:after="0" w:line="261" w:lineRule="auto"/>
        <w:rPr>
          <w:sz w:val="20"/>
          <w:szCs w:val="20"/>
          <w:color w:val="auto"/>
        </w:rPr>
      </w:pPr>
      <w:r>
        <w:rPr>
          <w:rFonts w:ascii="Times New Roman" w:cs="Times New Roman" w:eastAsia="Times New Roman" w:hAnsi="Times New Roman"/>
          <w:sz w:val="18"/>
          <w:szCs w:val="18"/>
          <w:color w:val="auto"/>
        </w:rPr>
        <w:t>11/15/2015, an irrevocable trust. First Republic Trust Company of Delaware, LLC is the successor trustee to Edwin Poston, who formerly served as trustee of TrueBridge Colonial Fund, and is a member of the board of directors of the Company.</w:t>
      </w:r>
    </w:p>
    <w:p>
      <w:pPr>
        <w:ind w:left="540" w:right="80" w:hanging="424"/>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shares of Class A common stock that are issuable upon the conversion of the same number of shares of Class B common stock. TrueBridge Colonial Fund owns a 50% interest in TrueBridge Ascent LLC. Truebridge Ascent LLC was a member of P10 Intermediate Holdings, LLC (“P10 Intermediate Holdings”) prior to the P10 Reorganization.</w:t>
      </w:r>
    </w:p>
    <w:p>
      <w:pPr>
        <w:spacing w:after="0" w:line="1"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shares of Class A common stock that are issuable upon the conversion of the same number of shares of Class B common stock that are beneficially owned by the Mel Williams Irrevocable Trust u/a/d August 12, 2015, an irrevocable trust governed by the laws of the State of Nevada. Alliance Trust Company, a trust company organized under the laws of the State of Nevada, has the power to direct the affairs of The Mel Williams Irrevocable Trust u/a/d August 12, 2015 as the trustee. Ben Samuels acts as the Investment Advisor of the trust, and has exclusive authority under the trust agreement to direct Alliance Trust Company as to the voting and disposition of all securities held by the trust. The Mel Williams Irrevocable Trust u/a/d August 12, 2015 was a member of P10 Intermediate prior to the P10 Reorganization.</w:t>
      </w:r>
    </w:p>
    <w:p>
      <w:pPr>
        <w:spacing w:after="0" w:line="2" w:lineRule="exact"/>
        <w:rPr>
          <w:rFonts w:ascii="Times New Roman" w:cs="Times New Roman" w:eastAsia="Times New Roman" w:hAnsi="Times New Roman"/>
          <w:sz w:val="18"/>
          <w:szCs w:val="18"/>
          <w:color w:val="auto"/>
        </w:rPr>
      </w:pPr>
    </w:p>
    <w:p>
      <w:pPr>
        <w:ind w:left="540" w:right="280" w:hanging="424"/>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shares of Class A common stock that are issuable upon the conversion of the same number of shares of Class B common stock that are owned by MAW Management Co., a Delaware corporation. Mel A. Williams is the President, sole director, and sole stockholder of MAW Management Co. and is deemed to hold voting and investment control of the securities held by MAW Management Co.</w:t>
      </w:r>
    </w:p>
    <w:p>
      <w:pPr>
        <w:spacing w:after="0" w:line="1"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shares of Class A common stock that are issuable upon the conversion of the same number of shares of Class B common stock that are beneficially owned by the Charles K. Huebner Trust dated January 16, 2001. Mr. Huebner has the power to direct the affairs of the Charles K. Huebner Trust dated January 16, 2001 as the trustee. The Charles K. Huebner Trust dated January 16, 2001 was a member of P10 Intermediate prior to the P10 Reorganization. Mr. Huebner is a managing partner and co-founder of RCP Advisors 2, LLC, RCP Advisors 3, LLC (collectively referred to as “RCP Advisors”).</w:t>
      </w:r>
    </w:p>
    <w:p>
      <w:pPr>
        <w:spacing w:after="0" w:line="1" w:lineRule="exact"/>
        <w:rPr>
          <w:rFonts w:ascii="Times New Roman" w:cs="Times New Roman" w:eastAsia="Times New Roman" w:hAnsi="Times New Roman"/>
          <w:sz w:val="18"/>
          <w:szCs w:val="18"/>
          <w:color w:val="auto"/>
        </w:rPr>
      </w:pPr>
    </w:p>
    <w:p>
      <w:pPr>
        <w:ind w:left="540" w:right="120" w:hanging="424"/>
        <w:spacing w:after="0" w:line="265" w:lineRule="auto"/>
        <w:tabs>
          <w:tab w:leader="none" w:pos="5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shares of Class A common stock that are issuable upon the conversion of the same number of shares of Class B common stock that are beneficially owned by Souder Family LLC. William F. Souder has the power to direct the affairs of Souder Family LLC as its managing member.</w:t>
      </w:r>
    </w:p>
    <w:p>
      <w:pPr>
        <w:ind w:left="540" w:hanging="424"/>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shares of Class A common stock that are issuable upon the conversion of the same number of shares of Class B common stock that are beneficially owned by the Jon I. Madorsky Revocable Trust dated December 1, 2008. Mr. Madorsky has the power to direct the affairs of the Jon I. Madorsky Revocable Trust dated December 1, 2008 as the trustee. The Jon I. Madorsky Revocable Trust dated December 1, 2008 was a member of P10 Intermediate prior to the P10 Reorganization. Mr. Madorsky is a managing partner of RCP Advisors.</w:t>
      </w:r>
    </w:p>
    <w:p>
      <w:pPr>
        <w:spacing w:after="0" w:line="1"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shares of Class A common stock that are issuable upon the conversion of the same number of shares of Class B common stock that are beneficially owned by the Thomas P. Danis, Jr. Revocable Living Trust (the “Trust”) dated March 10, 2003, as amended. Mr. Danis has the power to direct the affairs of the Trust as the trustee. The Trust was a member of P10 Intermediate prior to the P10 Reorganization. Includes 924,820 shares of Class A common stock that are issuable upon the conversion of the same number of shares of Class B common stock that are beneficially owned by Prism 2 LLC, of which Thomas P. Danis, Jr. and his wife are co-managers, and of which the Trust is a member. Mr. Danis is a managing partner and co-founder of RCP Advisors.</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shares of Class A common stock that are issuable upon the conversion of the same number of shares of Class B common stock.</w:t>
      </w:r>
    </w:p>
    <w:p>
      <w:pPr>
        <w:spacing w:after="0" w:line="9" w:lineRule="exact"/>
        <w:rPr>
          <w:rFonts w:ascii="Times New Roman" w:cs="Times New Roman" w:eastAsia="Times New Roman" w:hAnsi="Times New Roman"/>
          <w:sz w:val="18"/>
          <w:szCs w:val="18"/>
          <w:color w:val="auto"/>
        </w:rPr>
      </w:pPr>
    </w:p>
    <w:p>
      <w:pPr>
        <w:ind w:left="540" w:right="4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Blatherwick was a member of P10 Intermediate prior to the P10 Reorganization and is a partner and the chief compliance officer of RCP Advisors.</w:t>
      </w:r>
    </w:p>
    <w:p>
      <w:pPr>
        <w:ind w:left="540" w:hanging="424"/>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shares of Class A common stock that are issuable upon the conversion of the same number of shares of Class B common stock.</w:t>
      </w:r>
    </w:p>
    <w:p>
      <w:pPr>
        <w:spacing w:after="0" w:line="9"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Nelson was a member of P10 Intermediate prior to the P10 Reorganization and is a partner and the chief financial officer of RCP Advisors.</w:t>
      </w:r>
    </w:p>
    <w:p>
      <w:pPr>
        <w:spacing w:after="0" w:line="9" w:lineRule="exact"/>
        <w:rPr>
          <w:rFonts w:ascii="Times New Roman" w:cs="Times New Roman" w:eastAsia="Times New Roman" w:hAnsi="Times New Roman"/>
          <w:sz w:val="18"/>
          <w:szCs w:val="18"/>
          <w:color w:val="auto"/>
        </w:rPr>
      </w:pPr>
    </w:p>
    <w:p>
      <w:pPr>
        <w:ind w:left="540" w:right="80" w:hanging="424"/>
        <w:spacing w:after="0" w:line="26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shares of Class A common stock that are issuable upon the conversion of the same number of shares of Class B common stock. Mr. Abell was a member of P10 Intermediate prior to the P10 Reorganization and is a partner of RCP Advisors.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line="257"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174,062 shares of Class A common stock and 427,197 shares of Class A common stock that are issuable upon the conversion of the same number of shares of Class B common stock. Mr. Feinglass was a member of P10 Intermediate prior to the P10 Reorganization and is a partner of RCP Advisors.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shares of Class A common stock that are issuable upon the conversion of the same number of shares of Class B common stock.</w:t>
      </w:r>
    </w:p>
    <w:p>
      <w:pPr>
        <w:spacing w:after="0" w:line="9" w:lineRule="exact"/>
        <w:rPr>
          <w:rFonts w:ascii="Times New Roman" w:cs="Times New Roman" w:eastAsia="Times New Roman" w:hAnsi="Times New Roman"/>
          <w:sz w:val="18"/>
          <w:szCs w:val="18"/>
          <w:color w:val="auto"/>
        </w:rPr>
      </w:pPr>
    </w:p>
    <w:p>
      <w:pPr>
        <w:ind w:left="540" w:right="2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McCoy was a member of P10 Intermediate prior to the P10 Reorganization is a managing partner and portfolio manager of RCP Advisors’ co-investment funds.</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55"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are registering the resale by the Selling Stockholders or their permitted transferees from time to time of up to 56,420,007 shares of Class A common stock, including up to (i) 50,667,351 shares of Class A common stock that may be issued upon the conversion of Class B common stock, (ii) 334,893 shares of Class A common stock that may be issued upon the settlement of outstanding restricted stock units, (iii) 850,186 shares of Class A Common stock that may be issued upon the exercise of outstanding stock options, and (iv) 13,089 shares of Class A Common Stock that may be issued upon the vesting of restricted stock.</w:t>
      </w:r>
    </w:p>
    <w:p>
      <w:pPr>
        <w:spacing w:after="0" w:line="183" w:lineRule="exact"/>
        <w:rPr>
          <w:sz w:val="20"/>
          <w:szCs w:val="20"/>
          <w:color w:val="auto"/>
        </w:rPr>
      </w:pPr>
    </w:p>
    <w:p>
      <w:pPr>
        <w:jc w:val="both"/>
        <w:ind w:left="120" w:right="320" w:firstLine="440"/>
        <w:spacing w:after="0" w:line="312" w:lineRule="auto"/>
        <w:rPr>
          <w:sz w:val="20"/>
          <w:szCs w:val="20"/>
          <w:color w:val="auto"/>
        </w:rPr>
      </w:pPr>
      <w:r>
        <w:rPr>
          <w:rFonts w:ascii="Times New Roman" w:cs="Times New Roman" w:eastAsia="Times New Roman" w:hAnsi="Times New Roman"/>
          <w:sz w:val="17"/>
          <w:szCs w:val="17"/>
          <w:color w:val="auto"/>
        </w:rPr>
        <w:t>We will pay all fees and expenses incident to the registration of the shares of the Class A common stock to be offered and sold pursuant to this prospectus. The Selling Stockholders will bear all commissions and discounts, if any, attributable to the sale of shares of the Class A common stock.</w:t>
      </w:r>
    </w:p>
    <w:p>
      <w:pPr>
        <w:spacing w:after="0" w:line="14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shares of the Class A common stock by the Selling Stockholders. The aggregate proceeds to the Selling Stockholders will be the purchase price of the Class A common stock less any discounts and commissions borne by the Selling Stockholders.</w:t>
      </w:r>
    </w:p>
    <w:p>
      <w:pPr>
        <w:spacing w:after="0" w:line="176"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The shares of Class A common stock beneficially owned by the Selling Stockholders covered by this prospectus may be offered and sold from time to time by the Selling Stockholders. The term “Selling Stockholders” includes donees, pledgees, transferees or other successors in interest selling shares of the Class A common stock received after the date of this prospectus from a Selling Stockholder as a gift, pledge, partnership distribution or other transfer. The Selling Stockholders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Stockholders may sell the shares of Class A common stock by one or more of, or a combination of, the following methods:</w:t>
      </w:r>
    </w:p>
    <w:p>
      <w:pPr>
        <w:spacing w:after="0" w:line="94"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jc w:val="both"/>
        <w:ind w:left="1080" w:right="320" w:hanging="42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the Selling Stockholders pursuant to Rule 10b5-1 under the Exchange Act, that are in place at the time of an offering pursuant to this prospectus and any applicable prospectus supplement hereto that provide for periodic sales of their securities on the basis of parameters described in such trading plans, including the “Rule 10b5-1 trading arrangement” (as such term is defined in Item 408(a) of Regulation S-K) adopted by 210/P10 Acquisition Partners, LLC on December 10, 2023;</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broker-dealers;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any securities that qualify for sale pursuant to Rule 144 may be sold under Rule 144 rather than pursuant to this prospectus.</w:t>
      </w:r>
    </w:p>
    <w:p>
      <w:pPr>
        <w:spacing w:after="0" w:line="225"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To the extent required, this prospectus may be amended or supplemented from time to time to describe a specific plan of distribution. In connection with distributions of the securities or otherwise, the Selling Stockholders may enter into hedging transactions with broker-dealers or other financial institutions. In connection with such transactions, broker-dealers or other financial institutions may engage in short sales of our securities in the course of hedging the positions they assume with the Selling Stockholders. The Selling Stockholders may also sell our securities short and redeliver the shares to close out such short positions. The Selling Stockholders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Stockholders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7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Selling Stockholders may enter into derivative transactions with third parties, or sell securities not covered by this prospectus to third parties in privately negotiated transactions. If an applicable prospectus supplement indicates, in connection with those derivatives, the third parties may sell securities covered by this prospectus and the applicable prospectus supplement, including in short sale transactions. If so, the third party may use securities pledged by the Selling Stockholders or borrowed from the Selling Stockholders or others to settle those sales or to close out any related open borrowings of securities, and may use securities received from the Selling Stockholders in settlement of those derivatives to close out any related open borrowings of securities. If applicable through securities laws, the third party in such sale transactions will be an underwriter and will be identified in the applicable prospectus supplement (or a post-effective amendment). In addition, the Selling Stockholders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88"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In effecting sales, broker-dealers or agents engaged by the Selling Stockholders may arrange for other broker-dealers to participate. Broker-dealers or agents may receive commissions, discounts or concessions from the Selling Stockholders in amounts to be negotiated immediately prior to the sale.</w:t>
      </w:r>
    </w:p>
    <w:p>
      <w:pPr>
        <w:spacing w:after="0" w:line="140"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Stockholders and any broker-dealers who execute sales for the Selling Stockholders may be deemed to be “underwriters” within the meaning of the Securities Act in connection with such sales. Any profits realized by the Selling Stockholders and the compensation of any broker-dealer may be deemed to be underwriting discounts and commissions.</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securities in the market and to the activities of the Selling Stockholders and their affiliates. In addition, we will make copies of this prospectus available to the Selling Stockholders for the purpose of satisfying the prospectus delivery requirements of the Securities Act. The Selling Stockholders may indemnify any broker-dealer that participates in transactions involving the sale of the securities against certain liabilities, including liabilities arising under the Securities Act.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Unless the applicable prospectus supplement indicates otherwise, the validity of the securities being offered by this prospectus will be passed upon by Kramer Levin Naftalis &amp; Frankel LLP. Additional legal matters may be passed upon for us or any underwriters, dealers or agents by counsel that we will name in the applicable prospectus supplement.</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P10, Inc. as of December 31, 2023 and 2022, and for each of the years in the three-year period ended December 31, 2023, have been incorporated by reference herein in reliance upon the report of KPMG LLP, independent registered public accounting firm, incorporated by reference herein, and upon the authority of said firm as experts in accounting and auditing.</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file annual, quarterly and special reports, proxy statements and other information with the SEC, and we have filed with the SEC a registration statement on Form S-1 under the Securities Act of 1933, as amended (the “Securities Act”), with respect to the securities offered by this prospectus. This prospectus, which forms part of the registration statement, does not contain all of the information included in the registration statement, including its exhibits and schedules. For further information about us and the securities described in this prospectus, you should refer to the registration statement, its exhibits and schedules and our reports, proxies, information statements and other information filed with the SEC. Our filings are available to the public on the Internet, through a database maintained by the SEC at www.sec.gov. Our filings are also available, free of charge, on our website at www.P10alts.com. We have included our website address for the information of prospective investors and do not intend it to be an active link to our website. Information contained on our website does not constitute a part of this prospectus or any applicable prospectus supplement (or any document incorporated by reference herein or therein).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We file annual, quarterly and current reports, proxy statements and other information with the SEC. The rules of the SEC allow us to “incorporate by reference” information into this prospectus. This means that we can disclose important information about us and our financial condition to you by referring you to other documents filed separately with the SEC. The information incorporated by reference is considered to be a part of this prospectus.</w:t>
      </w:r>
    </w:p>
    <w:p>
      <w:pPr>
        <w:spacing w:after="0" w:line="158"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This prospectus incorporates by reference the documents listed below that we have previously filed with the SEC (other than documents and information furnished to, and not filed with, the SEC) in accordance with SEC rules, unless expressly stated otherwise therein):</w:t>
      </w:r>
    </w:p>
    <w:p>
      <w:pPr>
        <w:spacing w:after="0" w:line="67"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on March 13,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41">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March 31, 2024, filed on May 9,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42">
        <w:r>
          <w:rPr>
            <w:rFonts w:ascii="Times New Roman" w:cs="Times New Roman" w:eastAsia="Times New Roman" w:hAnsi="Times New Roman"/>
            <w:sz w:val="18"/>
            <w:szCs w:val="18"/>
            <w:u w:val="single" w:color="auto"/>
            <w:color w:val="0000EE"/>
          </w:rPr>
          <w:t>February 9, 2024</w:t>
        </w:r>
      </w:hyperlink>
      <w:r>
        <w:rPr>
          <w:rFonts w:ascii="Times New Roman" w:cs="Times New Roman" w:eastAsia="Times New Roman" w:hAnsi="Times New Roman"/>
          <w:sz w:val="18"/>
          <w:szCs w:val="18"/>
          <w:color w:val="auto"/>
        </w:rPr>
        <w:t xml:space="preserve">, </w:t>
      </w:r>
      <w:hyperlink r:id="rId43">
        <w:r>
          <w:rPr>
            <w:rFonts w:ascii="Times New Roman" w:cs="Times New Roman" w:eastAsia="Times New Roman" w:hAnsi="Times New Roman"/>
            <w:sz w:val="18"/>
            <w:szCs w:val="18"/>
            <w:u w:val="single" w:color="auto"/>
            <w:color w:val="0000EE"/>
          </w:rPr>
          <w:t>April 22,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4">
        <w:r>
          <w:rPr>
            <w:rFonts w:ascii="Times New Roman" w:cs="Times New Roman" w:eastAsia="Times New Roman" w:hAnsi="Times New Roman"/>
            <w:sz w:val="18"/>
            <w:szCs w:val="18"/>
            <w:u w:val="single" w:color="auto"/>
            <w:color w:val="0000EE"/>
          </w:rPr>
          <w:t>May 8,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45">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April 24, 2024;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common stock included in the Company’s Registration Statement on </w:t>
      </w:r>
      <w:hyperlink r:id="rId46">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under the Exchange Act filed with the SEC on October 19, 2021, including any amendment or report filed for the purpose of updating such description.</w:t>
      </w:r>
    </w:p>
    <w:p>
      <w:pPr>
        <w:spacing w:after="0" w:line="162" w:lineRule="exact"/>
        <w:rPr>
          <w:rFonts w:ascii="Times New Roman" w:cs="Times New Roman" w:eastAsia="Times New Roman" w:hAnsi="Times New Roman"/>
          <w:sz w:val="18"/>
          <w:szCs w:val="18"/>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Any statement made in this prospectus or contained in a document all or a portion of which is incorporated by reference herein will be deemed to be modified or superseded to the extent that a statement contained herein or in any subsequent prospectus supplement to this prospectus or, if appropriate, post-effective amendment to the registration statement that includes this prospectus, modifies or supersedes such statement. Any statement so modified will not be deemed to constitute a part hereof, except as so modified, and any statement so superseded will not be deemed to constitute a part hereof.</w:t>
      </w:r>
    </w:p>
    <w:p>
      <w:pPr>
        <w:spacing w:after="0" w:line="181" w:lineRule="exact"/>
        <w:rPr>
          <w:rFonts w:ascii="Times New Roman" w:cs="Times New Roman" w:eastAsia="Times New Roman" w:hAnsi="Times New Roman"/>
          <w:sz w:val="18"/>
          <w:szCs w:val="18"/>
          <w:color w:val="auto"/>
        </w:rPr>
      </w:pPr>
    </w:p>
    <w:p>
      <w:pPr>
        <w:ind w:left="120" w:right="520" w:firstLine="440"/>
        <w:spacing w:after="0" w:line="284" w:lineRule="auto"/>
        <w:rPr>
          <w:sz w:val="20"/>
          <w:szCs w:val="20"/>
          <w:color w:val="auto"/>
        </w:rPr>
      </w:pPr>
      <w:r>
        <w:rPr>
          <w:rFonts w:ascii="Times New Roman" w:cs="Times New Roman" w:eastAsia="Times New Roman" w:hAnsi="Times New Roman"/>
          <w:sz w:val="18"/>
          <w:szCs w:val="18"/>
          <w:color w:val="auto"/>
        </w:rPr>
        <w:t>You may read and copy any materials we file with the SEC at the SEC’s website mentioned under the heading “</w:t>
      </w:r>
      <w:r>
        <w:rPr>
          <w:rFonts w:ascii="Times New Roman" w:cs="Times New Roman" w:eastAsia="Times New Roman" w:hAnsi="Times New Roman"/>
          <w:sz w:val="18"/>
          <w:szCs w:val="18"/>
          <w:i w:val="1"/>
          <w:iCs w:val="1"/>
          <w:color w:val="auto"/>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The information on the SEC’s website is not incorporated by reference in this prospectus.</w:t>
      </w:r>
    </w:p>
    <w:p>
      <w:pPr>
        <w:spacing w:after="0" w:line="160" w:lineRule="exact"/>
        <w:rPr>
          <w:rFonts w:ascii="Times New Roman" w:cs="Times New Roman" w:eastAsia="Times New Roman" w:hAnsi="Times New Roman"/>
          <w:sz w:val="18"/>
          <w:szCs w:val="18"/>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A copy of any document incorporated by reference in this prospectus may be obtained at no cost by writing or telephoning us at the following address and telephone number:</w:t>
      </w:r>
    </w:p>
    <w:p>
      <w:pPr>
        <w:spacing w:after="0" w:line="162"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P10, Inc.</w:t>
      </w:r>
    </w:p>
    <w:p>
      <w:pPr>
        <w:spacing w:after="0" w:line="27"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4514 Cole Avenue, Suite 1600</w:t>
      </w:r>
    </w:p>
    <w:p>
      <w:pPr>
        <w:spacing w:after="0" w:line="9"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Dallas, Texas 75205</w:t>
      </w:r>
    </w:p>
    <w:p>
      <w:pPr>
        <w:spacing w:after="0" w:line="9"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Attention: Amanda Coussens</w:t>
      </w:r>
    </w:p>
    <w:p>
      <w:pPr>
        <w:spacing w:after="0" w:line="9"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(214) 865-7998</w:t>
      </w:r>
    </w:p>
    <w:p>
      <w:pPr>
        <w:spacing w:after="0" w:line="207" w:lineRule="exact"/>
        <w:rPr>
          <w:rFonts w:ascii="Times New Roman" w:cs="Times New Roman" w:eastAsia="Times New Roman" w:hAnsi="Times New Roman"/>
          <w:sz w:val="18"/>
          <w:szCs w:val="18"/>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maintain a website at www.P10alts.com. Information about us, including our reports filed with the SEC, is available through that site. Such reports are accessible at no charge through our website and are made available as soon as reasonably practicable after such material is filed with or furnished to the SEC. Our website and the information contained on that website, or connected to that website, are not incorporated by reference in this prospectus.</w:t>
      </w:r>
    </w:p>
    <w:p>
      <w:pPr>
        <w:spacing w:after="0" w:line="112"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60"/>
          </w:cols>
          <w:pgMar w:left="320" w:top="455" w:right="5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300990</wp:posOffset>
            </wp:positionV>
            <wp:extent cx="6995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43"/>
          <w:szCs w:val="43"/>
          <w:b w:val="1"/>
          <w:bCs w:val="1"/>
          <w:color w:val="auto"/>
        </w:rPr>
        <w:t>P10, Inc.</w:t>
      </w:r>
    </w:p>
    <w:p>
      <w:pPr>
        <w:spacing w:after="0" w:line="200" w:lineRule="exact"/>
        <w:rPr>
          <w:sz w:val="20"/>
          <w:szCs w:val="20"/>
          <w:color w:val="auto"/>
        </w:rPr>
      </w:pPr>
    </w:p>
    <w:p>
      <w:pPr>
        <w:spacing w:after="0" w:line="36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56,420,007</w:t>
      </w:r>
    </w:p>
    <w:p>
      <w:pPr>
        <w:spacing w:after="0" w:line="4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Shares of</w:t>
      </w:r>
    </w:p>
    <w:p>
      <w:pPr>
        <w:spacing w:after="0" w:line="1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4"/>
          <w:szCs w:val="24"/>
          <w:b w:val="1"/>
          <w:bCs w:val="1"/>
          <w:color w:val="auto"/>
        </w:rPr>
        <w:t>Class A Common Stock</w:t>
      </w:r>
    </w:p>
    <w:p>
      <w:pPr>
        <w:spacing w:after="0" w:line="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by Selling</w:t>
      </w:r>
    </w:p>
    <w:p>
      <w:pPr>
        <w:spacing w:after="0" w:line="1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1657350</wp:posOffset>
            </wp:positionV>
            <wp:extent cx="1474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3199765</wp:posOffset>
            </wp:positionH>
            <wp:positionV relativeFrom="paragraph">
              <wp:posOffset>-5080</wp:posOffset>
            </wp:positionV>
            <wp:extent cx="4572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EXPLANATORY NOTE AND DEREGISTRATION OF SECURITIES</w:t>
      </w:r>
    </w:p>
    <w:p>
      <w:pPr>
        <w:spacing w:after="0" w:line="229"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This Registration Statement on Form S-1 (the “Registration Statement”) also constitutes a post-effective amendment to the following two registration statements (the “Initial Registration Statements”):</w:t>
      </w:r>
    </w:p>
    <w:p>
      <w:pPr>
        <w:spacing w:after="0" w:line="67" w:lineRule="exact"/>
        <w:rPr>
          <w:sz w:val="20"/>
          <w:szCs w:val="20"/>
          <w:color w:val="auto"/>
        </w:rPr>
      </w:pPr>
    </w:p>
    <w:p>
      <w:pPr>
        <w:ind w:left="108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Registration Statement on </w:t>
      </w:r>
      <w:hyperlink r:id="rId56">
        <w:r>
          <w:rPr>
            <w:rFonts w:ascii="Times New Roman" w:cs="Times New Roman" w:eastAsia="Times New Roman" w:hAnsi="Times New Roman"/>
            <w:sz w:val="18"/>
            <w:szCs w:val="18"/>
            <w:u w:val="single" w:color="auto"/>
            <w:color w:val="0000EE"/>
          </w:rPr>
          <w:t>Form S-3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333-268275) filed by P10, Inc., a Delaware corporation (the “Registrant”) with the Securities and Exchange Commission (the “SEC”) on November 9, 2022 and declared effective on January 9, 2023 (the “2022 Registration Statement”); and</w:t>
      </w:r>
    </w:p>
    <w:p>
      <w:pPr>
        <w:spacing w:after="0" w:line="81"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Registration Statement on </w:t>
      </w:r>
      <w:hyperlink r:id="rId57">
        <w:r>
          <w:rPr>
            <w:rFonts w:ascii="Times New Roman" w:cs="Times New Roman" w:eastAsia="Times New Roman" w:hAnsi="Times New Roman"/>
            <w:sz w:val="18"/>
            <w:szCs w:val="18"/>
            <w:u w:val="single" w:color="auto"/>
            <w:color w:val="0000EE"/>
          </w:rPr>
          <w:t>Form S-3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333-275667) filed by the Registrant with the SEC on November 20, 2023 and declared effective on November 30, 2023.</w:t>
      </w:r>
    </w:p>
    <w:p>
      <w:pPr>
        <w:spacing w:after="0" w:line="162" w:lineRule="exact"/>
        <w:rPr>
          <w:rFonts w:ascii="Times New Roman" w:cs="Times New Roman" w:eastAsia="Times New Roman" w:hAnsi="Times New Roman"/>
          <w:sz w:val="18"/>
          <w:szCs w:val="18"/>
          <w:color w:val="auto"/>
        </w:rPr>
      </w:pPr>
    </w:p>
    <w:p>
      <w:pPr>
        <w:ind w:left="120" w:right="20" w:firstLine="440"/>
        <w:spacing w:after="0" w:line="270" w:lineRule="auto"/>
        <w:rPr>
          <w:sz w:val="20"/>
          <w:szCs w:val="20"/>
          <w:color w:val="auto"/>
        </w:rPr>
      </w:pPr>
      <w:r>
        <w:rPr>
          <w:rFonts w:ascii="Times New Roman" w:cs="Times New Roman" w:eastAsia="Times New Roman" w:hAnsi="Times New Roman"/>
          <w:sz w:val="17"/>
          <w:szCs w:val="17"/>
          <w:color w:val="auto"/>
        </w:rPr>
        <w:t>The Registrant hereby amends the Initial Registration Statements to (i) deregister and remove from registration the securities to be offered and sold by the Company under the 2022 Registration Statement and 6,366,477 shares of Class A common stock of the Registrant previously registered under the 2023 Registration Statement and not sold by the selling stockholders, (ii) combine the prospectuses included in each of the Initial Registration Statements pursuant to Rule 429 under the Securities Act of 1933, as amended, with the prospectus included in this Registration Statement and</w:t>
      </w:r>
    </w:p>
    <w:p>
      <w:pPr>
        <w:spacing w:after="0" w:line="3" w:lineRule="exact"/>
        <w:rPr>
          <w:rFonts w:ascii="Times New Roman" w:cs="Times New Roman" w:eastAsia="Times New Roman" w:hAnsi="Times New Roman"/>
          <w:sz w:val="18"/>
          <w:szCs w:val="18"/>
          <w:color w:val="auto"/>
        </w:rPr>
      </w:pPr>
    </w:p>
    <w:p>
      <w:pPr>
        <w:ind w:left="120" w:right="20" w:hanging="4"/>
        <w:spacing w:after="0" w:line="252" w:lineRule="auto"/>
        <w:tabs>
          <w:tab w:leader="none" w:pos="4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each of the Initial Registration Statements into a Registration Statement on Form S-1, because the Registrant is not currently eligible to use Form S-3 to register the securities covered by the Initial Registration Statements. The post-effective amendment to the Initial Registration Statements shall hereafter become effective concurrently with the effectiveness of this Registration Statement in accordance with Section 8(c) of the Securities Act. Additionally, this Registration Statement contains an updated prospectus relating to the offering and sale of the resale securities by the selling stockholders named herein. All filing fees payable in connection with the registration of the securities covered by the Initial Registration Statements were previously paid in connection with the original filings of the Initial Registration Statements.</w:t>
      </w:r>
    </w:p>
    <w:p>
      <w:pPr>
        <w:spacing w:after="0" w:line="190" w:lineRule="exact"/>
        <w:rPr>
          <w:rFonts w:ascii="Times New Roman" w:cs="Times New Roman" w:eastAsia="Times New Roman" w:hAnsi="Times New Roman"/>
          <w:sz w:val="18"/>
          <w:szCs w:val="18"/>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This registration of the shares of Class A common stock of the Registrant for resale by the selling stockholders should not be construed as reflecting the present intention by the selling stockholders to sell any such shares, and it is not an offering of any shares by the Registrant.</w:t>
      </w:r>
    </w:p>
    <w:p>
      <w:pPr>
        <w:sectPr>
          <w:pgSz w:w="11900" w:h="16838" w:orient="portrait"/>
          <w:cols w:equalWidth="0" w:num="1">
            <w:col w:w="11080"/>
          </w:cols>
          <w:pgMar w:left="320" w:top="455"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NOT REQUIRED IN THE PROSPECTUS</w:t>
      </w:r>
    </w:p>
    <w:p>
      <w:pPr>
        <w:spacing w:after="0" w:line="23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8"/>
          <w:szCs w:val="18"/>
          <w:b w:val="1"/>
          <w:bCs w:val="1"/>
          <w:color w:val="auto"/>
        </w:rPr>
        <w:t>Other Expenses of Issuance and Distribution.</w:t>
      </w:r>
    </w:p>
    <w:p>
      <w:pPr>
        <w:spacing w:after="0" w:line="121"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an estimate of the expenses (all of which are to be paid by us) that we may incur in connection with the securities being registered hereby.</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22,063.12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160" w:hanging="424"/>
        <w:spacing w:after="0" w:line="282"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expenses are not presently known. To the extent required, any applicable prospectus supplement will set forth the estimated aggregate amount of expenses payable in respect of any offering of securities.</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Section 145(a) of the DGCL provides, in general, that a corporation may indemnify any person who was or is a party to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Additionally, our Charter eliminates our directors’ liability to the fullest extent permitted under the DGCL. The DGCL provides that directors of a corporation will not be personally liable for monetary damages for breach of their fiduciary duties as directors, except for liability for:</w:t>
      </w:r>
    </w:p>
    <w:p>
      <w:pPr>
        <w:spacing w:after="0" w:line="67"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his duty of loyalty to us or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which involve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General Corporation Law of the State of Delaware;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 or improper distributions to stockholders.</w:t>
      </w:r>
    </w:p>
    <w:p>
      <w:pPr>
        <w:spacing w:after="0" w:line="225"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If the DGCL is amended to authorize corporate action eliminating or further limiting the personal liability of directors, then the liability of the Company’s directors will be eliminated or limited to the fullest extent permitted by the DGCL, as so amended.</w:t>
      </w:r>
    </w:p>
    <w:p>
      <w:pPr>
        <w:spacing w:after="0" w:line="162"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ERISA excise taxes, penalties and amounts paid in settlement by or on behalf of the indemnitee actually and reasonably incurred by such indemnitee in connection therewith.</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The foregoing summaries are subject to the text of the DGCL, the registrant’s amended and restated certificate of incorporation and amended and restated bylaws, and the indemnification agreements referred to above, and are qualified in their entirety by reference thereto.</w:t>
      </w:r>
    </w:p>
    <w:p>
      <w:pPr>
        <w:spacing w:after="0" w:line="324"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On October 13, 2022, P10 Intermediate and the Company completed the acquisition (the “Acquisition”) of all of the issued and outstanding membership interests of WTI, in accordance with the terms and conditions of the and Purchase Agreement, dated August 25, 2022 (the “Sale and Purchase Agreement”). The purchase price paid at the closing of the Acquisition, which was subject to certain customary closing adjustments, consisted of approximately of $97,000,008 in cash and an aggregate of 3,916,666 membership units representing limited liability company interests of P10 Intermediate (“Buyer Units”). Subject to certain conditions, the Buyer Units are exchangeable into shares of Class A common stock of the Company on a one-for-one basis, pursuant to the Exchange Agreement entered into on August 25, 2022, by and among P10 Intermediate, the Company and the other signatory parties thereto (the “Exchange Agreement”). The Class A units of the Company acquired under the Exchange Agreement are subject to a restricted period in which the holder cannot offer, pledge, sell, contract to sell, sell any option or contract to purchase, purchase any option or contract to sell, grant any option, right or warrant to purchase, lend, or otherwise transfer or dispose of, directly or indirectly, such Class A common stock beneficially owned. The restricted period terminates as follows: (i) with respect to one-third of the Class A common stock held by such stockholder, on October 21, 2022; (ii) with respect to two-thirds of the Class A common stock held by such stockholder, on October 21, 2023; and (iii) with respect to all of the Class A common stock held by such stockholder, on October 21, 2024.</w:t>
      </w:r>
    </w:p>
    <w:p>
      <w:pPr>
        <w:spacing w:after="0" w:line="190"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addition, the Seller Recipients (as defined in the Sale and Purchase Agreement) are eligible to receive additional consideration upon the achievement of certain earn-out milestones during the earn-out period from January 1, 2023 to December 31, 2027 (as may be extended in certain events) pursuant to the Sale and Purchase Agreement, subject to potential reduction in accordance with the terms of the Sale and Purchase Agreement, and employees of WTI are eligible to receive bonus compensation for achievement of these earn-out milestones from</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an employee retention bonus plan established at closing. The earn-out milestones and aggregate consideration and bonuses payable is as follows: (i) $35,000,000 in consideration in the aggregate (without interest) based upon the achievement of $20,000,000 in EBITDA in any such four-quarter period; (ii) $17,500,000 in consideration in the aggregate (without interest) based upon the achievement of $22,500,000 in EBITDA in any such four-quarter period; and (iii) $17,500,000 in consideration in the aggregate (without interest) based upon the achievement of $25,000,000 in EBITDA in any such four-quarter period. Pursuant to the Sale and Purchase Agreement, any future earn-out payments payable to the Seller Recipients will be forfeited in the event such Seller Recipient’s employment with WTI or one of its Affiliates is terminated by WTI for Cause (as defined in his Employment Agreement) or by such Seller Recipient without Good Reason (as defined in his Employment Agreement) prior to the last day of a quarter in which any applicable earn-out milestone is achieved. Any earn-out payment will be paid in cash; provided, that up to 50% of the earn-out payments payable to the Seller Recipients pursuant to the Sale and Purchase Agreement, at a Seller Recipient’s option, will be paid in Units of P10 Intermediate which may be converted into shares of Class A common stock of the Company.</w:t>
      </w:r>
    </w:p>
    <w:p>
      <w:pPr>
        <w:spacing w:after="0" w:line="19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closing, the Company also granted options to acquire 1,000,000 shares of the Company’s common stock in the aggregate to induce the Seller Recipients to continue their employment with the Company and its subsidiaries following closing. Moreover, the Company granted additional options to acquire 3,000,000 shares of the Company’s common stock in the aggregate to continuing employees who are not Seller Recipients, with such options cliff vesting on the date that is five years following the grant date, with a per share exercise price equal to the value of a share of the Company’s common stock on the grant date.</w:t>
      </w:r>
    </w:p>
    <w:p>
      <w:pPr>
        <w:spacing w:after="0" w:line="183"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securities described above were issued in reliance upon an exemption from the registration requirements of the Securities Act, pursuant to Section 4(a)(2) thereof as a transaction not involving any public offering.</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above descriptions of the Sale and Purchase Agreement and the Exchange Agreement do not purport to be complete and are subject to, and qualified in their entirety by, the full text of the Sale and Purchase Agreement and Exchange Agreement, which were filed as Exhibit 10.25 and Exhibit 10.26, respectively, to the registration statement of which this prospectus forms a part.</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9360" w:type="dxa"/>
            <w:vAlign w:val="bottom"/>
            <w:gridSpan w:val="8"/>
          </w:tcPr>
          <w:p>
            <w:pPr>
              <w:ind w:left="1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87"/>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60" w:type="dxa"/>
            <w:vAlign w:val="bottom"/>
          </w:tcPr>
          <w:p>
            <w:pPr>
              <w:spacing w:after="0"/>
              <w:rPr>
                <w:sz w:val="24"/>
                <w:szCs w:val="24"/>
                <w:color w:val="auto"/>
              </w:rPr>
            </w:pPr>
          </w:p>
        </w:tc>
        <w:tc>
          <w:tcPr>
            <w:tcW w:w="87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6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660" w:type="dxa"/>
            <w:vAlign w:val="bottom"/>
          </w:tcPr>
          <w:p>
            <w:pPr>
              <w:spacing w:after="0"/>
              <w:rPr>
                <w:sz w:val="23"/>
                <w:szCs w:val="23"/>
                <w:color w:val="auto"/>
              </w:rPr>
            </w:pPr>
          </w:p>
        </w:tc>
        <w:tc>
          <w:tcPr>
            <w:tcW w:w="9420" w:type="dxa"/>
            <w:vAlign w:val="bottom"/>
            <w:gridSpan w:val="14"/>
          </w:tcPr>
          <w:p>
            <w:pPr>
              <w:spacing w:after="0"/>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Amended and Restated Certificate of Incorporation of P10, Inc. (incorporated by reference to Exhibit 3.1 to the Company’s</w:t>
              </w:r>
            </w:hyperlink>
          </w:p>
        </w:tc>
      </w:tr>
      <w:tr>
        <w:trPr>
          <w:trHeight w:val="196"/>
        </w:trPr>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Current Report on Form 8-K filed on October 26, 2021).</w:t>
              </w:r>
            </w:hyperlink>
          </w:p>
        </w:tc>
        <w:tc>
          <w:tcPr>
            <w:tcW w:w="4620" w:type="dxa"/>
            <w:vAlign w:val="bottom"/>
            <w:tcBorders>
              <w:top w:val="single" w:sz="8" w:color="0000EE"/>
            </w:tcBorders>
            <w:gridSpan w:val="2"/>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660" w:type="dxa"/>
            <w:vAlign w:val="bottom"/>
          </w:tcPr>
          <w:p>
            <w:pPr>
              <w:spacing w:after="0"/>
              <w:rPr>
                <w:sz w:val="24"/>
                <w:szCs w:val="24"/>
                <w:color w:val="auto"/>
              </w:rPr>
            </w:pPr>
          </w:p>
        </w:tc>
        <w:tc>
          <w:tcPr>
            <w:tcW w:w="9420" w:type="dxa"/>
            <w:vAlign w:val="bottom"/>
            <w:gridSpan w:val="14"/>
          </w:tcPr>
          <w:p>
            <w:pPr>
              <w:spacing w:after="0"/>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Amended and Restated Bylaws of P10, Inc. (incorporated by reference to Exhibit 3.2 to the Company’s Current Report on Form</w:t>
              </w:r>
            </w:hyperlink>
          </w:p>
        </w:tc>
      </w:tr>
      <w:tr>
        <w:trPr>
          <w:trHeight w:val="196"/>
        </w:trPr>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70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8-K filed on October 26, 2021).</w:t>
              </w:r>
            </w:hyperlink>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660" w:type="dxa"/>
            <w:vAlign w:val="bottom"/>
          </w:tcPr>
          <w:p>
            <w:pPr>
              <w:spacing w:after="0"/>
              <w:rPr>
                <w:sz w:val="24"/>
                <w:szCs w:val="24"/>
                <w:color w:val="auto"/>
              </w:rPr>
            </w:pPr>
          </w:p>
        </w:tc>
        <w:tc>
          <w:tcPr>
            <w:tcW w:w="9420" w:type="dxa"/>
            <w:vAlign w:val="bottom"/>
            <w:gridSpan w:val="14"/>
          </w:tcPr>
          <w:p>
            <w:pPr>
              <w:spacing w:after="0"/>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Description of Securities (incorporated by reference to Exhibit 4.3 to the Company’s Annual Report on Form 10-K filed on</w:t>
              </w:r>
            </w:hyperlink>
          </w:p>
        </w:tc>
      </w:tr>
      <w:tr>
        <w:trPr>
          <w:trHeight w:val="196"/>
        </w:trPr>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70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March 13, 2024)</w:t>
              </w:r>
            </w:hyperlink>
          </w:p>
        </w:tc>
        <w:tc>
          <w:tcPr>
            <w:tcW w:w="1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660" w:type="dxa"/>
            <w:vAlign w:val="bottom"/>
          </w:tcPr>
          <w:p>
            <w:pPr>
              <w:spacing w:after="0"/>
              <w:rPr>
                <w:sz w:val="24"/>
                <w:szCs w:val="24"/>
                <w:color w:val="auto"/>
              </w:rPr>
            </w:pPr>
          </w:p>
        </w:tc>
        <w:tc>
          <w:tcPr>
            <w:tcW w:w="87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Opinion of Kramer Levin Naftalis &amp; Frankel LLP</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140" w:type="dxa"/>
            <w:vAlign w:val="bottom"/>
            <w:gridSpan w:val="3"/>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60" w:type="dxa"/>
            <w:vAlign w:val="bottom"/>
          </w:tcPr>
          <w:p>
            <w:pPr>
              <w:spacing w:after="0"/>
              <w:rPr>
                <w:sz w:val="24"/>
                <w:szCs w:val="24"/>
                <w:color w:val="auto"/>
              </w:rPr>
            </w:pPr>
          </w:p>
        </w:tc>
        <w:tc>
          <w:tcPr>
            <w:tcW w:w="9420" w:type="dxa"/>
            <w:vAlign w:val="bottom"/>
            <w:gridSpan w:val="14"/>
          </w:tcPr>
          <w:p>
            <w:pPr>
              <w:spacing w:after="0"/>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Controlled Company Agreement, dated as of October 20, 2021, by and among P10, Inc. and the parties listed on the signature</w:t>
              </w:r>
            </w:hyperlink>
          </w:p>
        </w:tc>
      </w:tr>
      <w:tr>
        <w:trPr>
          <w:trHeight w:val="196"/>
        </w:trPr>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7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pages thereto (incorporated by reference to Exhibit 10.1 to the Company’s Current Report on Form 8-K filed on October</w:t>
              </w:r>
            </w:hyperlink>
          </w:p>
        </w:tc>
        <w:tc>
          <w:tcPr>
            <w:tcW w:w="300" w:type="dxa"/>
            <w:vAlign w:val="bottom"/>
            <w:tcBorders>
              <w:top w:val="single" w:sz="8" w:color="0000EE"/>
              <w:bottom w:val="single" w:sz="8" w:color="0000EE"/>
            </w:tcBorders>
            <w:gridSpan w:val="3"/>
          </w:tcPr>
          <w:p>
            <w:pPr>
              <w:jc w:val="right"/>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26,</w:t>
              </w:r>
            </w:hyperlink>
          </w:p>
        </w:tc>
        <w:tc>
          <w:tcPr>
            <w:tcW w:w="1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64">
              <w:r>
                <w:rPr>
                  <w:rFonts w:ascii="Times New Roman" w:cs="Times New Roman" w:eastAsia="Times New Roman" w:hAnsi="Times New Roman"/>
                  <w:sz w:val="18"/>
                  <w:szCs w:val="18"/>
                  <w:color w:val="0000EE"/>
                  <w:w w:val="94"/>
                </w:rPr>
                <w:t>2021).</w:t>
              </w:r>
            </w:hyperlink>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660" w:type="dxa"/>
            <w:vAlign w:val="bottom"/>
          </w:tcPr>
          <w:p>
            <w:pPr>
              <w:spacing w:after="0"/>
              <w:rPr>
                <w:sz w:val="24"/>
                <w:szCs w:val="24"/>
                <w:color w:val="auto"/>
              </w:rPr>
            </w:pPr>
          </w:p>
        </w:tc>
        <w:tc>
          <w:tcPr>
            <w:tcW w:w="94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Amendment No. 1 to Controlled Company Agreement, dated as of May 16, 2023 (incorporated by reference to Exhibit 10.5 to the</w:t>
              </w:r>
            </w:hyperlink>
          </w:p>
        </w:tc>
      </w:tr>
      <w:tr>
        <w:trPr>
          <w:trHeight w:val="196"/>
        </w:trPr>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700" w:type="dxa"/>
            <w:vAlign w:val="bottom"/>
            <w:gridSpan w:val="7"/>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Company’s Quarterly Report on Form 10-Q filed on August 14, 2023).</w:t>
              </w:r>
            </w:hyperlink>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100" w:type="dxa"/>
            <w:vAlign w:val="bottom"/>
            <w:gridSpan w:val="6"/>
            <w:shd w:val="clear" w:color="auto" w:fill="0000EE"/>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660" w:type="dxa"/>
            <w:vAlign w:val="bottom"/>
          </w:tcPr>
          <w:p>
            <w:pPr>
              <w:spacing w:after="0"/>
              <w:rPr>
                <w:sz w:val="24"/>
                <w:szCs w:val="24"/>
                <w:color w:val="auto"/>
              </w:rPr>
            </w:pPr>
          </w:p>
        </w:tc>
        <w:tc>
          <w:tcPr>
            <w:tcW w:w="9420" w:type="dxa"/>
            <w:vAlign w:val="bottom"/>
            <w:gridSpan w:val="14"/>
          </w:tcPr>
          <w:p>
            <w:pPr>
              <w:spacing w:after="0"/>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Stockholders Agreement, dated as of October 20, 2021, by and among the Company and each of the other persons and entities</w:t>
              </w:r>
            </w:hyperlink>
          </w:p>
        </w:tc>
      </w:tr>
      <w:tr>
        <w:trPr>
          <w:trHeight w:val="196"/>
        </w:trPr>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7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party thereto (incorporated by reference to Exhibit 10.2 to the Company’s Current Report on Form 8-K filed on October</w:t>
              </w:r>
            </w:hyperlink>
          </w:p>
        </w:tc>
        <w:tc>
          <w:tcPr>
            <w:tcW w:w="260" w:type="dxa"/>
            <w:vAlign w:val="bottom"/>
            <w:tcBorders>
              <w:top w:val="single" w:sz="8" w:color="0000EE"/>
              <w:bottom w:val="single" w:sz="8" w:color="0000EE"/>
            </w:tcBorders>
            <w:gridSpan w:val="2"/>
          </w:tcPr>
          <w:p>
            <w:pPr>
              <w:jc w:val="right"/>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26,</w:t>
              </w:r>
            </w:hyperlink>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66">
              <w:r>
                <w:rPr>
                  <w:rFonts w:ascii="Times New Roman" w:cs="Times New Roman" w:eastAsia="Times New Roman" w:hAnsi="Times New Roman"/>
                  <w:sz w:val="18"/>
                  <w:szCs w:val="18"/>
                  <w:color w:val="0000EE"/>
                  <w:w w:val="94"/>
                </w:rPr>
                <w:t>2021).</w:t>
              </w:r>
            </w:hyperlink>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r>
    </w:tbl>
    <w:p>
      <w:pPr>
        <w:spacing w:after="0" w:line="1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00"/>
          </w:cols>
          <w:pgMar w:left="320" w:top="455" w:right="47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93"/>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964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Form of Indemnification Agreement to be entered into between the Company and certain of its directors and officers (incorporated by</w:t>
              </w:r>
            </w:hyperlink>
          </w:p>
        </w:tc>
        <w:tc>
          <w:tcPr>
            <w:tcW w:w="2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60" w:type="dxa"/>
            <w:vAlign w:val="bottom"/>
            <w:gridSpan w:val="26"/>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reference to Exhibit 10.3 to the Company’s Registration Statement on Form S-1, filed on September 27, 2021).</w:t>
              </w:r>
            </w:hyperlink>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4"/>
                <w:szCs w:val="24"/>
                <w:color w:val="auto"/>
              </w:rPr>
            </w:pPr>
          </w:p>
        </w:tc>
        <w:tc>
          <w:tcPr>
            <w:tcW w:w="9660" w:type="dxa"/>
            <w:vAlign w:val="bottom"/>
            <w:gridSpan w:val="26"/>
          </w:tcPr>
          <w:p>
            <w:pPr>
              <w:spacing w:after="0"/>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P10, Inc. 2021 Equity Incentive Plan (incorporated by reference to Exhibit 10.1 to the Company’s Registration Statement on Form</w:t>
              </w:r>
            </w:hyperlink>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S-1, filed on October 18, 2021).</w:t>
              </w:r>
            </w:hyperlink>
          </w:p>
        </w:tc>
        <w:tc>
          <w:tcPr>
            <w:tcW w:w="7080" w:type="dxa"/>
            <w:vAlign w:val="bottom"/>
            <w:tcBorders>
              <w:top w:val="single" w:sz="8" w:color="0000EE"/>
            </w:tcBorders>
            <w:gridSpan w:val="15"/>
          </w:tcPr>
          <w:p>
            <w:pPr>
              <w:spacing w:after="0"/>
              <w:rPr>
                <w:sz w:val="17"/>
                <w:szCs w:val="17"/>
                <w:color w:val="auto"/>
              </w:rPr>
            </w:pPr>
          </w:p>
        </w:tc>
        <w:tc>
          <w:tcPr>
            <w:tcW w:w="280" w:type="dxa"/>
            <w:vAlign w:val="bottom"/>
            <w:gridSpan w:val="9"/>
          </w:tcPr>
          <w:p>
            <w:pPr>
              <w:spacing w:after="0"/>
              <w:rPr>
                <w:sz w:val="17"/>
                <w:szCs w:val="17"/>
                <w:color w:val="auto"/>
              </w:rPr>
            </w:pP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24"/>
                <w:szCs w:val="24"/>
                <w:color w:val="auto"/>
              </w:rPr>
            </w:pPr>
          </w:p>
        </w:tc>
        <w:tc>
          <w:tcPr>
            <w:tcW w:w="9660" w:type="dxa"/>
            <w:vAlign w:val="bottom"/>
            <w:gridSpan w:val="26"/>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Form of Restricted Stock Award Agreement under the 2021 Equity Incentive Plan (incorporated by reference to Exhibit 10.2 to the</w:t>
              </w:r>
            </w:hyperlink>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5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Company’s Registration Statement on Form S-1, filed on October 18, 2021).</w:t>
              </w:r>
            </w:hyperlink>
          </w:p>
        </w:tc>
        <w:tc>
          <w:tcPr>
            <w:tcW w:w="3900" w:type="dxa"/>
            <w:vAlign w:val="bottom"/>
            <w:tcBorders>
              <w:top w:val="single" w:sz="8" w:color="0000EE"/>
            </w:tcBorders>
            <w:gridSpan w:val="13"/>
          </w:tcPr>
          <w:p>
            <w:pPr>
              <w:spacing w:after="0"/>
              <w:rPr>
                <w:sz w:val="17"/>
                <w:szCs w:val="17"/>
                <w:color w:val="auto"/>
              </w:rPr>
            </w:pPr>
          </w:p>
        </w:tc>
        <w:tc>
          <w:tcPr>
            <w:tcW w:w="240" w:type="dxa"/>
            <w:vAlign w:val="bottom"/>
            <w:gridSpan w:val="8"/>
          </w:tcPr>
          <w:p>
            <w:pPr>
              <w:spacing w:after="0"/>
              <w:rPr>
                <w:sz w:val="17"/>
                <w:szCs w:val="17"/>
                <w:color w:val="auto"/>
              </w:rPr>
            </w:pP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4"/>
                <w:szCs w:val="24"/>
                <w:color w:val="auto"/>
              </w:rPr>
            </w:pPr>
          </w:p>
        </w:tc>
        <w:tc>
          <w:tcPr>
            <w:tcW w:w="90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Form of Stock Option Agreement under the 2021 Incentive Plan (incorporated by reference to Exhibit 10.1 to the Company’s</w:t>
              </w:r>
            </w:hyperlink>
          </w:p>
        </w:tc>
        <w:tc>
          <w:tcPr>
            <w:tcW w:w="640" w:type="dxa"/>
            <w:vAlign w:val="bottom"/>
            <w:gridSpan w:val="1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Quarterly Report on Form 10-Q filed on May 15, 2023).</w:t>
              </w:r>
            </w:hyperlink>
          </w:p>
        </w:tc>
        <w:tc>
          <w:tcPr>
            <w:tcW w:w="5600" w:type="dxa"/>
            <w:vAlign w:val="bottom"/>
            <w:gridSpan w:val="23"/>
          </w:tcPr>
          <w:p>
            <w:pPr>
              <w:spacing w:after="0"/>
              <w:rPr>
                <w:sz w:val="17"/>
                <w:szCs w:val="17"/>
                <w:color w:val="auto"/>
              </w:rPr>
            </w:pP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24"/>
                <w:szCs w:val="24"/>
                <w:color w:val="auto"/>
              </w:rPr>
            </w:pPr>
          </w:p>
        </w:tc>
        <w:tc>
          <w:tcPr>
            <w:tcW w:w="9660" w:type="dxa"/>
            <w:vAlign w:val="bottom"/>
            <w:gridSpan w:val="26"/>
          </w:tcPr>
          <w:p>
            <w:pPr>
              <w:spacing w:after="0"/>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Amended &amp; Restated Employment Agreement, dated as of May 12, 2023, by and between P10 Intermediate Holdings LLC, and</w:t>
              </w:r>
            </w:hyperlink>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380" w:type="dxa"/>
            <w:vAlign w:val="bottom"/>
            <w:gridSpan w:val="3"/>
            <w:shd w:val="clear" w:color="auto" w:fill="0000EE"/>
          </w:tcPr>
          <w:p>
            <w:pPr>
              <w:spacing w:after="0" w:line="20" w:lineRule="exact"/>
              <w:rPr>
                <w:sz w:val="1"/>
                <w:szCs w:val="1"/>
                <w:color w:val="auto"/>
              </w:rPr>
            </w:pPr>
          </w:p>
        </w:tc>
        <w:tc>
          <w:tcPr>
            <w:tcW w:w="350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5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Robert Alpert (incorporated by reference to Exhibit 10.3 to the Company’s Quarterly Report on Form 10-Q filed on May 15, 2023).</w:t>
              </w:r>
            </w:hyperlink>
          </w:p>
        </w:tc>
        <w:tc>
          <w:tcPr>
            <w:tcW w:w="160" w:type="dxa"/>
            <w:vAlign w:val="bottom"/>
            <w:gridSpan w:val="5"/>
          </w:tcPr>
          <w:p>
            <w:pPr>
              <w:spacing w:after="0"/>
              <w:rPr>
                <w:sz w:val="17"/>
                <w:szCs w:val="17"/>
                <w:color w:val="auto"/>
              </w:rPr>
            </w:pP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24"/>
                <w:szCs w:val="24"/>
                <w:color w:val="auto"/>
              </w:rPr>
            </w:pPr>
          </w:p>
        </w:tc>
        <w:tc>
          <w:tcPr>
            <w:tcW w:w="95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Executive Transition Agreement, dated as of October 20, 2023, by and between P10 Intermediate Holdings, LLC and Robert Alpert</w:t>
              </w:r>
            </w:hyperlink>
          </w:p>
        </w:tc>
        <w:tc>
          <w:tcPr>
            <w:tcW w:w="120" w:type="dxa"/>
            <w:vAlign w:val="bottom"/>
            <w:gridSpan w:val="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60" w:type="dxa"/>
            <w:vAlign w:val="bottom"/>
            <w:gridSpan w:val="26"/>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(incorporated by reference to Exhibit 10.2 to the Company’s Quarterly Report on Form 10-Q filed on November 13, 2023).</w:t>
              </w:r>
            </w:hyperlink>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380" w:type="dxa"/>
            <w:vAlign w:val="bottom"/>
            <w:gridSpan w:val="3"/>
            <w:shd w:val="clear" w:color="auto" w:fill="0000EE"/>
          </w:tcPr>
          <w:p>
            <w:pPr>
              <w:spacing w:after="0" w:line="20" w:lineRule="exact"/>
              <w:rPr>
                <w:sz w:val="1"/>
                <w:szCs w:val="1"/>
                <w:color w:val="auto"/>
              </w:rPr>
            </w:pPr>
          </w:p>
        </w:tc>
        <w:tc>
          <w:tcPr>
            <w:tcW w:w="350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10.10+</w:t>
            </w:r>
          </w:p>
        </w:tc>
        <w:tc>
          <w:tcPr>
            <w:tcW w:w="80" w:type="dxa"/>
            <w:vAlign w:val="bottom"/>
          </w:tcPr>
          <w:p>
            <w:pPr>
              <w:spacing w:after="0"/>
              <w:rPr>
                <w:sz w:val="24"/>
                <w:szCs w:val="24"/>
                <w:color w:val="auto"/>
              </w:rPr>
            </w:pPr>
          </w:p>
        </w:tc>
        <w:tc>
          <w:tcPr>
            <w:tcW w:w="95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Amended &amp; Restated Employment Agreement, dated as of May 12, 2023, by and between P10 Intermediate Holdings LLC, and C.</w:t>
              </w:r>
            </w:hyperlink>
          </w:p>
        </w:tc>
        <w:tc>
          <w:tcPr>
            <w:tcW w:w="160" w:type="dxa"/>
            <w:vAlign w:val="bottom"/>
            <w:gridSpan w:val="5"/>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3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Clark Webb (incorporated by reference to Exhibit 10.4 to the Company’s Quarterly Report on Form 10-Q filed on May 15, 2023).</w:t>
              </w:r>
            </w:hyperlink>
          </w:p>
        </w:tc>
        <w:tc>
          <w:tcPr>
            <w:tcW w:w="300" w:type="dxa"/>
            <w:vAlign w:val="bottom"/>
            <w:gridSpan w:val="10"/>
          </w:tcPr>
          <w:p>
            <w:pPr>
              <w:spacing w:after="0"/>
              <w:rPr>
                <w:sz w:val="17"/>
                <w:szCs w:val="17"/>
                <w:color w:val="auto"/>
              </w:rPr>
            </w:pP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10.11+</w:t>
            </w:r>
          </w:p>
        </w:tc>
        <w:tc>
          <w:tcPr>
            <w:tcW w:w="80" w:type="dxa"/>
            <w:vAlign w:val="bottom"/>
          </w:tcPr>
          <w:p>
            <w:pPr>
              <w:spacing w:after="0"/>
              <w:rPr>
                <w:sz w:val="24"/>
                <w:szCs w:val="24"/>
                <w:color w:val="auto"/>
              </w:rPr>
            </w:pPr>
          </w:p>
        </w:tc>
        <w:tc>
          <w:tcPr>
            <w:tcW w:w="9660" w:type="dxa"/>
            <w:vAlign w:val="bottom"/>
            <w:gridSpan w:val="26"/>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Executive Transition Agreement, dated as of October 20, 2023, by and between P10 Intermediate Holdings, LLC and C. Clark Webb</w:t>
              </w:r>
            </w:hyperlink>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(incorporated by reference to Exhibit 10.3 to the Company’s Quarterly Report on Form 10-Q filed on November 13, 2023).</w:t>
              </w:r>
            </w:hyperlink>
          </w:p>
        </w:tc>
        <w:tc>
          <w:tcPr>
            <w:tcW w:w="60" w:type="dxa"/>
            <w:vAlign w:val="bottom"/>
            <w:gridSpan w:val="2"/>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380" w:type="dxa"/>
            <w:vAlign w:val="bottom"/>
            <w:gridSpan w:val="3"/>
            <w:shd w:val="clear" w:color="auto" w:fill="0000EE"/>
          </w:tcPr>
          <w:p>
            <w:pPr>
              <w:spacing w:after="0" w:line="20" w:lineRule="exact"/>
              <w:rPr>
                <w:sz w:val="1"/>
                <w:szCs w:val="1"/>
                <w:color w:val="auto"/>
              </w:rPr>
            </w:pPr>
          </w:p>
        </w:tc>
        <w:tc>
          <w:tcPr>
            <w:tcW w:w="350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10.12+</w:t>
            </w:r>
          </w:p>
        </w:tc>
        <w:tc>
          <w:tcPr>
            <w:tcW w:w="80" w:type="dxa"/>
            <w:vAlign w:val="bottom"/>
          </w:tcPr>
          <w:p>
            <w:pPr>
              <w:spacing w:after="0"/>
              <w:rPr>
                <w:sz w:val="24"/>
                <w:szCs w:val="24"/>
                <w:color w:val="auto"/>
              </w:rPr>
            </w:pPr>
          </w:p>
        </w:tc>
        <w:tc>
          <w:tcPr>
            <w:tcW w:w="9660" w:type="dxa"/>
            <w:vAlign w:val="bottom"/>
            <w:gridSpan w:val="26"/>
          </w:tcPr>
          <w:p>
            <w:pPr>
              <w:spacing w:after="0"/>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Employment Agreement, dated as of October 20, 2023, by and between P10 Intermediate Holdings, LLC and Luke A. Sarsfield III</w:t>
              </w:r>
            </w:hyperlink>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92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(incorporated by reference to Exhibit 10.1 to the Company’s Quarterly Report on Form 10-Q filed on November 13, 2023).</w:t>
              </w:r>
            </w:hyperlink>
          </w:p>
        </w:tc>
        <w:tc>
          <w:tcPr>
            <w:tcW w:w="540" w:type="dxa"/>
            <w:vAlign w:val="bottom"/>
            <w:tcBorders>
              <w:top w:val="single" w:sz="8" w:color="0000EE"/>
            </w:tcBorders>
            <w:gridSpan w:val="8"/>
          </w:tcPr>
          <w:p>
            <w:pPr>
              <w:spacing w:after="0"/>
              <w:rPr>
                <w:sz w:val="17"/>
                <w:szCs w:val="17"/>
                <w:color w:val="auto"/>
              </w:rPr>
            </w:pPr>
          </w:p>
        </w:tc>
        <w:tc>
          <w:tcPr>
            <w:tcW w:w="200" w:type="dxa"/>
            <w:vAlign w:val="bottom"/>
            <w:gridSpan w:val="7"/>
          </w:tcPr>
          <w:p>
            <w:pPr>
              <w:spacing w:after="0"/>
              <w:rPr>
                <w:sz w:val="17"/>
                <w:szCs w:val="17"/>
                <w:color w:val="auto"/>
              </w:rPr>
            </w:pP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10.13+</w:t>
            </w:r>
          </w:p>
        </w:tc>
        <w:tc>
          <w:tcPr>
            <w:tcW w:w="80" w:type="dxa"/>
            <w:vAlign w:val="bottom"/>
          </w:tcPr>
          <w:p>
            <w:pPr>
              <w:spacing w:after="0"/>
              <w:rPr>
                <w:sz w:val="24"/>
                <w:szCs w:val="24"/>
                <w:color w:val="auto"/>
              </w:rPr>
            </w:pPr>
          </w:p>
        </w:tc>
        <w:tc>
          <w:tcPr>
            <w:tcW w:w="9660" w:type="dxa"/>
            <w:vAlign w:val="bottom"/>
            <w:gridSpan w:val="26"/>
          </w:tcPr>
          <w:p>
            <w:pPr>
              <w:spacing w:after="0"/>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Amended &amp; Restated Employment Agreement, dated as of February 27, 2024, by and between P10 Intermediate Holdings, LLC and</w:t>
              </w:r>
            </w:hyperlink>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4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Amanda Coussens (incorporated by reference to Exhibit 10.1 to the Company’s Quarterly Report on Form 10-Q filed on May 9,</w:t>
              </w:r>
            </w:hyperlink>
          </w:p>
        </w:tc>
        <w:tc>
          <w:tcPr>
            <w:tcW w:w="340" w:type="dxa"/>
            <w:vAlign w:val="bottom"/>
            <w:tcBorders>
              <w:top w:val="single" w:sz="8" w:color="0000EE"/>
            </w:tcBorders>
            <w:gridSpan w:val="10"/>
          </w:tcPr>
          <w:p>
            <w:pPr>
              <w:spacing w:after="0"/>
              <w:rPr>
                <w:sz w:val="17"/>
                <w:szCs w:val="17"/>
                <w:color w:val="auto"/>
              </w:rPr>
            </w:pPr>
          </w:p>
        </w:tc>
        <w:tc>
          <w:tcPr>
            <w:tcW w:w="8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40" w:type="dxa"/>
            <w:vAlign w:val="bottom"/>
            <w:gridSpan w:val="2"/>
          </w:tcPr>
          <w:p>
            <w:pPr>
              <w:ind w:left="80"/>
              <w:spacing w:after="0" w:line="196" w:lineRule="exact"/>
              <w:rPr>
                <w:rFonts w:ascii="Times New Roman" w:cs="Times New Roman" w:eastAsia="Times New Roman" w:hAnsi="Times New Roman"/>
                <w:sz w:val="18"/>
                <w:szCs w:val="18"/>
                <w:color w:val="0000EE"/>
                <w:w w:val="94"/>
              </w:rPr>
            </w:pPr>
            <w:hyperlink r:id="rId76">
              <w:r>
                <w:rPr>
                  <w:rFonts w:ascii="Times New Roman" w:cs="Times New Roman" w:eastAsia="Times New Roman" w:hAnsi="Times New Roman"/>
                  <w:sz w:val="18"/>
                  <w:szCs w:val="18"/>
                  <w:color w:val="0000EE"/>
                  <w:w w:val="94"/>
                </w:rPr>
                <w:t>2024).</w:t>
              </w:r>
            </w:hyperlink>
          </w:p>
        </w:tc>
        <w:tc>
          <w:tcPr>
            <w:tcW w:w="18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10.14+</w:t>
            </w:r>
          </w:p>
        </w:tc>
        <w:tc>
          <w:tcPr>
            <w:tcW w:w="80" w:type="dxa"/>
            <w:vAlign w:val="bottom"/>
          </w:tcPr>
          <w:p>
            <w:pPr>
              <w:spacing w:after="0"/>
              <w:rPr>
                <w:sz w:val="24"/>
                <w:szCs w:val="24"/>
                <w:color w:val="auto"/>
              </w:rPr>
            </w:pPr>
          </w:p>
        </w:tc>
        <w:tc>
          <w:tcPr>
            <w:tcW w:w="9660" w:type="dxa"/>
            <w:vAlign w:val="bottom"/>
            <w:gridSpan w:val="26"/>
          </w:tcPr>
          <w:p>
            <w:pPr>
              <w:spacing w:after="0"/>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Employment Agreement, dated as of February 27, 2024, by and between P10 Intermediate Holdings, LLC and Richard J. (Arjay)</w:t>
              </w:r>
            </w:hyperlink>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90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Jensen (incorporated by reference to Exhibit 10.2 to the Company’s Quarterly Report on Form 10-Q filed on May 9, 2024).</w:t>
              </w:r>
            </w:hyperlink>
          </w:p>
        </w:tc>
        <w:tc>
          <w:tcPr>
            <w:tcW w:w="440" w:type="dxa"/>
            <w:vAlign w:val="bottom"/>
            <w:tcBorders>
              <w:top w:val="single" w:sz="8" w:color="0000EE"/>
            </w:tcBorders>
            <w:gridSpan w:val="5"/>
          </w:tcPr>
          <w:p>
            <w:pPr>
              <w:spacing w:after="0"/>
              <w:rPr>
                <w:sz w:val="17"/>
                <w:szCs w:val="17"/>
                <w:color w:val="auto"/>
              </w:rPr>
            </w:pPr>
          </w:p>
        </w:tc>
        <w:tc>
          <w:tcPr>
            <w:tcW w:w="320" w:type="dxa"/>
            <w:vAlign w:val="bottom"/>
            <w:gridSpan w:val="11"/>
          </w:tcPr>
          <w:p>
            <w:pPr>
              <w:spacing w:after="0"/>
              <w:rPr>
                <w:sz w:val="17"/>
                <w:szCs w:val="17"/>
                <w:color w:val="auto"/>
              </w:rPr>
            </w:pP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10.15+</w:t>
            </w:r>
          </w:p>
        </w:tc>
        <w:tc>
          <w:tcPr>
            <w:tcW w:w="80" w:type="dxa"/>
            <w:vAlign w:val="bottom"/>
          </w:tcPr>
          <w:p>
            <w:pPr>
              <w:spacing w:after="0"/>
              <w:rPr>
                <w:sz w:val="24"/>
                <w:szCs w:val="24"/>
                <w:color w:val="auto"/>
              </w:rPr>
            </w:pPr>
          </w:p>
        </w:tc>
        <w:tc>
          <w:tcPr>
            <w:tcW w:w="88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Employment Agreement, dated as of February 27, 2024, by and between P10 Intermediate Holdings, LLC and Mark Hood</w:t>
              </w:r>
            </w:hyperlink>
          </w:p>
        </w:tc>
        <w:tc>
          <w:tcPr>
            <w:tcW w:w="780" w:type="dxa"/>
            <w:vAlign w:val="bottom"/>
            <w:gridSpan w:val="17"/>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60" w:type="dxa"/>
            <w:vAlign w:val="bottom"/>
            <w:gridSpan w:val="26"/>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(incorporated by reference to Exhibit 10.3 to the Company’s Quarterly Report on Form 10-Q filed on May 9, 2024).</w:t>
              </w:r>
            </w:hyperlink>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gridSpan w:val="4"/>
            <w:shd w:val="clear" w:color="auto" w:fill="0000EE"/>
          </w:tcPr>
          <w:p>
            <w:pPr>
              <w:spacing w:after="0" w:line="20" w:lineRule="exact"/>
              <w:rPr>
                <w:sz w:val="1"/>
                <w:szCs w:val="1"/>
                <w:color w:val="auto"/>
              </w:rPr>
            </w:pPr>
          </w:p>
        </w:tc>
        <w:tc>
          <w:tcPr>
            <w:tcW w:w="3500" w:type="dxa"/>
            <w:vAlign w:val="bottom"/>
            <w:gridSpan w:val="3"/>
            <w:shd w:val="clear" w:color="auto" w:fill="0000EE"/>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10.16</w:t>
            </w:r>
          </w:p>
        </w:tc>
        <w:tc>
          <w:tcPr>
            <w:tcW w:w="80" w:type="dxa"/>
            <w:vAlign w:val="bottom"/>
          </w:tcPr>
          <w:p>
            <w:pPr>
              <w:spacing w:after="0"/>
              <w:rPr>
                <w:sz w:val="24"/>
                <w:szCs w:val="24"/>
                <w:color w:val="auto"/>
              </w:rPr>
            </w:pPr>
          </w:p>
        </w:tc>
        <w:tc>
          <w:tcPr>
            <w:tcW w:w="9660" w:type="dxa"/>
            <w:vAlign w:val="bottom"/>
            <w:gridSpan w:val="26"/>
          </w:tcPr>
          <w:p>
            <w:pPr>
              <w:spacing w:after="0"/>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Letter Agreement re: Sale and Purchase of Five Points Capital, Inc. (Management Fees—Seller), dated January 16, 2020, by and</w:t>
              </w:r>
            </w:hyperlink>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gridSpan w:val="4"/>
            <w:shd w:val="clear" w:color="auto" w:fill="0000EE"/>
          </w:tcPr>
          <w:p>
            <w:pPr>
              <w:spacing w:after="0" w:line="20" w:lineRule="exact"/>
              <w:rPr>
                <w:sz w:val="1"/>
                <w:szCs w:val="1"/>
                <w:color w:val="auto"/>
              </w:rPr>
            </w:pPr>
          </w:p>
        </w:tc>
        <w:tc>
          <w:tcPr>
            <w:tcW w:w="4400" w:type="dxa"/>
            <w:vAlign w:val="bottom"/>
            <w:tcBorders>
              <w:right w:val="single" w:sz="8" w:color="0000EE"/>
            </w:tcBorders>
            <w:gridSpan w:val="9"/>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6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among P10 Intermediate Holdings LLC, Five Points Capital, Inc., David G. Townsend, in his individual capacity and as Trustee of the</w:t>
              </w:r>
            </w:hyperlink>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60" w:type="dxa"/>
            <w:vAlign w:val="bottom"/>
            <w:gridSpan w:val="26"/>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David G. Townsend Revocable Living Trust Agreement Dated 9-9-2004, Martin P. Gilmore in his individual capacity and as Trustee</w:t>
              </w:r>
            </w:hyperlink>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54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of the Martin Paul Gilmore 2008 Revocable Trust dated March 17, 2008, Thomas H. Westbrook and Christopher N. Jones and each</w:t>
              </w:r>
            </w:hyperlink>
          </w:p>
        </w:tc>
        <w:tc>
          <w:tcPr>
            <w:tcW w:w="120" w:type="dxa"/>
            <w:vAlign w:val="bottom"/>
            <w:gridSpan w:val="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signatory identified as a “GP Entity” on the signature pages thereto (incorporated by reference to Exhibit 10.14 to the Company’s</w:t>
              </w:r>
            </w:hyperlink>
          </w:p>
        </w:tc>
        <w:tc>
          <w:tcPr>
            <w:tcW w:w="180" w:type="dxa"/>
            <w:vAlign w:val="bottom"/>
            <w:tcBorders>
              <w:top w:val="single" w:sz="8" w:color="0000EE"/>
            </w:tcBorders>
            <w:gridSpan w:val="7"/>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Registration Statement on Form S-1, filed on September 27, 2021).</w:t>
              </w:r>
            </w:hyperlink>
          </w:p>
        </w:tc>
        <w:tc>
          <w:tcPr>
            <w:tcW w:w="4820" w:type="dxa"/>
            <w:vAlign w:val="bottom"/>
            <w:gridSpan w:val="22"/>
          </w:tcPr>
          <w:p>
            <w:pPr>
              <w:spacing w:after="0"/>
              <w:rPr>
                <w:sz w:val="17"/>
                <w:szCs w:val="17"/>
                <w:color w:val="auto"/>
              </w:rPr>
            </w:pP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10.17</w:t>
            </w:r>
          </w:p>
        </w:tc>
        <w:tc>
          <w:tcPr>
            <w:tcW w:w="80" w:type="dxa"/>
            <w:vAlign w:val="bottom"/>
          </w:tcPr>
          <w:p>
            <w:pPr>
              <w:spacing w:after="0"/>
              <w:rPr>
                <w:sz w:val="24"/>
                <w:szCs w:val="24"/>
                <w:color w:val="auto"/>
              </w:rPr>
            </w:pPr>
          </w:p>
        </w:tc>
        <w:tc>
          <w:tcPr>
            <w:tcW w:w="94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Letter Agreement re: Sale and Purchase of Five Points Capital, Inc. (Management Fees—Partners), dated January 16, 2020, by and</w:t>
              </w:r>
            </w:hyperlink>
          </w:p>
        </w:tc>
        <w:tc>
          <w:tcPr>
            <w:tcW w:w="180" w:type="dxa"/>
            <w:vAlign w:val="bottom"/>
            <w:gridSpan w:val="6"/>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60" w:type="dxa"/>
            <w:vAlign w:val="bottom"/>
            <w:gridSpan w:val="26"/>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among P10 Intermediate Holdings LLC, Five Points Capital, Inc., Jonathan B. Blanco, S. Whitfield Edwards, Scott L. Snow and</w:t>
              </w:r>
            </w:hyperlink>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440" w:right="560"/>
        <w:spacing w:after="0" w:line="282" w:lineRule="auto"/>
        <w:rPr>
          <w:rFonts w:ascii="Times New Roman" w:cs="Times New Roman" w:eastAsia="Times New Roman" w:hAnsi="Times New Roman"/>
          <w:sz w:val="18"/>
          <w:szCs w:val="18"/>
          <w:u w:val="single" w:color="auto"/>
          <w:color w:val="0000EE"/>
        </w:rPr>
      </w:pPr>
      <w:hyperlink r:id="rId80">
        <w:r>
          <w:rPr>
            <w:rFonts w:ascii="Times New Roman" w:cs="Times New Roman" w:eastAsia="Times New Roman" w:hAnsi="Times New Roman"/>
            <w:sz w:val="18"/>
            <w:szCs w:val="18"/>
            <w:u w:val="single" w:color="auto"/>
            <w:color w:val="0000EE"/>
          </w:rPr>
          <w:t>Marshall C. White (incorporated by reference to Exhibit 10.15 to the Company’s Registration Statement on Form S-1, filed on</w:t>
        </w:r>
      </w:hyperlink>
      <w:r>
        <w:rPr>
          <w:rFonts w:ascii="Times New Roman" w:cs="Times New Roman" w:eastAsia="Times New Roman" w:hAnsi="Times New Roman"/>
          <w:sz w:val="18"/>
          <w:szCs w:val="18"/>
          <w:u w:val="single" w:color="auto"/>
          <w:color w:val="0000EE"/>
        </w:rPr>
        <w:t xml:space="preserve"> </w:t>
      </w:r>
      <w:hyperlink r:id="rId80">
        <w:r>
          <w:rPr>
            <w:rFonts w:ascii="Times New Roman" w:cs="Times New Roman" w:eastAsia="Times New Roman" w:hAnsi="Times New Roman"/>
            <w:sz w:val="18"/>
            <w:szCs w:val="18"/>
            <w:u w:val="single" w:color="auto"/>
            <w:color w:val="0000EE"/>
          </w:rPr>
          <w:t>September 27, 2021).</w:t>
        </w:r>
      </w:hyperlink>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00"/>
          </w:cols>
          <w:pgMar w:left="320" w:top="446" w:right="47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93"/>
        </w:trPr>
        <w:tc>
          <w:tcPr>
            <w:tcW w:w="13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10.18</w:t>
            </w:r>
          </w:p>
        </w:tc>
        <w:tc>
          <w:tcPr>
            <w:tcW w:w="80" w:type="dxa"/>
            <w:vAlign w:val="bottom"/>
          </w:tcPr>
          <w:p>
            <w:pPr>
              <w:spacing w:after="0"/>
              <w:rPr>
                <w:sz w:val="24"/>
                <w:szCs w:val="24"/>
                <w:color w:val="auto"/>
              </w:rPr>
            </w:pPr>
          </w:p>
        </w:tc>
        <w:tc>
          <w:tcPr>
            <w:tcW w:w="9680" w:type="dxa"/>
            <w:vAlign w:val="bottom"/>
            <w:gridSpan w:val="27"/>
          </w:tcPr>
          <w:p>
            <w:pPr>
              <w:spacing w:after="0"/>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Letter Agreement re: Sale and Purchase of TrueBridge Capital Partners LLC, dated August 24, 2020, by and among P10 Intermediate</w:t>
              </w:r>
            </w:hyperlink>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540" w:type="dxa"/>
            <w:vAlign w:val="bottom"/>
            <w:tcBorders>
              <w:top w:val="single" w:sz="8" w:color="0000EE"/>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Holdings LLC, TrueBridge Capital Partners LLC, Edwin Poston and Mel A. Williams (incorporated by reference to Exhibit 10.16 to</w:t>
              </w:r>
            </w:hyperlink>
          </w:p>
        </w:tc>
        <w:tc>
          <w:tcPr>
            <w:tcW w:w="12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80" w:type="dxa"/>
            <w:vAlign w:val="bottom"/>
            <w:gridSpan w:val="27"/>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the Company’s Registration Statement on Form S-1, filed on September 27, 2021).</w:t>
              </w:r>
            </w:hyperlink>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13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10.19</w:t>
            </w:r>
          </w:p>
        </w:tc>
        <w:tc>
          <w:tcPr>
            <w:tcW w:w="80" w:type="dxa"/>
            <w:vAlign w:val="bottom"/>
          </w:tcPr>
          <w:p>
            <w:pPr>
              <w:spacing w:after="0"/>
              <w:rPr>
                <w:sz w:val="24"/>
                <w:szCs w:val="24"/>
                <w:color w:val="auto"/>
              </w:rPr>
            </w:pPr>
          </w:p>
        </w:tc>
        <w:tc>
          <w:tcPr>
            <w:tcW w:w="93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Fifth Amendment to Credit and Guaranty Agreement, dated as of December 14, 2020, by and among P10 RCP Holdco LLC, P10</w:t>
              </w:r>
            </w:hyperlink>
          </w:p>
        </w:tc>
        <w:tc>
          <w:tcPr>
            <w:tcW w:w="320" w:type="dxa"/>
            <w:vAlign w:val="bottom"/>
            <w:gridSpan w:val="11"/>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5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Holdings, Inc., P10 Intermediate Holdings LLC, RCP Advisors 2, LLC, RCP Advisors 3, LLC, Five Points Capital, Inc., TrueBridge</w:t>
              </w:r>
            </w:hyperlink>
          </w:p>
        </w:tc>
        <w:tc>
          <w:tcPr>
            <w:tcW w:w="100" w:type="dxa"/>
            <w:vAlign w:val="bottom"/>
            <w:gridSpan w:val="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80" w:type="dxa"/>
            <w:vAlign w:val="bottom"/>
            <w:gridSpan w:val="27"/>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Capital Partners LLC and HPS Investment Partners, LLC (incorporated by reference to Exhibit 10.17 to the Company’s Registration</w:t>
              </w:r>
            </w:hyperlink>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Statement on Form S-1, filed on September 27, 2021).</w:t>
              </w:r>
            </w:hyperlink>
          </w:p>
        </w:tc>
        <w:tc>
          <w:tcPr>
            <w:tcW w:w="5600" w:type="dxa"/>
            <w:vAlign w:val="bottom"/>
            <w:tcBorders>
              <w:top w:val="single" w:sz="8" w:color="0000EE"/>
            </w:tcBorders>
            <w:gridSpan w:val="21"/>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304"/>
        </w:trPr>
        <w:tc>
          <w:tcPr>
            <w:tcW w:w="13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10.20</w:t>
            </w:r>
          </w:p>
        </w:tc>
        <w:tc>
          <w:tcPr>
            <w:tcW w:w="80" w:type="dxa"/>
            <w:vAlign w:val="bottom"/>
          </w:tcPr>
          <w:p>
            <w:pPr>
              <w:spacing w:after="0"/>
              <w:rPr>
                <w:sz w:val="24"/>
                <w:szCs w:val="24"/>
                <w:color w:val="auto"/>
              </w:rPr>
            </w:pPr>
          </w:p>
        </w:tc>
        <w:tc>
          <w:tcPr>
            <w:tcW w:w="93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Enhanced Reorganization Agreement, dated as of November 19, 2020, by and among Enhanced Capital Group, LLC, a Delaware</w:t>
              </w:r>
            </w:hyperlink>
          </w:p>
        </w:tc>
        <w:tc>
          <w:tcPr>
            <w:tcW w:w="320" w:type="dxa"/>
            <w:vAlign w:val="bottom"/>
            <w:gridSpan w:val="11"/>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limited liability company, Enhanced Tax Credit Finance, LLC, a Delaware limited liability company, Enhanced Capital Partners, LLC,</w:t>
              </w:r>
            </w:hyperlink>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a Delaware limited liability company, Enhanced Permanent Capital, LLC, a Delaware limited liability company, Enhanced Capital</w:t>
              </w:r>
            </w:hyperlink>
          </w:p>
        </w:tc>
        <w:tc>
          <w:tcPr>
            <w:tcW w:w="280" w:type="dxa"/>
            <w:vAlign w:val="bottom"/>
            <w:gridSpan w:val="9"/>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Holdings, Inc., a Delaware corporation, and solely for purposes of Section 3.1(c), Michael Korengold (incorporated by reference to</w:t>
              </w:r>
            </w:hyperlink>
          </w:p>
        </w:tc>
        <w:tc>
          <w:tcPr>
            <w:tcW w:w="220" w:type="dxa"/>
            <w:vAlign w:val="bottom"/>
            <w:gridSpan w:val="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Exhibit 10.18 to the Company’s Registration Statement on Form S-1, filed on September 27, 2021).</w:t>
              </w:r>
            </w:hyperlink>
          </w:p>
        </w:tc>
        <w:tc>
          <w:tcPr>
            <w:tcW w:w="2500" w:type="dxa"/>
            <w:vAlign w:val="bottom"/>
            <w:gridSpan w:val="22"/>
          </w:tcPr>
          <w:p>
            <w:pPr>
              <w:spacing w:after="0"/>
              <w:rPr>
                <w:sz w:val="17"/>
                <w:szCs w:val="17"/>
                <w:color w:val="auto"/>
              </w:rPr>
            </w:pPr>
          </w:p>
        </w:tc>
      </w:tr>
      <w:tr>
        <w:trPr>
          <w:trHeight w:val="304"/>
        </w:trPr>
        <w:tc>
          <w:tcPr>
            <w:tcW w:w="13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10.21</w:t>
            </w:r>
          </w:p>
        </w:tc>
        <w:tc>
          <w:tcPr>
            <w:tcW w:w="80" w:type="dxa"/>
            <w:vAlign w:val="bottom"/>
          </w:tcPr>
          <w:p>
            <w:pPr>
              <w:spacing w:after="0"/>
              <w:rPr>
                <w:sz w:val="24"/>
                <w:szCs w:val="24"/>
                <w:color w:val="auto"/>
              </w:rPr>
            </w:pPr>
          </w:p>
        </w:tc>
        <w:tc>
          <w:tcPr>
            <w:tcW w:w="9680" w:type="dxa"/>
            <w:vAlign w:val="bottom"/>
            <w:gridSpan w:val="27"/>
          </w:tcPr>
          <w:p>
            <w:pPr>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Amendment No. 1 to the Enhanced Reorganization Agreement, dated as of December 14, 2020, by and among Enhanced Capital</w:t>
              </w:r>
            </w:hyperlink>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10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Group, LLC, a Delaware limited liability company, Enhanced Tax Credit Finance, LLC, a Delaware limited liability company,</w:t>
              </w:r>
            </w:hyperlink>
          </w:p>
        </w:tc>
        <w:tc>
          <w:tcPr>
            <w:tcW w:w="220" w:type="dxa"/>
            <w:vAlign w:val="bottom"/>
            <w:tcBorders>
              <w:top w:val="single" w:sz="8" w:color="0000EE"/>
            </w:tcBorders>
            <w:gridSpan w:val="3"/>
          </w:tcPr>
          <w:p>
            <w:pPr>
              <w:spacing w:after="0"/>
              <w:rPr>
                <w:sz w:val="17"/>
                <w:szCs w:val="17"/>
                <w:color w:val="auto"/>
              </w:rPr>
            </w:pPr>
          </w:p>
        </w:tc>
        <w:tc>
          <w:tcPr>
            <w:tcW w:w="360" w:type="dxa"/>
            <w:vAlign w:val="bottom"/>
            <w:gridSpan w:val="1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80" w:type="dxa"/>
            <w:vAlign w:val="bottom"/>
            <w:gridSpan w:val="27"/>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Enhanced Capital Partners, LLC, a Delaware limited liability company, Enhanced Permanent Capital, LLC, a Delaware limited</w:t>
              </w:r>
            </w:hyperlink>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2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80" w:type="dxa"/>
            <w:vAlign w:val="bottom"/>
            <w:gridSpan w:val="27"/>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liability company, and Enhanced Capital Holdings, Inc., a Delaware corporation (incorporated by reference to Exhibit 10.19 to the</w:t>
              </w:r>
            </w:hyperlink>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3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Company’s Registration Statement on Form S-1, filed on September 27, 2021).</w:t>
              </w:r>
            </w:hyperlink>
          </w:p>
        </w:tc>
        <w:tc>
          <w:tcPr>
            <w:tcW w:w="300" w:type="dxa"/>
            <w:vAlign w:val="bottom"/>
            <w:gridSpan w:val="10"/>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2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04"/>
        </w:trPr>
        <w:tc>
          <w:tcPr>
            <w:tcW w:w="13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10.22</w:t>
            </w:r>
          </w:p>
        </w:tc>
        <w:tc>
          <w:tcPr>
            <w:tcW w:w="80" w:type="dxa"/>
            <w:vAlign w:val="bottom"/>
          </w:tcPr>
          <w:p>
            <w:pPr>
              <w:spacing w:after="0"/>
              <w:rPr>
                <w:sz w:val="24"/>
                <w:szCs w:val="24"/>
                <w:color w:val="auto"/>
              </w:rPr>
            </w:pPr>
          </w:p>
        </w:tc>
        <w:tc>
          <w:tcPr>
            <w:tcW w:w="93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Amendment No. 2 to the Enhanced Reorganization Agreement, dated as of December 23, 2020, but effective as of December 14,</w:t>
              </w:r>
            </w:hyperlink>
          </w:p>
        </w:tc>
        <w:tc>
          <w:tcPr>
            <w:tcW w:w="340" w:type="dxa"/>
            <w:vAlign w:val="bottom"/>
            <w:gridSpan w:val="12"/>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3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2020, by and among Enhanced Capital Group, LLC, a Delaware limited liability company, Enhanced Tax Credit Finance, LLC, a</w:t>
              </w:r>
            </w:hyperlink>
          </w:p>
        </w:tc>
        <w:tc>
          <w:tcPr>
            <w:tcW w:w="380" w:type="dxa"/>
            <w:vAlign w:val="bottom"/>
            <w:gridSpan w:val="1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3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Delaware limited liability company, Enhanced Capital Partners, LLC, a Delaware limited liability company, Enhanced Permanent</w:t>
              </w:r>
            </w:hyperlink>
          </w:p>
        </w:tc>
        <w:tc>
          <w:tcPr>
            <w:tcW w:w="340" w:type="dxa"/>
            <w:vAlign w:val="bottom"/>
            <w:gridSpan w:val="1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Capital, LLC, a Delaware limited liability company, and Enhanced Capital Holdings, Inc., a Delaware corporation (incorporated by</w:t>
              </w:r>
            </w:hyperlink>
          </w:p>
        </w:tc>
        <w:tc>
          <w:tcPr>
            <w:tcW w:w="200" w:type="dxa"/>
            <w:vAlign w:val="bottom"/>
            <w:gridSpan w:val="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reference to Exhibit 10.20 to the Company’s Registration Statement on Form S-1, filed on September 27, 2021).</w:t>
              </w:r>
            </w:hyperlink>
          </w:p>
        </w:tc>
        <w:tc>
          <w:tcPr>
            <w:tcW w:w="1600" w:type="dxa"/>
            <w:vAlign w:val="bottom"/>
            <w:gridSpan w:val="19"/>
          </w:tcPr>
          <w:p>
            <w:pPr>
              <w:spacing w:after="0"/>
              <w:rPr>
                <w:sz w:val="17"/>
                <w:szCs w:val="17"/>
                <w:color w:val="auto"/>
              </w:rPr>
            </w:pPr>
          </w:p>
        </w:tc>
      </w:tr>
      <w:tr>
        <w:trPr>
          <w:trHeight w:val="304"/>
        </w:trPr>
        <w:tc>
          <w:tcPr>
            <w:tcW w:w="13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10.23</w:t>
            </w:r>
          </w:p>
        </w:tc>
        <w:tc>
          <w:tcPr>
            <w:tcW w:w="80" w:type="dxa"/>
            <w:vAlign w:val="bottom"/>
          </w:tcPr>
          <w:p>
            <w:pPr>
              <w:spacing w:after="0"/>
              <w:rPr>
                <w:sz w:val="24"/>
                <w:szCs w:val="24"/>
                <w:color w:val="auto"/>
              </w:rPr>
            </w:pPr>
          </w:p>
        </w:tc>
        <w:tc>
          <w:tcPr>
            <w:tcW w:w="9680" w:type="dxa"/>
            <w:vAlign w:val="bottom"/>
            <w:gridSpan w:val="27"/>
          </w:tcPr>
          <w:p>
            <w:pPr>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Administrative Services Agreement, dated as of November 19, 2020, by and between Enhanced Capital Group, LLC, a Delaware</w:t>
              </w:r>
            </w:hyperlink>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20" w:type="dxa"/>
            <w:vAlign w:val="bottom"/>
            <w:gridSpan w:val="2"/>
            <w:shd w:val="clear" w:color="auto" w:fill="0000EE"/>
          </w:tcPr>
          <w:p>
            <w:pPr>
              <w:spacing w:after="0" w:line="20" w:lineRule="exact"/>
              <w:rPr>
                <w:sz w:val="1"/>
                <w:szCs w:val="1"/>
                <w:color w:val="auto"/>
              </w:rPr>
            </w:pPr>
          </w:p>
        </w:tc>
        <w:tc>
          <w:tcPr>
            <w:tcW w:w="37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80" w:type="dxa"/>
            <w:vAlign w:val="bottom"/>
            <w:gridSpan w:val="27"/>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limited liability company, and Enhanced Capital Holdings, Inc., a Delaware corporation. Certain information in this document has</w:t>
              </w:r>
            </w:hyperlink>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30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been omitted pursuant to Regulation S-K, Item 601(a)(6) because it contains personally identifiable information (incorporated by</w:t>
              </w:r>
            </w:hyperlink>
          </w:p>
        </w:tc>
        <w:tc>
          <w:tcPr>
            <w:tcW w:w="60" w:type="dxa"/>
            <w:vAlign w:val="bottom"/>
            <w:tcBorders>
              <w:top w:val="single" w:sz="8" w:color="0000EE"/>
            </w:tcBorders>
            <w:gridSpan w:val="3"/>
          </w:tcPr>
          <w:p>
            <w:pPr>
              <w:spacing w:after="0"/>
              <w:rPr>
                <w:sz w:val="17"/>
                <w:szCs w:val="17"/>
                <w:color w:val="auto"/>
              </w:rPr>
            </w:pPr>
          </w:p>
        </w:tc>
        <w:tc>
          <w:tcPr>
            <w:tcW w:w="320" w:type="dxa"/>
            <w:vAlign w:val="bottom"/>
            <w:gridSpan w:val="11"/>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1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reference to Exhibit 10.21 to the Company’s Registration Statement on Form S-1, filed on September 27, 2021).</w:t>
              </w:r>
            </w:hyperlink>
          </w:p>
        </w:tc>
        <w:tc>
          <w:tcPr>
            <w:tcW w:w="1560" w:type="dxa"/>
            <w:vAlign w:val="bottom"/>
            <w:gridSpan w:val="18"/>
          </w:tcPr>
          <w:p>
            <w:pPr>
              <w:spacing w:after="0"/>
              <w:rPr>
                <w:sz w:val="17"/>
                <w:szCs w:val="17"/>
                <w:color w:val="auto"/>
              </w:rPr>
            </w:pPr>
          </w:p>
        </w:tc>
      </w:tr>
      <w:tr>
        <w:trPr>
          <w:trHeight w:val="304"/>
        </w:trPr>
        <w:tc>
          <w:tcPr>
            <w:tcW w:w="13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10.24</w:t>
            </w:r>
          </w:p>
        </w:tc>
        <w:tc>
          <w:tcPr>
            <w:tcW w:w="80" w:type="dxa"/>
            <w:vAlign w:val="bottom"/>
          </w:tcPr>
          <w:p>
            <w:pPr>
              <w:spacing w:after="0"/>
              <w:rPr>
                <w:sz w:val="24"/>
                <w:szCs w:val="24"/>
                <w:color w:val="auto"/>
              </w:rPr>
            </w:pPr>
          </w:p>
        </w:tc>
        <w:tc>
          <w:tcPr>
            <w:tcW w:w="9680" w:type="dxa"/>
            <w:vAlign w:val="bottom"/>
            <w:gridSpan w:val="27"/>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Advisory Agreement, dated as of November 19, 2020, by and between Enhanced Capital Group, LLC, a Delaware limited liability</w:t>
              </w:r>
            </w:hyperlink>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20" w:type="dxa"/>
            <w:vAlign w:val="bottom"/>
            <w:gridSpan w:val="2"/>
            <w:shd w:val="clear" w:color="auto" w:fill="0000EE"/>
          </w:tcPr>
          <w:p>
            <w:pPr>
              <w:spacing w:after="0" w:line="20" w:lineRule="exact"/>
              <w:rPr>
                <w:sz w:val="1"/>
                <w:szCs w:val="1"/>
                <w:color w:val="auto"/>
              </w:rPr>
            </w:pPr>
          </w:p>
        </w:tc>
        <w:tc>
          <w:tcPr>
            <w:tcW w:w="37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company, and Enhanced Permanent Capital, LLC, a Delaware limited liability company (incorporated by reference to Exhibit 10.22 to</w:t>
              </w:r>
            </w:hyperlink>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80" w:type="dxa"/>
            <w:vAlign w:val="bottom"/>
            <w:gridSpan w:val="27"/>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the Company’s Registration Statement on Form S-1, filed on September 27, 2021).Certain information in this document has been</w:t>
              </w:r>
            </w:hyperlink>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omitted pursuant to Regulation S-K, Item 601(a)(6) because it contains personally identifiable information.</w:t>
              </w:r>
            </w:hyperlink>
          </w:p>
        </w:tc>
        <w:tc>
          <w:tcPr>
            <w:tcW w:w="1580" w:type="dxa"/>
            <w:vAlign w:val="bottom"/>
            <w:tcBorders>
              <w:top w:val="single" w:sz="8" w:color="0000EE"/>
            </w:tcBorders>
            <w:gridSpan w:val="7"/>
          </w:tcPr>
          <w:p>
            <w:pPr>
              <w:spacing w:after="0"/>
              <w:rPr>
                <w:sz w:val="17"/>
                <w:szCs w:val="17"/>
                <w:color w:val="auto"/>
              </w:rPr>
            </w:pPr>
          </w:p>
        </w:tc>
        <w:tc>
          <w:tcPr>
            <w:tcW w:w="380" w:type="dxa"/>
            <w:vAlign w:val="bottom"/>
            <w:gridSpan w:val="14"/>
          </w:tcPr>
          <w:p>
            <w:pPr>
              <w:spacing w:after="0"/>
              <w:rPr>
                <w:sz w:val="17"/>
                <w:szCs w:val="17"/>
                <w:color w:val="auto"/>
              </w:rPr>
            </w:pPr>
          </w:p>
        </w:tc>
      </w:tr>
      <w:tr>
        <w:trPr>
          <w:trHeight w:val="304"/>
        </w:trPr>
        <w:tc>
          <w:tcPr>
            <w:tcW w:w="13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10.25</w:t>
            </w:r>
          </w:p>
        </w:tc>
        <w:tc>
          <w:tcPr>
            <w:tcW w:w="80" w:type="dxa"/>
            <w:vAlign w:val="bottom"/>
          </w:tcPr>
          <w:p>
            <w:pPr>
              <w:spacing w:after="0"/>
              <w:rPr>
                <w:sz w:val="24"/>
                <w:szCs w:val="24"/>
                <w:color w:val="auto"/>
              </w:rPr>
            </w:pPr>
          </w:p>
        </w:tc>
        <w:tc>
          <w:tcPr>
            <w:tcW w:w="956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Form of Company Lock-Up Agreement, by and between P10, Inc. and the party listed on the signature page thereto (incorporated by</w:t>
              </w:r>
            </w:hyperlink>
          </w:p>
        </w:tc>
        <w:tc>
          <w:tcPr>
            <w:tcW w:w="120" w:type="dxa"/>
            <w:vAlign w:val="bottom"/>
            <w:gridSpan w:val="3"/>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80" w:type="dxa"/>
            <w:vAlign w:val="bottom"/>
            <w:gridSpan w:val="27"/>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reference to Exhibit 10.28 to the Company’s Registration Statement on Form S-1, filed on October 12, 2021).</w:t>
              </w:r>
            </w:hyperlink>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20" w:type="dxa"/>
            <w:vAlign w:val="bottom"/>
            <w:gridSpan w:val="2"/>
            <w:shd w:val="clear" w:color="auto" w:fill="0000EE"/>
          </w:tcPr>
          <w:p>
            <w:pPr>
              <w:spacing w:after="0" w:line="20" w:lineRule="exact"/>
              <w:rPr>
                <w:sz w:val="1"/>
                <w:szCs w:val="1"/>
                <w:color w:val="auto"/>
              </w:rPr>
            </w:pPr>
          </w:p>
        </w:tc>
        <w:tc>
          <w:tcPr>
            <w:tcW w:w="3860" w:type="dxa"/>
            <w:vAlign w:val="bottom"/>
            <w:gridSpan w:val="5"/>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r>
      <w:tr>
        <w:trPr>
          <w:trHeight w:val="304"/>
        </w:trPr>
        <w:tc>
          <w:tcPr>
            <w:tcW w:w="13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10.26</w:t>
            </w:r>
          </w:p>
        </w:tc>
        <w:tc>
          <w:tcPr>
            <w:tcW w:w="80" w:type="dxa"/>
            <w:vAlign w:val="bottom"/>
          </w:tcPr>
          <w:p>
            <w:pPr>
              <w:spacing w:after="0"/>
              <w:rPr>
                <w:sz w:val="24"/>
                <w:szCs w:val="24"/>
                <w:color w:val="auto"/>
              </w:rPr>
            </w:pPr>
          </w:p>
        </w:tc>
        <w:tc>
          <w:tcPr>
            <w:tcW w:w="9680" w:type="dxa"/>
            <w:vAlign w:val="bottom"/>
            <w:gridSpan w:val="27"/>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Sale and Purchase Agreement, dated August 25, 2022, by and among Westech Investment Advisors LLC, P10, Inc., Westech</w:t>
              </w:r>
            </w:hyperlink>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20" w:type="dxa"/>
            <w:vAlign w:val="bottom"/>
            <w:gridSpan w:val="2"/>
            <w:shd w:val="clear" w:color="auto" w:fill="0000EE"/>
          </w:tcPr>
          <w:p>
            <w:pPr>
              <w:spacing w:after="0" w:line="20" w:lineRule="exact"/>
              <w:rPr>
                <w:sz w:val="1"/>
                <w:szCs w:val="1"/>
                <w:color w:val="auto"/>
              </w:rPr>
            </w:pPr>
          </w:p>
        </w:tc>
        <w:tc>
          <w:tcPr>
            <w:tcW w:w="5000" w:type="dxa"/>
            <w:vAlign w:val="bottom"/>
            <w:gridSpan w:val="8"/>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Investment Management, Inc., Maurice C. Werdegar, David R. Wanek, the Bonnie Sue Swenson Survivors Trust and Jay L. Cohan,</w:t>
              </w:r>
            </w:hyperlink>
          </w:p>
        </w:tc>
        <w:tc>
          <w:tcPr>
            <w:tcW w:w="220" w:type="dxa"/>
            <w:vAlign w:val="bottom"/>
            <w:gridSpan w:val="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80" w:type="dxa"/>
            <w:vAlign w:val="bottom"/>
            <w:gridSpan w:val="27"/>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and David R. Wanek (in his capacity as the Seller Representative) (incorporated by reference to Exhibit 10.1 to the Company’s</w:t>
              </w:r>
            </w:hyperlink>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Current Report on Form 8-K filed on August 26, 2022).</w:t>
              </w:r>
            </w:hyperlink>
          </w:p>
        </w:tc>
        <w:tc>
          <w:tcPr>
            <w:tcW w:w="5140" w:type="dxa"/>
            <w:vAlign w:val="bottom"/>
            <w:tcBorders>
              <w:top w:val="single" w:sz="8" w:color="0000EE"/>
            </w:tcBorders>
            <w:gridSpan w:val="10"/>
          </w:tcPr>
          <w:p>
            <w:pPr>
              <w:spacing w:after="0"/>
              <w:rPr>
                <w:sz w:val="17"/>
                <w:szCs w:val="17"/>
                <w:color w:val="auto"/>
              </w:rPr>
            </w:pPr>
          </w:p>
        </w:tc>
        <w:tc>
          <w:tcPr>
            <w:tcW w:w="520" w:type="dxa"/>
            <w:vAlign w:val="bottom"/>
            <w:gridSpan w:val="15"/>
          </w:tcPr>
          <w:p>
            <w:pPr>
              <w:spacing w:after="0"/>
              <w:rPr>
                <w:sz w:val="17"/>
                <w:szCs w:val="17"/>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1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20"/>
          </w:cols>
          <w:pgMar w:left="320" w:top="446" w:right="4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93"/>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tcPr>
          <w:p>
            <w:pPr>
              <w:spacing w:after="0"/>
              <w:rPr>
                <w:sz w:val="24"/>
                <w:szCs w:val="24"/>
                <w:color w:val="auto"/>
              </w:rPr>
            </w:pPr>
          </w:p>
        </w:tc>
        <w:tc>
          <w:tcPr>
            <w:tcW w:w="95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Exchange Agreement, dated August 25, 2022 by and among P10, Inc., P10 Holdings Inc., P10 Intermediate Holdings LLC, and the</w:t>
              </w:r>
            </w:hyperlink>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500" w:type="dxa"/>
            <w:vAlign w:val="bottom"/>
            <w:gridSpan w:val="10"/>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other signatories thereto (incorporated by reference to Exhibit 10.2 to the Company’s Current Report on Form 8-K filed on</w:t>
              </w:r>
            </w:hyperlink>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92">
              <w:r>
                <w:rPr>
                  <w:rFonts w:ascii="Times New Roman" w:cs="Times New Roman" w:eastAsia="Times New Roman" w:hAnsi="Times New Roman"/>
                  <w:sz w:val="18"/>
                  <w:szCs w:val="18"/>
                  <w:color w:val="0000EE"/>
                  <w:w w:val="98"/>
                </w:rPr>
                <w:t>August 26, 2022).</w:t>
              </w:r>
            </w:hyperlink>
          </w:p>
        </w:tc>
        <w:tc>
          <w:tcPr>
            <w:tcW w:w="7580" w:type="dxa"/>
            <w:vAlign w:val="bottom"/>
            <w:tcBorders>
              <w:top w:val="single" w:sz="8" w:color="0000EE"/>
            </w:tcBorders>
            <w:gridSpan w:val="4"/>
          </w:tcPr>
          <w:p>
            <w:pPr>
              <w:spacing w:after="0"/>
              <w:rPr>
                <w:sz w:val="17"/>
                <w:szCs w:val="17"/>
                <w:color w:val="auto"/>
              </w:rPr>
            </w:pPr>
          </w:p>
        </w:tc>
        <w:tc>
          <w:tcPr>
            <w:tcW w:w="620" w:type="dxa"/>
            <w:vAlign w:val="bottom"/>
            <w:gridSpan w:val="3"/>
          </w:tcPr>
          <w:p>
            <w:pPr>
              <w:spacing w:after="0"/>
              <w:rPr>
                <w:sz w:val="17"/>
                <w:szCs w:val="17"/>
                <w:color w:val="auto"/>
              </w:rPr>
            </w:pP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10.28</w:t>
            </w:r>
          </w:p>
        </w:tc>
        <w:tc>
          <w:tcPr>
            <w:tcW w:w="80" w:type="dxa"/>
            <w:vAlign w:val="bottom"/>
          </w:tcPr>
          <w:p>
            <w:pPr>
              <w:spacing w:after="0"/>
              <w:rPr>
                <w:sz w:val="24"/>
                <w:szCs w:val="24"/>
                <w:color w:val="auto"/>
              </w:rPr>
            </w:pPr>
          </w:p>
        </w:tc>
        <w:tc>
          <w:tcPr>
            <w:tcW w:w="92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Increase Joinder and Credit Agreement First Amendment, dated August 25, 2022, by and among P10, Inc., the Guarantors party</w:t>
              </w:r>
            </w:hyperlink>
          </w:p>
        </w:tc>
        <w:tc>
          <w:tcPr>
            <w:tcW w:w="240" w:type="dxa"/>
            <w:vAlign w:val="bottom"/>
            <w:gridSpan w:val="2"/>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5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thereto from time to time, the Lenders party thereto from time to time and JPMorgan Chase Bank, N.A., as administrative agent and</w:t>
              </w:r>
            </w:hyperlink>
          </w:p>
        </w:tc>
      </w:tr>
      <w:tr>
        <w:trPr>
          <w:trHeight w:val="196"/>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5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collateral agent (incorporated by reference to Exhibit 10.3 to the Company’s Current Report in Form 8-K filed on August 26, 2022).</w:t>
              </w:r>
            </w:hyperlink>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24"/>
                <w:szCs w:val="24"/>
                <w:color w:val="auto"/>
              </w:rPr>
            </w:pPr>
          </w:p>
        </w:tc>
        <w:tc>
          <w:tcPr>
            <w:tcW w:w="93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List of Subsidiaries (incorporated by reference to Exhibit 21.1 to the Company’s Annual Report on Form 10-K filed on March 13,</w:t>
              </w:r>
            </w:hyperlink>
          </w:p>
        </w:tc>
        <w:tc>
          <w:tcPr>
            <w:tcW w:w="14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40" w:type="dxa"/>
            <w:vAlign w:val="bottom"/>
            <w:gridSpan w:val="2"/>
          </w:tcPr>
          <w:p>
            <w:pPr>
              <w:ind w:left="80"/>
              <w:spacing w:after="0" w:line="196" w:lineRule="exact"/>
              <w:rPr>
                <w:rFonts w:ascii="Times New Roman" w:cs="Times New Roman" w:eastAsia="Times New Roman" w:hAnsi="Times New Roman"/>
                <w:sz w:val="18"/>
                <w:szCs w:val="18"/>
                <w:color w:val="0000EE"/>
                <w:w w:val="94"/>
              </w:rPr>
            </w:pPr>
            <w:hyperlink r:id="rId94">
              <w:r>
                <w:rPr>
                  <w:rFonts w:ascii="Times New Roman" w:cs="Times New Roman" w:eastAsia="Times New Roman" w:hAnsi="Times New Roman"/>
                  <w:sz w:val="18"/>
                  <w:szCs w:val="18"/>
                  <w:color w:val="0000EE"/>
                  <w:w w:val="94"/>
                </w:rPr>
                <w:t>2024).</w:t>
              </w:r>
            </w:hyperlink>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80" w:type="dxa"/>
            <w:vAlign w:val="bottom"/>
            <w:gridSpan w:val="4"/>
          </w:tcPr>
          <w:p>
            <w:pPr>
              <w:spacing w:after="0" w:line="20" w:lineRule="exact"/>
              <w:rPr>
                <w:sz w:val="1"/>
                <w:szCs w:val="1"/>
                <w:color w:val="auto"/>
              </w:rPr>
            </w:pP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24"/>
                <w:szCs w:val="24"/>
                <w:color w:val="auto"/>
              </w:rPr>
            </w:pPr>
          </w:p>
        </w:tc>
        <w:tc>
          <w:tcPr>
            <w:tcW w:w="52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Consent of KPMG LLP, Independent Registered Public Accounting Firm</w:t>
            </w:r>
          </w:p>
        </w:tc>
        <w:tc>
          <w:tcPr>
            <w:tcW w:w="4220" w:type="dxa"/>
            <w:vAlign w:val="bottom"/>
            <w:gridSpan w:val="5"/>
          </w:tcPr>
          <w:p>
            <w:pPr>
              <w:spacing w:after="0"/>
              <w:rPr>
                <w:sz w:val="24"/>
                <w:szCs w:val="24"/>
                <w:color w:val="auto"/>
              </w:rPr>
            </w:pP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24"/>
                <w:szCs w:val="24"/>
                <w:color w:val="auto"/>
              </w:rPr>
            </w:pPr>
          </w:p>
        </w:tc>
        <w:tc>
          <w:tcPr>
            <w:tcW w:w="54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Consent of Kramer Levin Naftalis &amp; Frankel LLP (included in Exhibit 5.1)</w:t>
            </w:r>
          </w:p>
        </w:tc>
        <w:tc>
          <w:tcPr>
            <w:tcW w:w="4080" w:type="dxa"/>
            <w:vAlign w:val="bottom"/>
            <w:gridSpan w:val="4"/>
          </w:tcPr>
          <w:p>
            <w:pPr>
              <w:spacing w:after="0"/>
              <w:rPr>
                <w:sz w:val="24"/>
                <w:szCs w:val="24"/>
                <w:color w:val="auto"/>
              </w:rPr>
            </w:pP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24"/>
                <w:szCs w:val="24"/>
                <w:color w:val="auto"/>
              </w:rPr>
            </w:pPr>
          </w:p>
        </w:tc>
        <w:tc>
          <w:tcPr>
            <w:tcW w:w="39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Power of Attorney (included on signature page hereto)</w:t>
            </w:r>
          </w:p>
        </w:tc>
        <w:tc>
          <w:tcPr>
            <w:tcW w:w="5560" w:type="dxa"/>
            <w:vAlign w:val="bottom"/>
            <w:gridSpan w:val="6"/>
          </w:tcPr>
          <w:p>
            <w:pPr>
              <w:spacing w:after="0"/>
              <w:rPr>
                <w:sz w:val="24"/>
                <w:szCs w:val="24"/>
                <w:color w:val="auto"/>
              </w:rPr>
            </w:pP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4"/>
                <w:szCs w:val="24"/>
                <w:color w:val="auto"/>
              </w:rPr>
            </w:pPr>
          </w:p>
        </w:tc>
        <w:tc>
          <w:tcPr>
            <w:tcW w:w="11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8320" w:type="dxa"/>
            <w:vAlign w:val="bottom"/>
            <w:gridSpan w:val="8"/>
          </w:tcPr>
          <w:p>
            <w:pPr>
              <w:spacing w:after="0"/>
              <w:rPr>
                <w:sz w:val="24"/>
                <w:szCs w:val="24"/>
                <w:color w:val="auto"/>
              </w:rPr>
            </w:pPr>
          </w:p>
        </w:tc>
      </w:tr>
    </w:tbl>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540" w:hanging="424"/>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and compensation plans and arrangements.</w:t>
      </w:r>
    </w:p>
    <w:p>
      <w:pPr>
        <w:spacing w:after="0" w:line="351"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35" w:lineRule="exact"/>
        <w:rPr>
          <w:sz w:val="20"/>
          <w:szCs w:val="20"/>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1" w:lineRule="exact"/>
        <w:rPr>
          <w:sz w:val="20"/>
          <w:szCs w:val="20"/>
          <w:color w:val="auto"/>
        </w:rPr>
      </w:pPr>
    </w:p>
    <w:p>
      <w:pPr>
        <w:ind w:left="540" w:hanging="424"/>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1" w:lineRule="exact"/>
        <w:rPr>
          <w:sz w:val="20"/>
          <w:szCs w:val="20"/>
          <w:color w:val="auto"/>
        </w:rPr>
      </w:pPr>
    </w:p>
    <w:p>
      <w:pPr>
        <w:ind w:left="540" w:hanging="424"/>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540" w:right="140" w:hanging="424"/>
        <w:spacing w:after="0" w:line="255"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Tables” or “Calculation of Registration Fee” table, as applicable, in the effective registration statement; and</w:t>
      </w:r>
    </w:p>
    <w:p>
      <w:pPr>
        <w:spacing w:after="0" w:line="94" w:lineRule="exact"/>
        <w:rPr>
          <w:rFonts w:ascii="Times New Roman" w:cs="Times New Roman" w:eastAsia="Times New Roman" w:hAnsi="Times New Roman"/>
          <w:sz w:val="18"/>
          <w:szCs w:val="18"/>
          <w:color w:val="auto"/>
        </w:rPr>
      </w:pPr>
    </w:p>
    <w:p>
      <w:pPr>
        <w:ind w:left="540" w:right="240" w:hanging="424"/>
        <w:spacing w:after="0" w:line="282"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(a)(1)(ii) and (a)(1)(iii) of this section do not apply if the information required to be included in a post-effective amendment by those paragraphs is contained in reports filed with or furnished to the SEC by the registrant pursuant to Section 13 or Section 15(d) of the Securities Exchange Act of 1934, as amended, that are incorporated by reference in the registration statement, or is contained in a form of prospectus filed pursuant to Rule 424(b) that is part of the registration statement.</w:t>
      </w:r>
    </w:p>
    <w:p>
      <w:pPr>
        <w:spacing w:after="0" w:line="87" w:lineRule="exact"/>
        <w:rPr>
          <w:sz w:val="20"/>
          <w:szCs w:val="20"/>
          <w:color w:val="auto"/>
        </w:rPr>
      </w:pPr>
    </w:p>
    <w:p>
      <w:pPr>
        <w:ind w:left="540" w:right="60" w:hanging="424"/>
        <w:spacing w:after="0" w:line="266"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540" w:hanging="424"/>
        <w:spacing w:after="0" w:line="282"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100"/>
          </w:cols>
          <w:pgMar w:left="320" w:top="446"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131" w:lineRule="exact"/>
        <w:rPr>
          <w:sz w:val="20"/>
          <w:szCs w:val="20"/>
          <w:color w:val="auto"/>
        </w:rPr>
      </w:pPr>
    </w:p>
    <w:p>
      <w:pPr>
        <w:ind w:left="540" w:right="220" w:hanging="424"/>
        <w:spacing w:after="0" w:line="282"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ind w:left="540" w:right="20" w:hanging="424"/>
        <w:spacing w:after="0" w:line="253"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97" w:lineRule="exact"/>
        <w:rPr>
          <w:sz w:val="20"/>
          <w:szCs w:val="20"/>
          <w:color w:val="auto"/>
        </w:rPr>
      </w:pPr>
    </w:p>
    <w:p>
      <w:pPr>
        <w:ind w:left="540" w:hanging="424"/>
        <w:spacing w:after="0" w:line="258"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9" w:lineRule="exact"/>
        <w:rPr>
          <w:sz w:val="20"/>
          <w:szCs w:val="20"/>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30" w:lineRule="exact"/>
        <w:rPr>
          <w:rFonts w:ascii="Times New Roman" w:cs="Times New Roman" w:eastAsia="Times New Roman" w:hAnsi="Times New Roman"/>
          <w:sz w:val="18"/>
          <w:szCs w:val="18"/>
          <w:color w:val="auto"/>
        </w:rPr>
      </w:pPr>
    </w:p>
    <w:p>
      <w:pPr>
        <w:ind w:left="540" w:hanging="424"/>
        <w:spacing w:after="0" w:line="282"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540" w:right="340" w:hanging="424"/>
        <w:spacing w:after="0" w:line="282"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1" w:lineRule="exact"/>
        <w:rPr>
          <w:sz w:val="20"/>
          <w:szCs w:val="20"/>
          <w:color w:val="auto"/>
        </w:rPr>
      </w:pPr>
    </w:p>
    <w:p>
      <w:pPr>
        <w:ind w:left="540" w:right="40" w:hanging="424"/>
        <w:spacing w:after="0" w:line="254"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New York, State of New York, on May 28, 2024.</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Luke A. Sarsfield III</w:t>
            </w:r>
          </w:p>
        </w:tc>
      </w:tr>
      <w:tr>
        <w:trPr>
          <w:trHeight w:val="191"/>
        </w:trPr>
        <w:tc>
          <w:tcPr>
            <w:tcW w:w="660" w:type="dxa"/>
            <w:vAlign w:val="bottom"/>
          </w:tcPr>
          <w:p>
            <w:pPr>
              <w:spacing w:after="0"/>
              <w:rPr>
                <w:sz w:val="16"/>
                <w:szCs w:val="16"/>
                <w:color w:val="auto"/>
              </w:rPr>
            </w:pPr>
          </w:p>
        </w:tc>
        <w:tc>
          <w:tcPr>
            <w:tcW w:w="37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Name: Luke A. Sarsfield III</w:t>
            </w:r>
          </w:p>
        </w:tc>
      </w:tr>
      <w:tr>
        <w:trPr>
          <w:trHeight w:val="234"/>
        </w:trPr>
        <w:tc>
          <w:tcPr>
            <w:tcW w:w="660" w:type="dxa"/>
            <w:vAlign w:val="bottom"/>
          </w:tcPr>
          <w:p>
            <w:pPr>
              <w:spacing w:after="0"/>
              <w:rPr>
                <w:sz w:val="20"/>
                <w:szCs w:val="20"/>
                <w:color w:val="auto"/>
              </w:rPr>
            </w:pP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pacing w:after="0" w:line="198"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Luke A. Sarsfield III, Amanda Coussens and Melodie Craft,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or she might or could do in person, hereby ratifying and confirming all that each of said attorneys-in-fact and agents, or his or her substitute or substitutes may lawfully do or cause to be done by virtue hereof.</w:t>
      </w:r>
    </w:p>
    <w:p>
      <w:pPr>
        <w:spacing w:after="0" w:line="192" w:lineRule="exact"/>
        <w:rPr>
          <w:sz w:val="20"/>
          <w:szCs w:val="20"/>
          <w:color w:val="auto"/>
        </w:rPr>
      </w:pPr>
    </w:p>
    <w:p>
      <w:pPr>
        <w:ind w:left="120" w:right="700" w:firstLine="440"/>
        <w:spacing w:after="0" w:line="29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following persons in the capacities indicated have signed this Registration Statement on the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May, 2024.</w:t>
      </w:r>
    </w:p>
    <w:p>
      <w:pPr>
        <w:spacing w:after="0" w:line="45"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6"/>
                <w:szCs w:val="16"/>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372"/>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Luke A. Sarsfield III</w:t>
            </w:r>
          </w:p>
        </w:tc>
        <w:tc>
          <w:tcPr>
            <w:tcW w:w="220" w:type="dxa"/>
            <w:vAlign w:val="bottom"/>
          </w:tcPr>
          <w:p>
            <w:pPr>
              <w:spacing w:after="0"/>
              <w:rPr>
                <w:sz w:val="24"/>
                <w:szCs w:val="24"/>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(Principal Executive Officer) and Director</w:t>
            </w:r>
          </w:p>
        </w:tc>
      </w:tr>
      <w:tr>
        <w:trPr>
          <w:trHeight w:val="22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Luke A. Sarsfield III</w:t>
            </w:r>
          </w:p>
        </w:tc>
        <w:tc>
          <w:tcPr>
            <w:tcW w:w="220" w:type="dxa"/>
            <w:vAlign w:val="bottom"/>
          </w:tcPr>
          <w:p>
            <w:pPr>
              <w:spacing w:after="0"/>
              <w:rPr>
                <w:sz w:val="19"/>
                <w:szCs w:val="19"/>
                <w:color w:val="auto"/>
              </w:rPr>
            </w:pPr>
          </w:p>
        </w:tc>
        <w:tc>
          <w:tcPr>
            <w:tcW w:w="6880" w:type="dxa"/>
            <w:vAlign w:val="bottom"/>
          </w:tcPr>
          <w:p>
            <w:pPr>
              <w:spacing w:after="0"/>
              <w:rPr>
                <w:sz w:val="19"/>
                <w:szCs w:val="19"/>
                <w:color w:val="auto"/>
              </w:rPr>
            </w:pPr>
          </w:p>
        </w:tc>
      </w:tr>
      <w:tr>
        <w:trPr>
          <w:trHeight w:val="387"/>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Amanda Coussens</w:t>
            </w:r>
          </w:p>
        </w:tc>
        <w:tc>
          <w:tcPr>
            <w:tcW w:w="220" w:type="dxa"/>
            <w:vAlign w:val="bottom"/>
          </w:tcPr>
          <w:p>
            <w:pPr>
              <w:spacing w:after="0"/>
              <w:rPr>
                <w:sz w:val="24"/>
                <w:szCs w:val="24"/>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 and Principal Accounting Officer)</w:t>
            </w:r>
          </w:p>
        </w:tc>
      </w:tr>
      <w:tr>
        <w:trPr>
          <w:trHeight w:val="22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Amanda Coussens</w:t>
            </w:r>
          </w:p>
        </w:tc>
        <w:tc>
          <w:tcPr>
            <w:tcW w:w="220" w:type="dxa"/>
            <w:vAlign w:val="bottom"/>
          </w:tcPr>
          <w:p>
            <w:pPr>
              <w:spacing w:after="0"/>
              <w:rPr>
                <w:sz w:val="19"/>
                <w:szCs w:val="19"/>
                <w:color w:val="auto"/>
              </w:rPr>
            </w:pPr>
          </w:p>
        </w:tc>
        <w:tc>
          <w:tcPr>
            <w:tcW w:w="6880" w:type="dxa"/>
            <w:vAlign w:val="bottom"/>
          </w:tcPr>
          <w:p>
            <w:pPr>
              <w:spacing w:after="0"/>
              <w:rPr>
                <w:sz w:val="19"/>
                <w:szCs w:val="19"/>
                <w:color w:val="auto"/>
              </w:rPr>
            </w:pPr>
          </w:p>
        </w:tc>
      </w:tr>
      <w:tr>
        <w:trPr>
          <w:trHeight w:val="387"/>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Alpert</w:t>
            </w:r>
          </w:p>
        </w:tc>
        <w:tc>
          <w:tcPr>
            <w:tcW w:w="220" w:type="dxa"/>
            <w:vAlign w:val="bottom"/>
          </w:tcPr>
          <w:p>
            <w:pPr>
              <w:spacing w:after="0"/>
              <w:rPr>
                <w:sz w:val="24"/>
                <w:szCs w:val="24"/>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Chairman and Director</w:t>
            </w:r>
          </w:p>
        </w:tc>
      </w:tr>
      <w:tr>
        <w:trPr>
          <w:trHeight w:val="22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Robert Alpert</w:t>
            </w:r>
          </w:p>
        </w:tc>
        <w:tc>
          <w:tcPr>
            <w:tcW w:w="220" w:type="dxa"/>
            <w:vAlign w:val="bottom"/>
          </w:tcPr>
          <w:p>
            <w:pPr>
              <w:spacing w:after="0"/>
              <w:rPr>
                <w:sz w:val="19"/>
                <w:szCs w:val="19"/>
                <w:color w:val="auto"/>
              </w:rPr>
            </w:pPr>
          </w:p>
        </w:tc>
        <w:tc>
          <w:tcPr>
            <w:tcW w:w="6880" w:type="dxa"/>
            <w:vAlign w:val="bottom"/>
          </w:tcPr>
          <w:p>
            <w:pPr>
              <w:spacing w:after="0"/>
              <w:rPr>
                <w:sz w:val="19"/>
                <w:szCs w:val="19"/>
                <w:color w:val="auto"/>
              </w:rPr>
            </w:pPr>
          </w:p>
        </w:tc>
      </w:tr>
      <w:tr>
        <w:trPr>
          <w:trHeight w:val="387"/>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Travis Barnes</w:t>
            </w:r>
          </w:p>
        </w:tc>
        <w:tc>
          <w:tcPr>
            <w:tcW w:w="220" w:type="dxa"/>
            <w:vAlign w:val="bottom"/>
          </w:tcPr>
          <w:p>
            <w:pPr>
              <w:spacing w:after="0"/>
              <w:rPr>
                <w:sz w:val="24"/>
                <w:szCs w:val="24"/>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Travis Barnes</w:t>
            </w:r>
          </w:p>
        </w:tc>
        <w:tc>
          <w:tcPr>
            <w:tcW w:w="220" w:type="dxa"/>
            <w:vAlign w:val="bottom"/>
          </w:tcPr>
          <w:p>
            <w:pPr>
              <w:spacing w:after="0"/>
              <w:rPr>
                <w:sz w:val="19"/>
                <w:szCs w:val="19"/>
                <w:color w:val="auto"/>
              </w:rPr>
            </w:pPr>
          </w:p>
        </w:tc>
        <w:tc>
          <w:tcPr>
            <w:tcW w:w="6880" w:type="dxa"/>
            <w:vAlign w:val="bottom"/>
          </w:tcPr>
          <w:p>
            <w:pPr>
              <w:spacing w:after="0"/>
              <w:rPr>
                <w:sz w:val="19"/>
                <w:szCs w:val="19"/>
                <w:color w:val="auto"/>
              </w:rPr>
            </w:pPr>
          </w:p>
        </w:tc>
      </w:tr>
      <w:tr>
        <w:trPr>
          <w:trHeight w:val="387"/>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Tracey Benford</w:t>
            </w:r>
          </w:p>
        </w:tc>
        <w:tc>
          <w:tcPr>
            <w:tcW w:w="220" w:type="dxa"/>
            <w:vAlign w:val="bottom"/>
          </w:tcPr>
          <w:p>
            <w:pPr>
              <w:spacing w:after="0"/>
              <w:rPr>
                <w:sz w:val="24"/>
                <w:szCs w:val="24"/>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Tracey Benford</w:t>
            </w:r>
          </w:p>
        </w:tc>
        <w:tc>
          <w:tcPr>
            <w:tcW w:w="220" w:type="dxa"/>
            <w:vAlign w:val="bottom"/>
          </w:tcPr>
          <w:p>
            <w:pPr>
              <w:spacing w:after="0"/>
              <w:rPr>
                <w:sz w:val="19"/>
                <w:szCs w:val="19"/>
                <w:color w:val="auto"/>
              </w:rPr>
            </w:pPr>
          </w:p>
        </w:tc>
        <w:tc>
          <w:tcPr>
            <w:tcW w:w="6880" w:type="dxa"/>
            <w:vAlign w:val="bottom"/>
          </w:tcPr>
          <w:p>
            <w:pPr>
              <w:spacing w:after="0"/>
              <w:rPr>
                <w:sz w:val="19"/>
                <w:szCs w:val="19"/>
                <w:color w:val="auto"/>
              </w:rPr>
            </w:pPr>
          </w:p>
        </w:tc>
      </w:tr>
      <w:tr>
        <w:trPr>
          <w:trHeight w:val="387"/>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Gwilliam</w:t>
            </w:r>
          </w:p>
        </w:tc>
        <w:tc>
          <w:tcPr>
            <w:tcW w:w="220" w:type="dxa"/>
            <w:vAlign w:val="bottom"/>
          </w:tcPr>
          <w:p>
            <w:pPr>
              <w:spacing w:after="0"/>
              <w:rPr>
                <w:sz w:val="24"/>
                <w:szCs w:val="24"/>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Scott Gwilliam</w:t>
            </w:r>
          </w:p>
        </w:tc>
        <w:tc>
          <w:tcPr>
            <w:tcW w:w="220" w:type="dxa"/>
            <w:vAlign w:val="bottom"/>
          </w:tcPr>
          <w:p>
            <w:pPr>
              <w:spacing w:after="0"/>
              <w:rPr>
                <w:sz w:val="19"/>
                <w:szCs w:val="19"/>
                <w:color w:val="auto"/>
              </w:rPr>
            </w:pPr>
          </w:p>
        </w:tc>
        <w:tc>
          <w:tcPr>
            <w:tcW w:w="6880" w:type="dxa"/>
            <w:vAlign w:val="bottom"/>
          </w:tcPr>
          <w:p>
            <w:pPr>
              <w:spacing w:after="0"/>
              <w:rPr>
                <w:sz w:val="19"/>
                <w:szCs w:val="19"/>
                <w:color w:val="auto"/>
              </w:rPr>
            </w:pPr>
          </w:p>
        </w:tc>
      </w:tr>
      <w:tr>
        <w:trPr>
          <w:trHeight w:val="387"/>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McCoy</w:t>
            </w:r>
          </w:p>
        </w:tc>
        <w:tc>
          <w:tcPr>
            <w:tcW w:w="220" w:type="dxa"/>
            <w:vAlign w:val="bottom"/>
          </w:tcPr>
          <w:p>
            <w:pPr>
              <w:spacing w:after="0"/>
              <w:rPr>
                <w:sz w:val="24"/>
                <w:szCs w:val="24"/>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David McCoy</w:t>
            </w:r>
          </w:p>
        </w:tc>
        <w:tc>
          <w:tcPr>
            <w:tcW w:w="220" w:type="dxa"/>
            <w:vAlign w:val="bottom"/>
          </w:tcPr>
          <w:p>
            <w:pPr>
              <w:spacing w:after="0"/>
              <w:rPr>
                <w:sz w:val="19"/>
                <w:szCs w:val="19"/>
                <w:color w:val="auto"/>
              </w:rPr>
            </w:pPr>
          </w:p>
        </w:tc>
        <w:tc>
          <w:tcPr>
            <w:tcW w:w="6880" w:type="dxa"/>
            <w:vAlign w:val="bottom"/>
          </w:tcPr>
          <w:p>
            <w:pPr>
              <w:spacing w:after="0"/>
              <w:rPr>
                <w:sz w:val="19"/>
                <w:szCs w:val="19"/>
                <w:color w:val="auto"/>
              </w:rPr>
            </w:pPr>
          </w:p>
        </w:tc>
      </w:tr>
      <w:tr>
        <w:trPr>
          <w:trHeight w:val="387"/>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Edwin Poston</w:t>
            </w:r>
          </w:p>
        </w:tc>
        <w:tc>
          <w:tcPr>
            <w:tcW w:w="220" w:type="dxa"/>
            <w:vAlign w:val="bottom"/>
          </w:tcPr>
          <w:p>
            <w:pPr>
              <w:spacing w:after="0"/>
              <w:rPr>
                <w:sz w:val="24"/>
                <w:szCs w:val="24"/>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Edwin Poston</w:t>
            </w:r>
          </w:p>
        </w:tc>
        <w:tc>
          <w:tcPr>
            <w:tcW w:w="220" w:type="dxa"/>
            <w:vAlign w:val="bottom"/>
          </w:tcPr>
          <w:p>
            <w:pPr>
              <w:spacing w:after="0"/>
              <w:rPr>
                <w:sz w:val="19"/>
                <w:szCs w:val="19"/>
                <w:color w:val="auto"/>
              </w:rPr>
            </w:pPr>
          </w:p>
        </w:tc>
        <w:tc>
          <w:tcPr>
            <w:tcW w:w="6880" w:type="dxa"/>
            <w:vAlign w:val="bottom"/>
          </w:tcPr>
          <w:p>
            <w:pPr>
              <w:spacing w:after="0"/>
              <w:rPr>
                <w:sz w:val="19"/>
                <w:szCs w:val="19"/>
                <w:color w:val="auto"/>
              </w:rPr>
            </w:pPr>
          </w:p>
        </w:tc>
      </w:tr>
      <w:tr>
        <w:trPr>
          <w:trHeight w:val="387"/>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B. Stewart, Jr.</w:t>
            </w:r>
          </w:p>
        </w:tc>
        <w:tc>
          <w:tcPr>
            <w:tcW w:w="220" w:type="dxa"/>
            <w:vAlign w:val="bottom"/>
          </w:tcPr>
          <w:p>
            <w:pPr>
              <w:spacing w:after="0"/>
              <w:rPr>
                <w:sz w:val="24"/>
                <w:szCs w:val="24"/>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Robert B. Stewart, Jr.</w:t>
            </w:r>
          </w:p>
        </w:tc>
        <w:tc>
          <w:tcPr>
            <w:tcW w:w="220" w:type="dxa"/>
            <w:vAlign w:val="bottom"/>
          </w:tcPr>
          <w:p>
            <w:pPr>
              <w:spacing w:after="0"/>
              <w:rPr>
                <w:sz w:val="19"/>
                <w:szCs w:val="19"/>
                <w:color w:val="auto"/>
              </w:rPr>
            </w:pPr>
          </w:p>
        </w:tc>
        <w:tc>
          <w:tcPr>
            <w:tcW w:w="6880" w:type="dxa"/>
            <w:vAlign w:val="bottom"/>
          </w:tcPr>
          <w:p>
            <w:pPr>
              <w:spacing w:after="0"/>
              <w:rPr>
                <w:sz w:val="19"/>
                <w:szCs w:val="19"/>
                <w:color w:val="auto"/>
              </w:rPr>
            </w:pPr>
          </w:p>
        </w:tc>
      </w:tr>
      <w:tr>
        <w:trPr>
          <w:trHeight w:val="387"/>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 Clark Webb</w:t>
            </w:r>
          </w:p>
        </w:tc>
        <w:tc>
          <w:tcPr>
            <w:tcW w:w="220" w:type="dxa"/>
            <w:vAlign w:val="bottom"/>
          </w:tcPr>
          <w:p>
            <w:pPr>
              <w:spacing w:after="0"/>
              <w:rPr>
                <w:sz w:val="24"/>
                <w:szCs w:val="24"/>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 Clark Webb</w:t>
            </w:r>
          </w:p>
        </w:tc>
        <w:tc>
          <w:tcPr>
            <w:tcW w:w="220" w:type="dxa"/>
            <w:vAlign w:val="bottom"/>
          </w:tcPr>
          <w:p>
            <w:pPr>
              <w:spacing w:after="0"/>
              <w:rPr>
                <w:sz w:val="19"/>
                <w:szCs w:val="19"/>
                <w:color w:val="auto"/>
              </w:rPr>
            </w:pPr>
          </w:p>
        </w:tc>
        <w:tc>
          <w:tcPr>
            <w:tcW w:w="6880" w:type="dxa"/>
            <w:vAlign w:val="bottom"/>
          </w:tcPr>
          <w:p>
            <w:pPr>
              <w:spacing w:after="0"/>
              <w:rPr>
                <w:sz w:val="19"/>
                <w:szCs w:val="19"/>
                <w:color w:val="auto"/>
              </w:rPr>
            </w:pPr>
          </w:p>
        </w:tc>
      </w:tr>
    </w:tbl>
    <w:p>
      <w:pPr>
        <w:sectPr>
          <w:pgSz w:w="11900" w:h="16838" w:orient="portrait"/>
          <w:cols w:equalWidth="0" w:num="1">
            <w:col w:w="11140"/>
          </w:cols>
          <w:pgMar w:left="320" w:top="455" w:right="439" w:bottom="1440" w:gutter="0" w:footer="0" w:header="0"/>
        </w:sectPr>
      </w:pPr>
    </w:p>
    <w:bookmarkStart w:id="27" w:name="page28"/>
    <w:bookmarkEnd w:id="27"/>
    <w:p>
      <w:pPr>
        <w:ind w:left="1018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181610</wp:posOffset>
            </wp:positionV>
            <wp:extent cx="1560195" cy="2400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8">
                      <a:extLst>
                        <a:ext uri="{28A0092B-C50C-407E-A947-70E740481C1C}"/>
                      </a:extLst>
                    </a:blip>
                    <a:srcRect/>
                    <a:stretch>
                      <a:fillRect/>
                    </a:stretch>
                  </pic:blipFill>
                  <pic:spPr bwMode="auto">
                    <a:xfrm>
                      <a:off x="0" y="0"/>
                      <a:ext cx="1560195" cy="240030"/>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181610</wp:posOffset>
            </wp:positionV>
            <wp:extent cx="617220" cy="5911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9">
                      <a:extLst>
                        <a:ext uri="{28A0092B-C50C-407E-A947-70E740481C1C}"/>
                      </a:extLst>
                    </a:blip>
                    <a:srcRect/>
                    <a:stretch>
                      <a:fillRect/>
                    </a:stretch>
                  </pic:blipFill>
                  <pic:spPr bwMode="auto">
                    <a:xfrm>
                      <a:off x="0" y="0"/>
                      <a:ext cx="617220" cy="59118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1177 Avenue of the Americas</w:t>
      </w:r>
    </w:p>
    <w:p>
      <w:pPr>
        <w:spacing w:after="0" w:line="2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jc w:val="both"/>
        <w:ind w:left="3980" w:right="5900" w:hanging="2"/>
        <w:spacing w:after="0" w:line="290" w:lineRule="auto"/>
        <w:tabs>
          <w:tab w:leader="none" w:pos="413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212.715.9100 F 212.715.8000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P10,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4514 Cole Avenue, Suite 1600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 75205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Registration Statement on Form S-1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We have acted as counsel to P10, Inc., a Delaware corporation (the “Registrant”), in connection with the preparation and filing by the Registrant of a Registration Statement on Form S-1 (the “Registration Statement”) with the Securities and Exchange Commission (the “Commission”) with respect to the registration under the Securities Act of 1933, as amended (the “Act”), of the proposed resale by the selling stockholders named in the Registration Statement of up to 56,420,007 shares of the Registrant’s Class A common stock, par value $0.001 per share (the “Class A Common Stock”), consisting of (i) 4,554,488 outstanding shares of Class A Common Stock (the “Issued Shares”), (ii) up to 13,089 outstanding restricted shares of Class A Common Stock that remain subject to vesting (the “Issued Restricted Shares”), (iii) up to 50,667,351 shares of Class A Common Stock (the “Conversion Shares”) issuable upon conversion of shares of the Company’s Class B common stock, par value $0.001 per share, (iv) up to 334,893 shares of Class A Common Stock issuable upon vesting and settlement of restricted stock units (the “RSU Shares”), and (v) up to 850,186 shares of Class A Common Stock issuable upon exercise of stock options (the “Option Shares”, and together with the Conversion Shares and the RSU Shares, the “Issuable Shares”, and the Issuable Shares, together with the Issued Shares and Issued Restricted Shares, the “Shares”).</w:t>
      </w:r>
    </w:p>
    <w:p>
      <w:pPr>
        <w:spacing w:after="0" w:line="194"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We have reviewed copies of (i) the Registration Statement and the related form of prospectus included therein, in substantially the form filed or to be filed with the Commission pursuant to the Act, (ii) the Registrant’s certificate of incorporation and bylaws, each as currently in effect on the date hereof, and (iii) resolutions of the Board of Directors of the Registrant authorizing the issuance of the Shares and the filing of the Registration Statement.</w:t>
      </w:r>
    </w:p>
    <w:p>
      <w:pPr>
        <w:spacing w:after="0" w:line="180"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We have also reviewed such other documents and made such other investigations as we have deemed appropriate. As to various questions of fact material to this opinion, we have relied upon statements, representations and certificates of officers or representatives of the Registrant, public officials and others. We have not independently verified the facts so relied on.</w:t>
      </w:r>
    </w:p>
    <w:p>
      <w:pPr>
        <w:spacing w:after="0" w:line="104" w:lineRule="exact"/>
        <w:rPr>
          <w:sz w:val="20"/>
          <w:szCs w:val="20"/>
          <w:color w:val="auto"/>
        </w:rPr>
      </w:pPr>
    </w:p>
    <w:p>
      <w:pPr>
        <w:spacing w:after="0"/>
        <w:tabs>
          <w:tab w:leader="none" w:pos="8460" w:val="left"/>
        </w:tabs>
        <w:rPr>
          <w:sz w:val="20"/>
          <w:szCs w:val="20"/>
          <w:color w:val="auto"/>
        </w:rPr>
      </w:pPr>
      <w:r>
        <w:rPr>
          <w:rFonts w:ascii="Times New Roman" w:cs="Times New Roman" w:eastAsia="Times New Roman" w:hAnsi="Times New Roman"/>
          <w:sz w:val="14"/>
          <w:szCs w:val="14"/>
          <w:color w:val="auto"/>
        </w:rPr>
        <w:t>KRAMER LEVIN NAFTALIS &amp; FRANKEL LLP</w:t>
      </w:r>
      <w:r>
        <w:rPr>
          <w:sz w:val="20"/>
          <w:szCs w:val="20"/>
          <w:color w:val="auto"/>
        </w:rPr>
        <w:tab/>
      </w:r>
      <w:r>
        <w:rPr>
          <w:rFonts w:ascii="Times New Roman" w:cs="Times New Roman" w:eastAsia="Times New Roman" w:hAnsi="Times New Roman"/>
          <w:sz w:val="14"/>
          <w:szCs w:val="14"/>
          <w:color w:val="auto"/>
        </w:rPr>
        <w:t>NEW YORK | SILICON VALLEY | PARIS</w:t>
      </w:r>
    </w:p>
    <w:p>
      <w:pPr>
        <w:sectPr>
          <w:pgSz w:w="11900" w:h="16838" w:orient="portrait"/>
          <w:cols w:equalWidth="0" w:num="1">
            <w:col w:w="11020"/>
          </w:cols>
          <w:pgMar w:left="440" w:top="117" w:right="4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P10,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6375400</wp:posOffset>
            </wp:positionH>
            <wp:positionV relativeFrom="paragraph">
              <wp:posOffset>-116840</wp:posOffset>
            </wp:positionV>
            <wp:extent cx="617220" cy="6343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1">
                      <a:extLst>
                        <a:ext uri="{28A0092B-C50C-407E-A947-70E740481C1C}"/>
                      </a:extLst>
                    </a:blip>
                    <a:srcRect/>
                    <a:stretch>
                      <a:fillRect/>
                    </a:stretch>
                  </pic:blipFill>
                  <pic:spPr bwMode="auto">
                    <a:xfrm>
                      <a:off x="0" y="0"/>
                      <a:ext cx="617220" cy="63436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28, 2024</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Based upon the foregoing, and subject to the qualifications, limitations and assumptions set forth herein, we are of the opinion that (i) the Issued Shares and the Issued Restricted Shares have been legally issued and are fully paid and non-assessable; and (ii) the Issuable Shares will, when issued upon conversion, vesting or exercise, as applicable, and sold in the manner described in the Registration Statement, be legally issued, fully paid and non-assessable.</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We do not express any opinion with respect to any law other than the General Corporation Law of the State of Delaware. This opinion is rendered only with respect to the laws and legal interpretations and the facts and circumstances in effect on the date hereof.</w:t>
      </w:r>
    </w:p>
    <w:p>
      <w:pPr>
        <w:spacing w:after="0" w:line="162"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We hereby consent to the use of this opinion as an exhibit to the Registration Statement and to the use of our name under the caption “Legal Matters” in the prospectus included in the Registration Statement. In giving this consent, we do not thereby admit that we are within the category of persons whose consent is required under Section 7 of the Act or the rules and regulations promulgated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Kramer Levin Naftalis &amp; Frankel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KRAMER LEVIN NAFTALIS &amp; FRANKEL LLP</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66" w:right="51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consent to the use of our report dated March 12, 2024, with respect to the consolidated financial statements of P10, Inc., incorporated herein by reference, and to the reference to our firm under the heading “Experts” in the prospectus.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28, 2024</w:t>
      </w:r>
    </w:p>
    <w:p>
      <w:pPr>
        <w:sectPr>
          <w:pgSz w:w="11900" w:h="16838" w:orient="portrait"/>
          <w:cols w:equalWidth="0" w:num="1">
            <w:col w:w="11020"/>
          </w:cols>
          <w:pgMar w:left="440" w:top="117" w:right="4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1—Newly Registered and Carry Forward Securities</w:t>
      </w:r>
    </w:p>
    <w:p>
      <w:pPr>
        <w:spacing w:after="0" w:line="250" w:lineRule="exact"/>
        <w:rPr>
          <w:sz w:val="20"/>
          <w:szCs w:val="20"/>
          <w:color w:val="auto"/>
        </w:rPr>
      </w:pPr>
    </w:p>
    <w:tbl>
      <w:tblPr>
        <w:tblLayout w:type="fixed"/>
        <w:tblInd w:w="894" w:type="dxa"/>
        <w:tblCellMar>
          <w:top w:w="0" w:type="dxa"/>
          <w:left w:w="0" w:type="dxa"/>
          <w:bottom w:w="0" w:type="dxa"/>
          <w:right w:w="0" w:type="dxa"/>
        </w:tblCellMar>
      </w:tblPr>
      <w:tr>
        <w:trPr>
          <w:trHeight w:val="144"/>
        </w:trPr>
        <w:tc>
          <w:tcPr>
            <w:tcW w:w="1600" w:type="dxa"/>
            <w:vAlign w:val="bottom"/>
            <w:tcBorders>
              <w:top w:val="single" w:sz="8" w:color="auto"/>
              <w:left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5"/>
              </w:rPr>
              <w:t>Fee</w:t>
            </w:r>
          </w:p>
        </w:tc>
        <w:tc>
          <w:tcPr>
            <w:tcW w:w="110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Proposed</w:t>
            </w:r>
          </w:p>
        </w:tc>
        <w:tc>
          <w:tcPr>
            <w:tcW w:w="146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r>
      <w:tr>
        <w:trPr>
          <w:trHeight w:val="135"/>
        </w:trPr>
        <w:tc>
          <w:tcPr>
            <w:tcW w:w="160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1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46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r>
      <w:tr>
        <w:trPr>
          <w:trHeight w:val="135"/>
        </w:trPr>
        <w:tc>
          <w:tcPr>
            <w:tcW w:w="160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or Carry</w:t>
            </w:r>
          </w:p>
        </w:tc>
        <w:tc>
          <w:tcPr>
            <w:tcW w:w="11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4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1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Amount of</w:t>
            </w:r>
          </w:p>
        </w:tc>
      </w:tr>
      <w:tr>
        <w:trPr>
          <w:trHeight w:val="140"/>
        </w:trPr>
        <w:tc>
          <w:tcPr>
            <w:tcW w:w="160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6"/>
              </w:rPr>
              <w:t>Security</w:t>
            </w:r>
          </w:p>
        </w:tc>
        <w:tc>
          <w:tcPr>
            <w:tcW w:w="8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2"/>
              </w:rPr>
              <w:t>Class</w:t>
            </w:r>
          </w:p>
        </w:tc>
        <w:tc>
          <w:tcPr>
            <w:tcW w:w="7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9"/>
              </w:rPr>
              <w:t>Forward</w:t>
            </w:r>
          </w:p>
        </w:tc>
        <w:tc>
          <w:tcPr>
            <w:tcW w:w="110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3"/>
              </w:rPr>
              <w:t>Amount</w:t>
            </w:r>
          </w:p>
        </w:tc>
        <w:tc>
          <w:tcPr>
            <w:tcW w:w="80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7"/>
              </w:rPr>
              <w:t>Price</w:t>
            </w:r>
          </w:p>
        </w:tc>
        <w:tc>
          <w:tcPr>
            <w:tcW w:w="146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5"/>
              </w:rPr>
              <w:t>Aggregate</w:t>
            </w:r>
          </w:p>
        </w:tc>
        <w:tc>
          <w:tcPr>
            <w:tcW w:w="110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7"/>
              </w:rPr>
              <w:t>Registration</w:t>
            </w:r>
          </w:p>
        </w:tc>
      </w:tr>
      <w:tr>
        <w:trPr>
          <w:trHeight w:val="175"/>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Title</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10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color w:val="auto"/>
                <w:w w:val="91"/>
              </w:rPr>
              <w:t>Registered</w:t>
            </w:r>
            <w:r>
              <w:rPr>
                <w:rFonts w:ascii="Times New Roman" w:cs="Times New Roman" w:eastAsia="Times New Roman" w:hAnsi="Times New Roman"/>
                <w:sz w:val="18"/>
                <w:szCs w:val="18"/>
                <w:color w:val="auto"/>
                <w:w w:val="91"/>
                <w:vertAlign w:val="superscript"/>
              </w:rPr>
              <w:t>(1)</w:t>
            </w:r>
          </w:p>
        </w:tc>
        <w:tc>
          <w:tcPr>
            <w:tcW w:w="80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color w:val="auto"/>
                <w:w w:val="88"/>
              </w:rPr>
              <w:t>Per Unit</w:t>
            </w:r>
            <w:r>
              <w:rPr>
                <w:rFonts w:ascii="Times New Roman" w:cs="Times New Roman" w:eastAsia="Times New Roman" w:hAnsi="Times New Roman"/>
                <w:sz w:val="18"/>
                <w:szCs w:val="18"/>
                <w:color w:val="auto"/>
                <w:w w:val="88"/>
                <w:vertAlign w:val="superscript"/>
              </w:rPr>
              <w:t>(3) (4)</w:t>
            </w:r>
          </w:p>
        </w:tc>
        <w:tc>
          <w:tcPr>
            <w:tcW w:w="146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color w:val="auto"/>
                <w:w w:val="92"/>
              </w:rPr>
              <w:t>Offering Price</w:t>
            </w:r>
            <w:r>
              <w:rPr>
                <w:rFonts w:ascii="Times New Roman" w:cs="Times New Roman" w:eastAsia="Times New Roman" w:hAnsi="Times New Roman"/>
                <w:sz w:val="18"/>
                <w:szCs w:val="18"/>
                <w:color w:val="auto"/>
                <w:w w:val="92"/>
                <w:vertAlign w:val="superscript"/>
              </w:rPr>
              <w:t>(1)</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 Rate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r>
      <w:tr>
        <w:trPr>
          <w:trHeight w:val="232"/>
        </w:trPr>
        <w:tc>
          <w:tcPr>
            <w:tcW w:w="1600" w:type="dxa"/>
            <w:vAlign w:val="bottom"/>
            <w:tcBorders>
              <w:left w:val="single" w:sz="8" w:color="auto"/>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w w:val="98"/>
              </w:rPr>
              <w:t>Newly Registered Securities</w:t>
            </w:r>
          </w:p>
        </w:tc>
        <w:tc>
          <w:tcPr>
            <w:tcW w:w="1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r>
      <w:tr>
        <w:trPr>
          <w:trHeight w:val="209"/>
        </w:trPr>
        <w:tc>
          <w:tcPr>
            <w:tcW w:w="160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6"/>
              </w:rPr>
              <w:t>Fees to</w:t>
            </w:r>
          </w:p>
        </w:tc>
        <w:tc>
          <w:tcPr>
            <w:tcW w:w="6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w:t>
            </w:r>
          </w:p>
        </w:tc>
        <w:tc>
          <w:tcPr>
            <w:tcW w:w="7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be</w:t>
            </w:r>
          </w:p>
        </w:tc>
        <w:tc>
          <w:tcPr>
            <w:tcW w:w="6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7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6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 par</w:t>
            </w:r>
          </w:p>
        </w:tc>
        <w:tc>
          <w:tcPr>
            <w:tcW w:w="7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value</w:t>
            </w:r>
          </w:p>
        </w:tc>
        <w:tc>
          <w:tcPr>
            <w:tcW w:w="7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$0.001</w:t>
            </w:r>
          </w:p>
        </w:tc>
        <w:tc>
          <w:tcPr>
            <w:tcW w:w="7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48"/>
        </w:trPr>
        <w:tc>
          <w:tcPr>
            <w:tcW w:w="1600" w:type="dxa"/>
            <w:vAlign w:val="bottom"/>
            <w:tcBorders>
              <w:left w:val="single" w:sz="8" w:color="auto"/>
              <w:bottom w:val="single" w:sz="8" w:color="auto"/>
              <w:right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457(c)</w:t>
            </w:r>
          </w:p>
        </w:tc>
        <w:tc>
          <w:tcPr>
            <w:tcW w:w="110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18"/>
                <w:szCs w:val="18"/>
                <w:color w:val="auto"/>
                <w:w w:val="94"/>
              </w:rPr>
              <w:t xml:space="preserve">18,442,830 </w:t>
            </w:r>
            <w:r>
              <w:rPr>
                <w:rFonts w:ascii="Times New Roman" w:cs="Times New Roman" w:eastAsia="Times New Roman" w:hAnsi="Times New Roman"/>
                <w:sz w:val="26"/>
                <w:szCs w:val="26"/>
                <w:color w:val="auto"/>
                <w:w w:val="94"/>
                <w:vertAlign w:val="superscript"/>
              </w:rPr>
              <w:t>(2)</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$8.105</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$149,479,137.15</w:t>
            </w:r>
          </w:p>
        </w:tc>
        <w:tc>
          <w:tcPr>
            <w:tcW w:w="1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$0.00014760</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$22,063.12</w:t>
            </w:r>
          </w:p>
        </w:tc>
      </w:tr>
      <w:tr>
        <w:trPr>
          <w:trHeight w:val="232"/>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660" w:type="dxa"/>
            <w:vAlign w:val="bottom"/>
            <w:tcBorders>
              <w:bottom w:val="single" w:sz="8" w:color="auto"/>
              <w:right w:val="single" w:sz="8" w:color="auto"/>
            </w:tcBorders>
            <w:gridSpan w:val="3"/>
          </w:tcPr>
          <w:p>
            <w:pPr>
              <w:jc w:val="center"/>
              <w:ind w:right="548"/>
              <w:spacing w:after="0"/>
              <w:rPr>
                <w:sz w:val="20"/>
                <w:szCs w:val="20"/>
                <w:color w:val="auto"/>
              </w:rPr>
            </w:pPr>
            <w:r>
              <w:rPr>
                <w:rFonts w:ascii="Times New Roman" w:cs="Times New Roman" w:eastAsia="Times New Roman" w:hAnsi="Times New Roman"/>
                <w:sz w:val="18"/>
                <w:szCs w:val="18"/>
                <w:color w:val="auto"/>
                <w:w w:val="98"/>
              </w:rPr>
              <w:t>Total Offering Amounts</w:t>
            </w:r>
          </w:p>
        </w:tc>
        <w:tc>
          <w:tcPr>
            <w:tcW w:w="8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$22,063.12</w:t>
            </w:r>
          </w:p>
        </w:tc>
      </w:tr>
      <w:tr>
        <w:trPr>
          <w:trHeight w:val="236"/>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660" w:type="dxa"/>
            <w:vAlign w:val="bottom"/>
            <w:tcBorders>
              <w:bottom w:val="single" w:sz="8" w:color="auto"/>
              <w:right w:val="single" w:sz="8" w:color="auto"/>
            </w:tcBorders>
            <w:gridSpan w:val="3"/>
          </w:tcPr>
          <w:p>
            <w:pPr>
              <w:jc w:val="center"/>
              <w:ind w:right="548"/>
              <w:spacing w:after="0"/>
              <w:rPr>
                <w:sz w:val="20"/>
                <w:szCs w:val="20"/>
                <w:color w:val="auto"/>
              </w:rPr>
            </w:pPr>
            <w:r>
              <w:rPr>
                <w:rFonts w:ascii="Times New Roman" w:cs="Times New Roman" w:eastAsia="Times New Roman" w:hAnsi="Times New Roman"/>
                <w:sz w:val="18"/>
                <w:szCs w:val="18"/>
                <w:color w:val="auto"/>
                <w:w w:val="99"/>
              </w:rPr>
              <w:t>Total Fees Previously Paid</w:t>
            </w:r>
          </w:p>
        </w:tc>
        <w:tc>
          <w:tcPr>
            <w:tcW w:w="8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— </w:t>
            </w:r>
          </w:p>
        </w:tc>
      </w:tr>
      <w:tr>
        <w:trPr>
          <w:trHeight w:val="237"/>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660" w:type="dxa"/>
            <w:vAlign w:val="bottom"/>
            <w:tcBorders>
              <w:bottom w:val="single" w:sz="8" w:color="auto"/>
              <w:right w:val="single" w:sz="8" w:color="auto"/>
            </w:tcBorders>
            <w:gridSpan w:val="3"/>
          </w:tcPr>
          <w:p>
            <w:pPr>
              <w:jc w:val="center"/>
              <w:ind w:right="548"/>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8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— </w:t>
            </w:r>
          </w:p>
        </w:tc>
      </w:tr>
      <w:tr>
        <w:trPr>
          <w:trHeight w:val="237"/>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center"/>
              <w:ind w:left="396"/>
              <w:spacing w:after="0"/>
              <w:rPr>
                <w:sz w:val="20"/>
                <w:szCs w:val="20"/>
                <w:color w:val="auto"/>
              </w:rPr>
            </w:pPr>
            <w:r>
              <w:rPr>
                <w:rFonts w:ascii="Times New Roman" w:cs="Times New Roman" w:eastAsia="Times New Roman" w:hAnsi="Times New Roman"/>
                <w:sz w:val="18"/>
                <w:szCs w:val="18"/>
                <w:color w:val="auto"/>
              </w:rPr>
              <w:t>Net Fee Due</w:t>
            </w:r>
          </w:p>
        </w:tc>
        <w:tc>
          <w:tcPr>
            <w:tcW w:w="11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$22,063.12</w:t>
            </w:r>
          </w:p>
        </w:tc>
      </w:tr>
    </w:tbl>
    <w:p>
      <w:pPr>
        <w:spacing w:after="0" w:line="198" w:lineRule="exact"/>
        <w:rPr>
          <w:sz w:val="20"/>
          <w:szCs w:val="20"/>
          <w:color w:val="auto"/>
        </w:rPr>
      </w:pPr>
    </w:p>
    <w:p>
      <w:pPr>
        <w:ind w:left="4" w:right="120" w:hanging="4"/>
        <w:spacing w:after="0" w:line="250" w:lineRule="auto"/>
        <w:tabs>
          <w:tab w:leader="none" w:pos="206" w:val="left"/>
        </w:tabs>
        <w:numPr>
          <w:ilvl w:val="0"/>
          <w:numId w:val="2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Pursuant to Rule 416(a) under the Securities Act of 1933, as amended (the “Securities Act”), the shares of Class A Common Stock, par value $0.001 per share (the “Class A Common Stock”) of P10, Inc., a Delaware corporation (the “Registrant”) being registered under the Registration Statement include such indeterminate number of additional shares of Class A Common Stock as may be issuable as a result of stock splits, stock dividends or similar transactions with respect to the shares of Class A Common Stock being registered under the Registration Statement. Additionally, pursuant to Rule 416(b) under the Securities Act, if prior to the completion of the distribution of the shares of Class A Common Stock registered under the Registration Statement all shares of Class A Common Stock are combined by a reverse stock split into a lesser number of shares of Class A Common Stock, the number of undistributed shares of Class A Common Stock covered by the Registration Statement shall be proportionately reduced.</w:t>
      </w:r>
    </w:p>
    <w:p>
      <w:pPr>
        <w:spacing w:after="0" w:line="194" w:lineRule="exact"/>
        <w:rPr>
          <w:rFonts w:ascii="Times New Roman" w:cs="Times New Roman" w:eastAsia="Times New Roman" w:hAnsi="Times New Roman"/>
          <w:sz w:val="26"/>
          <w:szCs w:val="26"/>
          <w:color w:val="auto"/>
          <w:vertAlign w:val="superscript"/>
        </w:rPr>
      </w:pPr>
    </w:p>
    <w:p>
      <w:pPr>
        <w:jc w:val="both"/>
        <w:ind w:left="4" w:right="140" w:hanging="4"/>
        <w:spacing w:after="0" w:line="231" w:lineRule="auto"/>
        <w:tabs>
          <w:tab w:leader="none" w:pos="206" w:val="left"/>
        </w:tabs>
        <w:numPr>
          <w:ilvl w:val="0"/>
          <w:numId w:val="2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Includes up to 174,062 shares of Class A Common Stock and up to 18,268,768 shares of Class A Common Stock issuable upon conversion of shares of Class B Common Stock, par value $0.001 per share, of the Registrant (“Class B Common Stock”), in each case, held directly or indirectly by certain Selling Stockholders.</w:t>
      </w:r>
    </w:p>
    <w:p>
      <w:pPr>
        <w:spacing w:after="0" w:line="199" w:lineRule="exact"/>
        <w:rPr>
          <w:rFonts w:ascii="Times New Roman" w:cs="Times New Roman" w:eastAsia="Times New Roman" w:hAnsi="Times New Roman"/>
          <w:sz w:val="26"/>
          <w:szCs w:val="26"/>
          <w:color w:val="auto"/>
          <w:vertAlign w:val="superscript"/>
        </w:rPr>
      </w:pPr>
    </w:p>
    <w:p>
      <w:pPr>
        <w:jc w:val="both"/>
        <w:ind w:left="4" w:right="80" w:hanging="4"/>
        <w:spacing w:after="0"/>
        <w:tabs>
          <w:tab w:leader="none" w:pos="206" w:val="left"/>
        </w:tabs>
        <w:numPr>
          <w:ilvl w:val="0"/>
          <w:numId w:val="2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Pursuant to Rule 457(c) under the Securities Act, and solely for the purpose of calculating the registration fee, the proposed maximum offering price per share is $8.105, which is the average of the high and low prices of the shares of the Class A common stock on May 28, 2024 on the New York Stock Exchange.</w:t>
      </w:r>
    </w:p>
    <w:p>
      <w:pPr>
        <w:spacing w:after="0" w:line="369" w:lineRule="exact"/>
        <w:rPr>
          <w:rFonts w:ascii="Times New Roman" w:cs="Times New Roman" w:eastAsia="Times New Roman" w:hAnsi="Times New Roman"/>
          <w:sz w:val="26"/>
          <w:szCs w:val="26"/>
          <w:color w:val="auto"/>
          <w:vertAlign w:val="superscript"/>
        </w:rPr>
      </w:pPr>
    </w:p>
    <w:p>
      <w:pPr>
        <w:ind w:left="4" w:right="200" w:hanging="4"/>
        <w:spacing w:after="0" w:line="218" w:lineRule="auto"/>
        <w:tabs>
          <w:tab w:leader="none" w:pos="206" w:val="left"/>
        </w:tabs>
        <w:numPr>
          <w:ilvl w:val="0"/>
          <w:numId w:val="2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The proposed maximum offering price per share of Class A common stock will be determined from time to time in connection with, and at the time of, the sale by the holder of such Class A common stock registered hereunder</w:t>
      </w:r>
    </w:p>
    <w:p>
      <w:pPr>
        <w:spacing w:after="0" w:line="1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2—Fee Offset Claims and Sources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N/A</w:t>
      </w:r>
    </w:p>
    <w:p>
      <w:pPr>
        <w:sectPr>
          <w:pgSz w:w="11900" w:h="16838" w:orient="portrait"/>
          <w:cols w:equalWidth="0" w:num="1">
            <w:col w:w="11024"/>
          </w:cols>
          <w:pgMar w:left="436" w:top="117" w:right="439" w:bottom="1440" w:gutter="0" w:footer="0" w:header="0"/>
        </w:sectPr>
      </w:pPr>
    </w:p>
    <w:bookmarkStart w:id="31" w:name="page32"/>
    <w:bookmarkEnd w:id="31"/>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3—Combined Prospectuses</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139"/>
        </w:trPr>
        <w:tc>
          <w:tcPr>
            <w:tcW w:w="1400" w:type="dxa"/>
            <w:vAlign w:val="bottom"/>
            <w:tcBorders>
              <w:top w:val="single" w:sz="8" w:color="auto"/>
              <w:left w:val="single" w:sz="8" w:color="auto"/>
              <w:right w:val="single" w:sz="8" w:color="auto"/>
            </w:tcBorders>
          </w:tcPr>
          <w:p>
            <w:pPr>
              <w:spacing w:after="0"/>
              <w:rPr>
                <w:sz w:val="12"/>
                <w:szCs w:val="12"/>
                <w:color w:val="auto"/>
              </w:rPr>
            </w:pPr>
          </w:p>
        </w:tc>
        <w:tc>
          <w:tcPr>
            <w:tcW w:w="2780" w:type="dxa"/>
            <w:vAlign w:val="bottom"/>
            <w:tcBorders>
              <w:top w:val="single" w:sz="8" w:color="auto"/>
              <w:right w:val="single" w:sz="8" w:color="auto"/>
            </w:tcBorders>
          </w:tcPr>
          <w:p>
            <w:pPr>
              <w:spacing w:after="0"/>
              <w:rPr>
                <w:sz w:val="12"/>
                <w:szCs w:val="12"/>
                <w:color w:val="auto"/>
              </w:rPr>
            </w:pPr>
          </w:p>
        </w:tc>
        <w:tc>
          <w:tcPr>
            <w:tcW w:w="1720" w:type="dxa"/>
            <w:vAlign w:val="bottom"/>
            <w:tcBorders>
              <w:top w:val="single" w:sz="8" w:color="auto"/>
              <w:right w:val="single" w:sz="8" w:color="auto"/>
            </w:tcBorders>
          </w:tcPr>
          <w:p>
            <w:pPr>
              <w:spacing w:after="0"/>
              <w:rPr>
                <w:sz w:val="12"/>
                <w:szCs w:val="12"/>
                <w:color w:val="auto"/>
              </w:rPr>
            </w:pPr>
          </w:p>
        </w:tc>
        <w:tc>
          <w:tcPr>
            <w:tcW w:w="1600" w:type="dxa"/>
            <w:vAlign w:val="bottom"/>
            <w:tcBorders>
              <w:top w:val="single" w:sz="8" w:color="auto"/>
              <w:right w:val="single" w:sz="8" w:color="auto"/>
            </w:tcBorders>
            <w:gridSpan w:val="2"/>
          </w:tcPr>
          <w:p>
            <w:pPr>
              <w:jc w:val="center"/>
              <w:ind w:right="59"/>
              <w:spacing w:after="0" w:line="139" w:lineRule="exact"/>
              <w:rPr>
                <w:sz w:val="20"/>
                <w:szCs w:val="20"/>
                <w:color w:val="auto"/>
              </w:rPr>
            </w:pPr>
            <w:r>
              <w:rPr>
                <w:rFonts w:ascii="Times New Roman" w:cs="Times New Roman" w:eastAsia="Times New Roman" w:hAnsi="Times New Roman"/>
                <w:sz w:val="14"/>
                <w:szCs w:val="14"/>
                <w:color w:val="auto"/>
              </w:rPr>
              <w:t>Maximum Aggregate</w:t>
            </w:r>
          </w:p>
        </w:tc>
        <w:tc>
          <w:tcPr>
            <w:tcW w:w="80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c>
          <w:tcPr>
            <w:tcW w:w="154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Borders>
              <w:left w:val="single" w:sz="8" w:color="auto"/>
              <w:right w:val="single" w:sz="8" w:color="auto"/>
            </w:tcBorders>
          </w:tcPr>
          <w:p>
            <w:pPr>
              <w:spacing w:after="0"/>
              <w:rPr>
                <w:sz w:val="12"/>
                <w:szCs w:val="12"/>
                <w:color w:val="auto"/>
              </w:rPr>
            </w:pPr>
          </w:p>
        </w:tc>
        <w:tc>
          <w:tcPr>
            <w:tcW w:w="278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restart"/>
          </w:tcPr>
          <w:p>
            <w:pPr>
              <w:jc w:val="right"/>
              <w:ind w:right="239"/>
              <w:spacing w:after="0"/>
              <w:rPr>
                <w:sz w:val="20"/>
                <w:szCs w:val="20"/>
                <w:color w:val="auto"/>
              </w:rPr>
            </w:pPr>
            <w:r>
              <w:rPr>
                <w:rFonts w:ascii="Times New Roman" w:cs="Times New Roman" w:eastAsia="Times New Roman" w:hAnsi="Times New Roman"/>
                <w:sz w:val="14"/>
                <w:szCs w:val="14"/>
                <w:color w:val="auto"/>
              </w:rPr>
              <w:t>Amount of Securities</w:t>
            </w:r>
          </w:p>
        </w:tc>
        <w:tc>
          <w:tcPr>
            <w:tcW w:w="200" w:type="dxa"/>
            <w:vAlign w:val="bottom"/>
          </w:tcPr>
          <w:p>
            <w:pPr>
              <w:spacing w:after="0"/>
              <w:rPr>
                <w:sz w:val="12"/>
                <w:szCs w:val="12"/>
                <w:color w:val="auto"/>
              </w:rPr>
            </w:pPr>
          </w:p>
        </w:tc>
        <w:tc>
          <w:tcPr>
            <w:tcW w:w="1400" w:type="dxa"/>
            <w:vAlign w:val="bottom"/>
            <w:tcBorders>
              <w:right w:val="single" w:sz="8" w:color="auto"/>
            </w:tcBorders>
          </w:tcPr>
          <w:p>
            <w:pPr>
              <w:jc w:val="center"/>
              <w:ind w:right="259"/>
              <w:spacing w:after="0" w:line="149" w:lineRule="exact"/>
              <w:rPr>
                <w:sz w:val="20"/>
                <w:szCs w:val="20"/>
                <w:color w:val="auto"/>
              </w:rPr>
            </w:pPr>
            <w:r>
              <w:rPr>
                <w:rFonts w:ascii="Times New Roman" w:cs="Times New Roman" w:eastAsia="Times New Roman" w:hAnsi="Times New Roman"/>
                <w:sz w:val="14"/>
                <w:szCs w:val="14"/>
                <w:color w:val="auto"/>
              </w:rPr>
              <w:t>Offering Price</w:t>
            </w:r>
          </w:p>
        </w:tc>
        <w:tc>
          <w:tcPr>
            <w:tcW w:w="80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tcBorders>
              <w:left w:val="single" w:sz="8" w:color="auto"/>
              <w:right w:val="single" w:sz="8" w:color="auto"/>
            </w:tcBorders>
          </w:tcPr>
          <w:p>
            <w:pPr>
              <w:spacing w:after="0"/>
              <w:rPr>
                <w:sz w:val="12"/>
                <w:szCs w:val="12"/>
                <w:color w:val="auto"/>
              </w:rPr>
            </w:pPr>
          </w:p>
        </w:tc>
        <w:tc>
          <w:tcPr>
            <w:tcW w:w="278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Borders>
              <w:right w:val="single" w:sz="8" w:color="auto"/>
            </w:tcBorders>
          </w:tcPr>
          <w:p>
            <w:pPr>
              <w:jc w:val="center"/>
              <w:ind w:right="279"/>
              <w:spacing w:after="0" w:line="149" w:lineRule="exact"/>
              <w:rPr>
                <w:sz w:val="20"/>
                <w:szCs w:val="20"/>
                <w:color w:val="auto"/>
              </w:rPr>
            </w:pPr>
            <w:r>
              <w:rPr>
                <w:rFonts w:ascii="Times New Roman" w:cs="Times New Roman" w:eastAsia="Times New Roman" w:hAnsi="Times New Roman"/>
                <w:sz w:val="14"/>
                <w:szCs w:val="14"/>
                <w:color w:val="auto"/>
              </w:rPr>
              <w:t>of Securities</w:t>
            </w:r>
          </w:p>
        </w:tc>
        <w:tc>
          <w:tcPr>
            <w:tcW w:w="80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4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Security Type</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Security Class Title</w:t>
            </w:r>
          </w:p>
        </w:tc>
        <w:tc>
          <w:tcPr>
            <w:tcW w:w="1720" w:type="dxa"/>
            <w:vAlign w:val="bottom"/>
            <w:tcBorders>
              <w:bottom w:val="single" w:sz="8" w:color="auto"/>
              <w:right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color w:val="auto"/>
              </w:rPr>
              <w:t>Previously Registered</w:t>
            </w:r>
            <w:r>
              <w:rPr>
                <w:rFonts w:ascii="Times New Roman" w:cs="Times New Roman" w:eastAsia="Times New Roman" w:hAnsi="Times New Roman"/>
                <w:sz w:val="10"/>
                <w:szCs w:val="10"/>
                <w:color w:val="auto"/>
              </w:rPr>
              <w:t>(1)</w:t>
            </w:r>
          </w:p>
        </w:tc>
        <w:tc>
          <w:tcPr>
            <w:tcW w:w="1600" w:type="dxa"/>
            <w:vAlign w:val="bottom"/>
            <w:tcBorders>
              <w:bottom w:val="single" w:sz="8" w:color="auto"/>
              <w:right w:val="single" w:sz="8" w:color="auto"/>
            </w:tcBorders>
            <w:gridSpan w:val="2"/>
          </w:tcPr>
          <w:p>
            <w:pPr>
              <w:jc w:val="center"/>
              <w:ind w:right="59"/>
              <w:spacing w:after="0"/>
              <w:rPr>
                <w:sz w:val="20"/>
                <w:szCs w:val="20"/>
                <w:color w:val="auto"/>
              </w:rPr>
            </w:pPr>
            <w:r>
              <w:rPr>
                <w:rFonts w:ascii="Times New Roman" w:cs="Times New Roman" w:eastAsia="Times New Roman" w:hAnsi="Times New Roman"/>
                <w:sz w:val="14"/>
                <w:szCs w:val="14"/>
                <w:color w:val="auto"/>
              </w:rPr>
              <w:t>Previously Registered </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Form Type   </w:t>
            </w:r>
          </w:p>
        </w:tc>
        <w:tc>
          <w:tcPr>
            <w:tcW w:w="1080" w:type="dxa"/>
            <w:vAlign w:val="bottom"/>
            <w:tcBorders>
              <w:bottom w:val="single" w:sz="8" w:color="auto"/>
              <w:right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color w:val="auto"/>
              </w:rPr>
              <w:t>File Number </w:t>
            </w:r>
          </w:p>
        </w:tc>
        <w:tc>
          <w:tcPr>
            <w:tcW w:w="1540" w:type="dxa"/>
            <w:vAlign w:val="bottom"/>
            <w:tcBorders>
              <w:bottom w:val="single" w:sz="8" w:color="auto"/>
              <w:right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color w:val="auto"/>
              </w:rPr>
              <w:t>Initial Effective Date</w:t>
            </w:r>
          </w:p>
        </w:tc>
        <w:tc>
          <w:tcPr>
            <w:tcW w:w="0" w:type="dxa"/>
            <w:vAlign w:val="bottom"/>
          </w:tcPr>
          <w:p>
            <w:pPr>
              <w:spacing w:after="0"/>
              <w:rPr>
                <w:sz w:val="1"/>
                <w:szCs w:val="1"/>
                <w:color w:val="auto"/>
              </w:rPr>
            </w:pPr>
          </w:p>
        </w:tc>
      </w:tr>
      <w:tr>
        <w:trPr>
          <w:trHeight w:val="191"/>
        </w:trPr>
        <w:tc>
          <w:tcPr>
            <w:tcW w:w="1400" w:type="dxa"/>
            <w:vAlign w:val="bottom"/>
            <w:tcBorders>
              <w:left w:val="single" w:sz="8" w:color="auto"/>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Equity</w:t>
            </w:r>
          </w:p>
        </w:tc>
        <w:tc>
          <w:tcPr>
            <w:tcW w:w="27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w:t>
            </w:r>
          </w:p>
        </w:tc>
        <w:tc>
          <w:tcPr>
            <w:tcW w:w="17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$0.001 per share</w:t>
            </w:r>
          </w:p>
        </w:tc>
        <w:tc>
          <w:tcPr>
            <w:tcW w:w="1720" w:type="dxa"/>
            <w:vAlign w:val="bottom"/>
            <w:tcBorders>
              <w:bottom w:val="single" w:sz="8" w:color="auto"/>
              <w:right w:val="single" w:sz="8" w:color="auto"/>
            </w:tcBorders>
          </w:tcPr>
          <w:p>
            <w:pPr>
              <w:jc w:val="right"/>
              <w:spacing w:after="0" w:line="235" w:lineRule="exact"/>
              <w:rPr>
                <w:sz w:val="20"/>
                <w:szCs w:val="20"/>
                <w:color w:val="auto"/>
              </w:rPr>
            </w:pPr>
            <w:r>
              <w:rPr>
                <w:rFonts w:ascii="Times New Roman" w:cs="Times New Roman" w:eastAsia="Times New Roman" w:hAnsi="Times New Roman"/>
                <w:sz w:val="18"/>
                <w:szCs w:val="18"/>
                <w:color w:val="auto"/>
              </w:rPr>
              <w:t>22,100,000</w:t>
            </w:r>
            <w:r>
              <w:rPr>
                <w:rFonts w:ascii="Times New Roman" w:cs="Times New Roman" w:eastAsia="Times New Roman" w:hAnsi="Times New Roman"/>
                <w:sz w:val="26"/>
                <w:szCs w:val="26"/>
                <w:color w:val="auto"/>
                <w:vertAlign w:val="superscript"/>
              </w:rPr>
              <w:t>(2)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right w:val="single" w:sz="8" w:color="auto"/>
            </w:tcBorders>
          </w:tcPr>
          <w:p>
            <w:pPr>
              <w:jc w:val="right"/>
              <w:spacing w:after="0" w:line="235" w:lineRule="exact"/>
              <w:rPr>
                <w:sz w:val="20"/>
                <w:szCs w:val="20"/>
                <w:color w:val="auto"/>
              </w:rPr>
            </w:pPr>
            <w:r>
              <w:rPr>
                <w:rFonts w:ascii="Times New Roman" w:cs="Times New Roman" w:eastAsia="Times New Roman" w:hAnsi="Times New Roman"/>
                <w:sz w:val="18"/>
                <w:szCs w:val="18"/>
                <w:color w:val="auto"/>
              </w:rPr>
              <w:t>227,740,500</w:t>
            </w:r>
            <w:r>
              <w:rPr>
                <w:rFonts w:ascii="Times New Roman" w:cs="Times New Roman" w:eastAsia="Times New Roman" w:hAnsi="Times New Roman"/>
                <w:sz w:val="26"/>
                <w:szCs w:val="26"/>
                <w:color w:val="auto"/>
                <w:vertAlign w:val="superscript"/>
              </w:rPr>
              <w:t>(3)</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S-3</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333-268275</w:t>
            </w:r>
          </w:p>
        </w:tc>
        <w:tc>
          <w:tcPr>
            <w:tcW w:w="1540" w:type="dxa"/>
            <w:vAlign w:val="bottom"/>
            <w:tcBorders>
              <w:bottom w:val="single" w:sz="8" w:color="auto"/>
              <w:right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January 9, 2023</w:t>
            </w:r>
          </w:p>
        </w:tc>
        <w:tc>
          <w:tcPr>
            <w:tcW w:w="0" w:type="dxa"/>
            <w:vAlign w:val="bottom"/>
          </w:tcPr>
          <w:p>
            <w:pPr>
              <w:spacing w:after="0"/>
              <w:rPr>
                <w:sz w:val="1"/>
                <w:szCs w:val="1"/>
                <w:color w:val="auto"/>
              </w:rPr>
            </w:pPr>
          </w:p>
        </w:tc>
      </w:tr>
      <w:tr>
        <w:trPr>
          <w:trHeight w:val="191"/>
        </w:trPr>
        <w:tc>
          <w:tcPr>
            <w:tcW w:w="1400" w:type="dxa"/>
            <w:vAlign w:val="bottom"/>
            <w:tcBorders>
              <w:left w:val="single" w:sz="8" w:color="auto"/>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Equity</w:t>
            </w:r>
          </w:p>
        </w:tc>
        <w:tc>
          <w:tcPr>
            <w:tcW w:w="27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w:t>
            </w:r>
          </w:p>
        </w:tc>
        <w:tc>
          <w:tcPr>
            <w:tcW w:w="17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$0.001 per share</w:t>
            </w:r>
          </w:p>
        </w:tc>
        <w:tc>
          <w:tcPr>
            <w:tcW w:w="1720" w:type="dxa"/>
            <w:vAlign w:val="bottom"/>
            <w:tcBorders>
              <w:bottom w:val="single" w:sz="8" w:color="auto"/>
              <w:right w:val="single" w:sz="8" w:color="auto"/>
            </w:tcBorders>
          </w:tcPr>
          <w:p>
            <w:pPr>
              <w:jc w:val="right"/>
              <w:spacing w:after="0" w:line="235" w:lineRule="exact"/>
              <w:rPr>
                <w:sz w:val="20"/>
                <w:szCs w:val="20"/>
                <w:color w:val="auto"/>
              </w:rPr>
            </w:pPr>
            <w:r>
              <w:rPr>
                <w:rFonts w:ascii="Times New Roman" w:cs="Times New Roman" w:eastAsia="Times New Roman" w:hAnsi="Times New Roman"/>
                <w:sz w:val="18"/>
                <w:szCs w:val="18"/>
                <w:color w:val="auto"/>
              </w:rPr>
              <w:t>15,877,177</w:t>
            </w:r>
            <w:r>
              <w:rPr>
                <w:rFonts w:ascii="Times New Roman" w:cs="Times New Roman" w:eastAsia="Times New Roman" w:hAnsi="Times New Roman"/>
                <w:sz w:val="26"/>
                <w:szCs w:val="26"/>
                <w:color w:val="auto"/>
                <w:vertAlign w:val="superscript"/>
              </w:rPr>
              <w:t>(4)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right w:val="single" w:sz="8" w:color="auto"/>
            </w:tcBorders>
          </w:tcPr>
          <w:p>
            <w:pPr>
              <w:jc w:val="right"/>
              <w:spacing w:after="0" w:line="235" w:lineRule="exact"/>
              <w:rPr>
                <w:sz w:val="20"/>
                <w:szCs w:val="20"/>
                <w:color w:val="auto"/>
              </w:rPr>
            </w:pPr>
            <w:r>
              <w:rPr>
                <w:rFonts w:ascii="Times New Roman" w:cs="Times New Roman" w:eastAsia="Times New Roman" w:hAnsi="Times New Roman"/>
                <w:sz w:val="18"/>
                <w:szCs w:val="18"/>
                <w:color w:val="auto"/>
                <w:w w:val="99"/>
              </w:rPr>
              <w:t>146,308,186.06</w:t>
            </w:r>
            <w:r>
              <w:rPr>
                <w:rFonts w:ascii="Times New Roman" w:cs="Times New Roman" w:eastAsia="Times New Roman" w:hAnsi="Times New Roman"/>
                <w:sz w:val="26"/>
                <w:szCs w:val="26"/>
                <w:color w:val="auto"/>
                <w:w w:val="99"/>
                <w:vertAlign w:val="superscript"/>
              </w:rPr>
              <w:t>(5)</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S-3</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333-275667</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November 30, 2023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 w:hanging="4"/>
        <w:spacing w:after="0" w:line="256" w:lineRule="auto"/>
        <w:tabs>
          <w:tab w:leader="none" w:pos="206" w:val="left"/>
        </w:tabs>
        <w:numPr>
          <w:ilvl w:val="0"/>
          <w:numId w:val="2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Represents the shares of Class A Common Stock, par value $0.001 per share (the “Class A Common Stock”) of P10, Inc., a Delaware corporation (the “Registrant”) that will be offered for sale by the selling stockholders (the “Selling Stockholders”) named in the prospectus that forms a part of the Registrant’s Registration Statement on Form S-1 to which this exhibit relates (the “Registration Statement”). The Registration Statement also constitutes a post-effective amendment to the following two registrations statements (collectively, the “Initial Registration Statements”): (i) the Registration Statement on Form S-3 (No. 333-268275) filed by the Registrant with the Securities and Exchange Commission (the “SEC”) on November 9, 2022 and declared effective on January 9, 2023 (the “2022 Registration Statement”); and (ii) the Registration Statement on Form S-3 (No. 333-275667) filed by the Registrant with the SEC on November 20, 2023 and declared effective on November 30, 2023 (the “2023 Registration Statement”). The Registrant is filing this Registration Statement to (i) deregister and remove from registration the primary securities from the 2022 Registration Statement and 6,366,477 shares of Class A Common Stock previously registered under the 2023 Registration Statement and not sold by the Selling Stockholders, (ii) combine the prospectuses included in each of the Initial Registration Statements pursuant to Rule 429 under the Securities Act with the prospectus included in the Registration Statement, and (iii) convert each of the Initial Registration Statements into a Registration Statement on Form S-1. The post-effective amendment to the Initial Registration Statements shall hereafter become effective concurrently with the effectiveness of this Registration Statement in accordance with Section 8(c) of the Securities Act.</w:t>
      </w:r>
    </w:p>
    <w:p>
      <w:pPr>
        <w:spacing w:after="0" w:line="200" w:lineRule="exact"/>
        <w:rPr>
          <w:sz w:val="20"/>
          <w:szCs w:val="20"/>
          <w:color w:val="auto"/>
        </w:rPr>
      </w:pPr>
    </w:p>
    <w:p>
      <w:pPr>
        <w:spacing w:after="0" w:line="211" w:lineRule="exact"/>
        <w:rPr>
          <w:sz w:val="20"/>
          <w:szCs w:val="20"/>
          <w:color w:val="auto"/>
        </w:rPr>
      </w:pPr>
    </w:p>
    <w:p>
      <w:pPr>
        <w:jc w:val="both"/>
        <w:ind w:left="4" w:right="20"/>
        <w:spacing w:after="0" w:line="256" w:lineRule="auto"/>
        <w:rPr>
          <w:sz w:val="20"/>
          <w:szCs w:val="20"/>
          <w:color w:val="auto"/>
        </w:rPr>
      </w:pPr>
      <w:r>
        <w:rPr>
          <w:rFonts w:ascii="Times New Roman" w:cs="Times New Roman" w:eastAsia="Times New Roman" w:hAnsi="Times New Roman"/>
          <w:sz w:val="18"/>
          <w:szCs w:val="18"/>
          <w:color w:val="auto"/>
        </w:rPr>
        <w:t>Pursuant to Rule 416(a) under the Securities Act, the shares of Class A Common Stock being registered under the Registration Statement include such indeterminate number of additional shares of Class A Common Stock as may be issuable as a result of stock splits, stock dividends or similar transactions with respect to the shares of Class A Common Stock being registered under the Registration Statement. Additionally, pursuant to Rule 416(b) under the Securities Act, if prior to the completion of the distribution of the shares of Class A Common Stock registered under the Registration Statement all shares of Class A Common Stock are combined by a reverse stock split into a lesser number of shares of Class A Common Stock, the number of undistributed shares of Class A Common Stock covered by the Registration Statement shall be proportionately reduced.</w:t>
      </w:r>
    </w:p>
    <w:p>
      <w:pPr>
        <w:spacing w:after="0" w:line="187" w:lineRule="exact"/>
        <w:rPr>
          <w:sz w:val="20"/>
          <w:szCs w:val="20"/>
          <w:color w:val="auto"/>
        </w:rPr>
      </w:pPr>
    </w:p>
    <w:p>
      <w:pPr>
        <w:jc w:val="both"/>
        <w:ind w:left="4" w:hanging="4"/>
        <w:spacing w:after="0"/>
        <w:tabs>
          <w:tab w:leader="none" w:pos="210" w:val="left"/>
        </w:tabs>
        <w:numPr>
          <w:ilvl w:val="0"/>
          <w:numId w:val="2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Includes up to 22,100,000 shares of Class A Common Stock issuable upon conversion of shares of Class B Common Stock held directly or indirectly by certain Selling Stockholders. All of such shares of Class A Common Stock were registered under the 2022 Registration Statement. Accordingly, all registration fees with respect to such shares of Class A Common Stock have been previously paid in connection with the original filing of the 2022 Registration Statement.</w:t>
      </w:r>
    </w:p>
    <w:p>
      <w:pPr>
        <w:spacing w:after="0" w:line="390" w:lineRule="exact"/>
        <w:rPr>
          <w:rFonts w:ascii="Times New Roman" w:cs="Times New Roman" w:eastAsia="Times New Roman" w:hAnsi="Times New Roman"/>
          <w:sz w:val="26"/>
          <w:szCs w:val="26"/>
          <w:color w:val="auto"/>
          <w:vertAlign w:val="superscript"/>
        </w:rPr>
      </w:pPr>
    </w:p>
    <w:p>
      <w:pPr>
        <w:jc w:val="both"/>
        <w:ind w:left="4" w:hanging="4"/>
        <w:spacing w:after="0" w:line="231" w:lineRule="auto"/>
        <w:tabs>
          <w:tab w:leader="none" w:pos="208" w:val="left"/>
        </w:tabs>
        <w:numPr>
          <w:ilvl w:val="0"/>
          <w:numId w:val="2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Estimated in connection with the original filing of the 2022 Registration Statement solely for the purpose of calculating the amount of registration fee pursuant to Rule 457(c) under the Securities Act. The proposed maximum aggregate offering price of $10.305 is based upon the average of the high and low prices of the shares of Class A Common Stock on The New York Stock Exchange on December 9, 2022.</w:t>
      </w:r>
    </w:p>
    <w:p>
      <w:pPr>
        <w:spacing w:after="0" w:line="199" w:lineRule="exact"/>
        <w:rPr>
          <w:rFonts w:ascii="Times New Roman" w:cs="Times New Roman" w:eastAsia="Times New Roman" w:hAnsi="Times New Roman"/>
          <w:sz w:val="26"/>
          <w:szCs w:val="26"/>
          <w:color w:val="auto"/>
          <w:vertAlign w:val="superscript"/>
        </w:rPr>
      </w:pPr>
    </w:p>
    <w:p>
      <w:pPr>
        <w:jc w:val="both"/>
        <w:ind w:left="4" w:hanging="4"/>
        <w:spacing w:after="0" w:line="252" w:lineRule="auto"/>
        <w:tabs>
          <w:tab w:leader="none" w:pos="206" w:val="left"/>
        </w:tabs>
        <w:numPr>
          <w:ilvl w:val="0"/>
          <w:numId w:val="2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Includes up to 15,877,177 shares of Class A Common Stock, which includes: (i) 4,380,426 shares of Class A common stock held directly or indirectly by certain Selling Stockholders; (ii) up to 10,298,583 shares of Class A common stock issuable upon conversion of shares of Class B Common Stock held directly or indirectly by certain Selling Stockholders; (iii) up to 334,893 shares of Class A common stock issuable upon vesting and settlement of restricted stock units held directly or indirectly by certain Selling Stockholders; (iv) up to 13,089 shares of Class A common stock that were issued as shares of restricted stock to a Selling Stockholder and remain subject to vesting; and (v) up to 850,186 shares of Class A common stock issuable upon exercise of stock options held directly or indirectly by certain Selling Stockholders. All of such shares of Class A Common Stock were registered under the 2023 Registration Statement. Accordingly, all registration fees with respect to such shares of Class A Common Stock have been previously paid in connection with the original filing of the 2023 Registration Statement.</w:t>
      </w:r>
    </w:p>
    <w:p>
      <w:pPr>
        <w:sectPr>
          <w:pgSz w:w="11900" w:h="16838" w:orient="portrait"/>
          <w:cols w:equalWidth="0" w:num="1">
            <w:col w:w="11024"/>
          </w:cols>
          <w:pgMar w:left="436" w:top="270" w:right="439" w:bottom="1440" w:gutter="0" w:footer="0" w:header="0"/>
        </w:sectPr>
      </w:pPr>
    </w:p>
    <w:bookmarkStart w:id="32" w:name="page33"/>
    <w:bookmarkEnd w:id="32"/>
    <w:p>
      <w:pPr>
        <w:jc w:val="both"/>
        <w:ind w:left="4" w:hanging="4"/>
        <w:spacing w:after="0" w:line="231" w:lineRule="auto"/>
        <w:tabs>
          <w:tab w:leader="none" w:pos="208" w:val="left"/>
        </w:tabs>
        <w:numPr>
          <w:ilvl w:val="0"/>
          <w:numId w:val="2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Estimated in connection with the original filing of the 2023 Registration Statement solely for the purpose of calculating the amount of registration fee pursuant to Rule 457(c) under the Securities Act. The proposed maximum aggregate offering price of $9.215 is based upon the average of the high and low prices of the shares of Class A Common Stock on The New York Stock Exchange on November 17, 2023.</w:t>
      </w:r>
    </w:p>
    <w:sectPr>
      <w:pgSz w:w="11900" w:h="16838" w:orient="portrait"/>
      <w:cols w:equalWidth="0" w:num="1">
        <w:col w:w="11024"/>
      </w:cols>
      <w:pgMar w:left="436"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214"/>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8"/>
    </w:lvl>
  </w:abstractNum>
  <w:abstractNum w:abstractNumId="4">
    <w:nsid w:val="6B68079A"/>
    <w:multiLevelType w:val="hybridMultilevel"/>
    <w:lvl w:ilvl="0">
      <w:lvlJc w:val="left"/>
      <w:lvlText w:val="(%1)"/>
      <w:numFmt w:val="decimal"/>
      <w:start w:val="18"/>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lowerRoman"/>
      <w:start w:val="3"/>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lowerLetter"/>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lowerRoman"/>
      <w:start w:val="1"/>
    </w:lvl>
  </w:abstractNum>
  <w:abstractNum w:abstractNumId="16">
    <w:nsid w:val="721DA317"/>
    <w:multiLevelType w:val="hybridMultilevel"/>
    <w:lvl w:ilvl="0">
      <w:lvlJc w:val="left"/>
      <w:lvlText w:val="(%1)"/>
      <w:numFmt w:val="decimal"/>
      <w:start w:val="2"/>
    </w:lvl>
  </w:abstractNum>
  <w:abstractNum w:abstractNumId="17">
    <w:nsid w:val="2443A858"/>
    <w:multiLevelType w:val="hybridMultilevel"/>
    <w:lvl w:ilvl="0">
      <w:lvlJc w:val="left"/>
      <w:lvlText w:val="(%1)"/>
      <w:numFmt w:val="decimal"/>
      <w:start w:val="4"/>
    </w:lvl>
  </w:abstractNum>
  <w:abstractNum w:abstractNumId="18">
    <w:nsid w:val="2D1D5AE9"/>
    <w:multiLevelType w:val="hybridMultilevel"/>
    <w:lvl w:ilvl="0">
      <w:lvlJc w:val="left"/>
      <w:lvlText w:val="(%1)"/>
      <w:numFmt w:val="lowerRoman"/>
      <w:start w:val="1"/>
    </w:lvl>
  </w:abstractNum>
  <w:abstractNum w:abstractNumId="19">
    <w:nsid w:val="6763845E"/>
    <w:multiLevelType w:val="hybridMultilevel"/>
    <w:lvl w:ilvl="0">
      <w:lvlJc w:val="left"/>
      <w:lvlText w:val="(%1)"/>
      <w:numFmt w:val="decimal"/>
      <w:start w:val="5"/>
    </w:lvl>
  </w:abstractNum>
  <w:abstractNum w:abstractNumId="20">
    <w:nsid w:val="75A2A8D4"/>
    <w:multiLevelType w:val="hybridMultilevel"/>
    <w:lvl w:ilvl="0">
      <w:lvlJc w:val="left"/>
      <w:lvlText w:val="(%1)"/>
      <w:numFmt w:val="lowerRoman"/>
      <w:start w:val="1"/>
    </w:lvl>
  </w:abstractNum>
  <w:abstractNum w:abstractNumId="21">
    <w:nsid w:val="8EDBDAB"/>
    <w:multiLevelType w:val="hybridMultilevel"/>
    <w:lvl w:ilvl="0">
      <w:lvlJc w:val="left"/>
      <w:lvlText w:val="(%1)"/>
      <w:numFmt w:val="decimal"/>
      <w:start w:val="6"/>
    </w:lvl>
  </w:abstractNum>
  <w:abstractNum w:abstractNumId="22">
    <w:nsid w:val="79838CB2"/>
    <w:multiLevelType w:val="hybridMultilevel"/>
    <w:lvl w:ilvl="0">
      <w:lvlJc w:val="left"/>
      <w:lvlText w:val="T"/>
      <w:numFmt w:val="bullet"/>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decimal"/>
      <w:start w:val="2"/>
    </w:lvl>
  </w:abstractNum>
  <w:abstractNum w:abstractNumId="26">
    <w:nsid w:val="54E49EB4"/>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81" Type="http://schemas.openxmlformats.org/officeDocument/2006/relationships/image" Target="media/image45.png"/><Relationship Id="rId91" Type="http://schemas.openxmlformats.org/officeDocument/2006/relationships/image" Target="media/image46.png"/><Relationship Id="rId95" Type="http://schemas.openxmlformats.org/officeDocument/2006/relationships/image" Target="media/image47.png"/><Relationship Id="rId96" Type="http://schemas.openxmlformats.org/officeDocument/2006/relationships/image" Target="media/image48.png"/><Relationship Id="rId97" Type="http://schemas.openxmlformats.org/officeDocument/2006/relationships/image" Target="media/image49.png"/><Relationship Id="rId98" Type="http://schemas.openxmlformats.org/officeDocument/2006/relationships/image" Target="media/image50.jpeg"/><Relationship Id="rId99" Type="http://schemas.openxmlformats.org/officeDocument/2006/relationships/image" Target="media/image51.jpeg"/><Relationship Id="rId100" Type="http://schemas.openxmlformats.org/officeDocument/2006/relationships/image" Target="media/image52.png"/><Relationship Id="rId101" Type="http://schemas.openxmlformats.org/officeDocument/2006/relationships/image" Target="media/image53.jpeg"/><Relationship Id="rId102" Type="http://schemas.openxmlformats.org/officeDocument/2006/relationships/image" Target="media/image54.png"/><Relationship Id="rId103" Type="http://schemas.openxmlformats.org/officeDocument/2006/relationships/image" Target="media/image55.png"/><Relationship Id="rId40" Type="http://schemas.openxmlformats.org/officeDocument/2006/relationships/hyperlink" Target="http://www.sec.gov/ix?doc=/Archives/edgar/data/1841968/000095017024030461/px-20231231.htm" TargetMode="External"/><Relationship Id="rId41" Type="http://schemas.openxmlformats.org/officeDocument/2006/relationships/hyperlink" Target="http://www.sec.gov/ix?doc=/Archives/edgar/data/1841968/000095017024056908/px-20240331.htm" TargetMode="External"/><Relationship Id="rId42" Type="http://schemas.openxmlformats.org/officeDocument/2006/relationships/hyperlink" Target="http://www.sec.gov/ix?doc=/Archives/edgar/data/1841968/000095017024013368/px-20240206.htm" TargetMode="External"/><Relationship Id="rId43" Type="http://schemas.openxmlformats.org/officeDocument/2006/relationships/hyperlink" Target="http://www.sec.gov/ix?doc=/Archives/edgar/data/1841968/000095017024046364/px-20240422.htm" TargetMode="External"/><Relationship Id="rId44" Type="http://schemas.openxmlformats.org/officeDocument/2006/relationships/hyperlink" Target="http://www.sec.gov/ix?doc=/Archives/edgar/data/1841968/000095017024055658/px-20240506.htm" TargetMode="External"/><Relationship Id="rId45" Type="http://schemas.openxmlformats.org/officeDocument/2006/relationships/hyperlink" Target="http://www.sec.gov/Archives/edgar/data/1841968/000095017024047664/p10_proxy_2023_-_no_xbrl.htm" TargetMode="External"/><Relationship Id="rId46" Type="http://schemas.openxmlformats.org/officeDocument/2006/relationships/hyperlink" Target="http://www.sec.gov/Archives/edgar/data/1841968/000119312521302126/d197268d8a12b.htm" TargetMode="External"/><Relationship Id="rId56" Type="http://schemas.openxmlformats.org/officeDocument/2006/relationships/hyperlink" Target="http://www.sec.gov/Archives/edgar/data/1841968/000119312522281348/d417197ds3.htm" TargetMode="External"/><Relationship Id="rId57" Type="http://schemas.openxmlformats.org/officeDocument/2006/relationships/hyperlink" Target="http://www.sec.gov/Archives/edgar/data/1841968/000119312523280730/d598157ds3.htm" TargetMode="External"/><Relationship Id="rId61" Type="http://schemas.openxmlformats.org/officeDocument/2006/relationships/hyperlink" Target="http://www.sec.gov/Archives/edgar/data/1841968/000119312521308150/d247132dex31.htm" TargetMode="External"/><Relationship Id="rId62" Type="http://schemas.openxmlformats.org/officeDocument/2006/relationships/hyperlink" Target="http://www.sec.gov/Archives/edgar/data/1841968/000119312521308150/d247132dex32.htm" TargetMode="External"/><Relationship Id="rId63" Type="http://schemas.openxmlformats.org/officeDocument/2006/relationships/hyperlink" Target="http://www.sec.gov/Archives/edgar/data/1841968/000095017024030461/px-ex4_3.htm" TargetMode="External"/><Relationship Id="rId64" Type="http://schemas.openxmlformats.org/officeDocument/2006/relationships/hyperlink" Target="http://www.sec.gov/Archives/edgar/data/1841968/000119312521308150/d247132dex101.htm" TargetMode="External"/><Relationship Id="rId65" Type="http://schemas.openxmlformats.org/officeDocument/2006/relationships/hyperlink" Target="http://www.sec.gov/Archives/edgar/data/1841968/000095017023042347/px-ex10_5.htm" TargetMode="External"/><Relationship Id="rId66" Type="http://schemas.openxmlformats.org/officeDocument/2006/relationships/hyperlink" Target="http://www.sec.gov/Archives/edgar/data/1841968/000119312521308150/d247132dex102.htm" TargetMode="External"/><Relationship Id="rId67" Type="http://schemas.openxmlformats.org/officeDocument/2006/relationships/hyperlink" Target="http://www.sec.gov/Archives/edgar/data/1841968/000119312521284294/d118332dex103.htm" TargetMode="External"/><Relationship Id="rId68" Type="http://schemas.openxmlformats.org/officeDocument/2006/relationships/hyperlink" Target="http://www.sec.gov/Archives/edgar/data/1841968/000119312521300289/d118332dex101.htm" TargetMode="External"/><Relationship Id="rId69" Type="http://schemas.openxmlformats.org/officeDocument/2006/relationships/hyperlink" Target="http://www.sec.gov/Archives/edgar/data/1841968/000119312521300289/d118332dex102.htm" TargetMode="External"/><Relationship Id="rId70" Type="http://schemas.openxmlformats.org/officeDocument/2006/relationships/hyperlink" Target="http://www.sec.gov/Archives/edgar/data/1841968/000095017023022237/px-ex10_1.htm" TargetMode="External"/><Relationship Id="rId71" Type="http://schemas.openxmlformats.org/officeDocument/2006/relationships/hyperlink" Target="http://www.sec.gov/Archives/edgar/data/1841968/000095017023022237/px-ex10_3.htm" TargetMode="External"/><Relationship Id="rId72" Type="http://schemas.openxmlformats.org/officeDocument/2006/relationships/hyperlink" Target="http://www.sec.gov/Archives/edgar/data/1841968/000095017023063085/px-ex10_2.htm" TargetMode="External"/><Relationship Id="rId73" Type="http://schemas.openxmlformats.org/officeDocument/2006/relationships/hyperlink" Target="http://www.sec.gov/Archives/edgar/data/1841968/000095017023022237/px-ex10_4.htm" TargetMode="External"/><Relationship Id="rId74" Type="http://schemas.openxmlformats.org/officeDocument/2006/relationships/hyperlink" Target="http://www.sec.gov/Archives/edgar/data/1841968/000095017023063085/px-ex10_3.htm" TargetMode="External"/><Relationship Id="rId75" Type="http://schemas.openxmlformats.org/officeDocument/2006/relationships/hyperlink" Target="http://www.sec.gov/Archives/edgar/data/1841968/000095017023063085/px-ex10_1.htm" TargetMode="External"/><Relationship Id="rId76" Type="http://schemas.openxmlformats.org/officeDocument/2006/relationships/hyperlink" Target="http://www.sec.gov/Archives/edgar/data/1841968/000095017024056908/px-ex10_1.htm" TargetMode="External"/><Relationship Id="rId77" Type="http://schemas.openxmlformats.org/officeDocument/2006/relationships/hyperlink" Target="http://www.sec.gov/Archives/edgar/data/1841968/000095017024056908/px-ex10_2.htm" TargetMode="External"/><Relationship Id="rId78" Type="http://schemas.openxmlformats.org/officeDocument/2006/relationships/hyperlink" Target="http://www.sec.gov/Archives/edgar/data/1841968/000095017024056908/px-ex10_3.htm" TargetMode="External"/><Relationship Id="rId79" Type="http://schemas.openxmlformats.org/officeDocument/2006/relationships/hyperlink" Target="http://www.sec.gov/Archives/edgar/data/1841968/000119312521284294/d118332dex1014.htm" TargetMode="External"/><Relationship Id="rId80" Type="http://schemas.openxmlformats.org/officeDocument/2006/relationships/hyperlink" Target="http://www.sec.gov/Archives/edgar/data/1841968/000119312521284294/d118332dex1015.htm" TargetMode="External"/><Relationship Id="rId82" Type="http://schemas.openxmlformats.org/officeDocument/2006/relationships/hyperlink" Target="http://www.sec.gov/Archives/edgar/data/1841968/000119312521284294/d118332dex1016.htm" TargetMode="External"/><Relationship Id="rId83" Type="http://schemas.openxmlformats.org/officeDocument/2006/relationships/hyperlink" Target="http://www.sec.gov/Archives/edgar/data/1841968/000119312521284294/d118332dex1017.htm" TargetMode="External"/><Relationship Id="rId84" Type="http://schemas.openxmlformats.org/officeDocument/2006/relationships/hyperlink" Target="http://www.sec.gov/Archives/edgar/data/1841968/000119312521284294/d118332dex1018.htm" TargetMode="External"/><Relationship Id="rId85" Type="http://schemas.openxmlformats.org/officeDocument/2006/relationships/hyperlink" Target="http://www.sec.gov/Archives/edgar/data/1841968/000119312521284294/d118332dex1019.htm" TargetMode="External"/><Relationship Id="rId86" Type="http://schemas.openxmlformats.org/officeDocument/2006/relationships/hyperlink" Target="http://www.sec.gov/Archives/edgar/data/1841968/000119312521284294/d118332dex1020.htm" TargetMode="External"/><Relationship Id="rId87" Type="http://schemas.openxmlformats.org/officeDocument/2006/relationships/hyperlink" Target="http://www.sec.gov/Archives/edgar/data/1841968/000119312521284294/d118332dex1021.htm" TargetMode="External"/><Relationship Id="rId88" Type="http://schemas.openxmlformats.org/officeDocument/2006/relationships/hyperlink" Target="http://www.sec.gov/Archives/edgar/data/1841968/000119312521284294/d118332dex1022.htm" TargetMode="External"/><Relationship Id="rId89" Type="http://schemas.openxmlformats.org/officeDocument/2006/relationships/hyperlink" Target="http://www.sec.gov/Archives/edgar/data/1841968/000119312521296382/d118332dex1028.htm" TargetMode="External"/><Relationship Id="rId90" Type="http://schemas.openxmlformats.org/officeDocument/2006/relationships/hyperlink" Target="http://www.sec.gov/Archives/edgar/data/1841968/000119312522230601/d273626dex101.htm" TargetMode="External"/><Relationship Id="rId92" Type="http://schemas.openxmlformats.org/officeDocument/2006/relationships/hyperlink" Target="http://www.sec.gov/Archives/edgar/data/1841968/000119312522230601/d273626dex102.htm" TargetMode="External"/><Relationship Id="rId93" Type="http://schemas.openxmlformats.org/officeDocument/2006/relationships/hyperlink" Target="http://www.sec.gov/Archives/edgar/data/1841968/000119312522230601/d273626dex103.htm" TargetMode="External"/><Relationship Id="rId94" Type="http://schemas.openxmlformats.org/officeDocument/2006/relationships/hyperlink" Target="http://www.sec.gov/Archives/edgar/data/1841968/000095017024030461/px-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2024-05-29T05:10:16Z</dcterms:created>
  <dcterms:modified xsi:type="dcterms:W3CDTF">2024-05-29T05:10:16Z</dcterms:modified>
</cp:coreProperties>
</file>