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507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Gehl Jeff Patrick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39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jc w:val="right"/>
              <w:ind w:right="121"/>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17,064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 the Jeff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20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300"/>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P. Gehl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03/16/2023</w:t>
            </w:r>
          </w:p>
        </w:tc>
        <w:tc>
          <w:tcPr>
            <w:tcW w:w="1080" w:type="dxa"/>
            <w:vAlign w:val="bottom"/>
          </w:tcPr>
          <w:p>
            <w:pPr>
              <w:spacing w:after="0"/>
              <w:rPr>
                <w:sz w:val="6"/>
                <w:szCs w:val="6"/>
                <w:color w:val="auto"/>
              </w:rPr>
            </w:pPr>
          </w:p>
        </w:tc>
        <w:tc>
          <w:tcPr>
            <w:tcW w:w="76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S</w:t>
            </w:r>
          </w:p>
        </w:tc>
        <w:tc>
          <w:tcPr>
            <w:tcW w:w="940" w:type="dxa"/>
            <w:vAlign w:val="bottom"/>
            <w:vMerge w:val="restart"/>
          </w:tcPr>
          <w:p>
            <w:pPr>
              <w:ind w:left="40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8.51</w:t>
            </w:r>
          </w:p>
        </w:tc>
        <w:tc>
          <w:tcPr>
            <w:tcW w:w="86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2,911,939</w:t>
            </w: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Jeff P. Gehl Living Trust. The Reporting Person disclaims beneficial ownership of these securities except to the extent of his pecuniary interest therein.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jc w:val="both"/>
        <w:ind w:left="40" w:right="200"/>
        <w:spacing w:after="0" w:line="267" w:lineRule="auto"/>
        <w:rPr>
          <w:sz w:val="20"/>
          <w:szCs w:val="20"/>
          <w:color w:val="auto"/>
        </w:rPr>
      </w:pPr>
      <w:r>
        <w:rPr>
          <w:rFonts w:ascii="Times New Roman" w:cs="Times New Roman" w:eastAsia="Times New Roman" w:hAnsi="Times New Roman"/>
          <w:sz w:val="12"/>
          <w:szCs w:val="12"/>
          <w:color w:val="008000"/>
        </w:rPr>
        <w:t>This Form 4 is being filed by Mr. Gehl (the "Reporting Person"). The Reporting Person is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 The Reporting Person disclaims beneficial ownership of the securities of the Issuer reported herein, except to the extent of his pecuniary interest therein. Mr. Gehl also serves as the Chief Marketing Officer of the Issuer.</w:t>
      </w:r>
    </w:p>
    <w:p>
      <w:pPr>
        <w:spacing w:after="0" w:line="3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92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03/20/2023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32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2023-03-20T18:44:39Z</dcterms:created>
  <dcterms:modified xsi:type="dcterms:W3CDTF">2023-03-20T18:44:39Z</dcterms:modified>
</cp:coreProperties>
</file>