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43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4399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Gehl Jeff Patrick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36"/>
        <w:spacing w:after="0"/>
        <w:rPr>
          <w:sz w:val="20"/>
          <w:szCs w:val="20"/>
          <w:color w:val="auto"/>
        </w:rPr>
      </w:pPr>
      <w:r>
        <w:rPr>
          <w:rFonts w:ascii="Times New Roman" w:cs="Times New Roman" w:eastAsia="Times New Roman" w:hAnsi="Times New Roman"/>
          <w:sz w:val="17"/>
          <w:szCs w:val="17"/>
          <w:color w:val="0000FF"/>
        </w:rPr>
        <w:t>See Remarks</w:t>
      </w:r>
    </w:p>
    <w:p>
      <w:pPr>
        <w:spacing w:after="0" w:line="38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6"/>
          </w:tcPr>
          <w:p>
            <w:pPr>
              <w:jc w:val="center"/>
              <w:ind w:right="41"/>
              <w:spacing w:after="0" w:line="141"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5"/>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By the Jeff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restart"/>
          </w:tcPr>
          <w:p>
            <w:pPr>
              <w:ind w:left="280"/>
              <w:spacing w:after="0" w:line="20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P. Gehl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12/05/2022</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S</w:t>
            </w:r>
          </w:p>
        </w:tc>
        <w:tc>
          <w:tcPr>
            <w:tcW w:w="920" w:type="dxa"/>
            <w:vAlign w:val="bottom"/>
            <w:vMerge w:val="restart"/>
          </w:tcPr>
          <w:p>
            <w:pPr>
              <w:ind w:left="40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9.6876</w:t>
            </w:r>
          </w:p>
        </w:tc>
        <w:tc>
          <w:tcPr>
            <w:tcW w:w="88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3,761,939</w:t>
            </w: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Living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-1831340</wp:posOffset>
            </wp:positionV>
            <wp:extent cx="28575" cy="1836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6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40" w:right="16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Jeff P. Gehl Living Trust. The Reporting Person disclaims beneficial ownership of these securities except to the extent of his pecuniary interest therein.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Head of Marketing &amp; Distribution</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92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12/07/2022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732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52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2022-12-07T15:54:36Z</dcterms:created>
  <dcterms:modified xsi:type="dcterms:W3CDTF">2022-12-07T15:54:36Z</dcterms:modified>
</cp:coreProperties>
</file>