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2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ind w:left="4500"/>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355"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(Amendment No. 9)</w:t>
      </w:r>
    </w:p>
    <w:p>
      <w:pPr>
        <w:spacing w:after="0" w:line="200" w:lineRule="exact"/>
        <w:rPr>
          <w:sz w:val="24"/>
          <w:szCs w:val="24"/>
          <w:color w:val="auto"/>
        </w:rPr>
      </w:pPr>
    </w:p>
    <w:p>
      <w:pPr>
        <w:spacing w:after="0" w:line="37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1085850</wp:posOffset>
            </wp:positionH>
            <wp:positionV relativeFrom="paragraph">
              <wp:posOffset>83185</wp:posOffset>
            </wp:positionV>
            <wp:extent cx="50857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19"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1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1085850</wp:posOffset>
            </wp:positionH>
            <wp:positionV relativeFrom="paragraph">
              <wp:posOffset>83185</wp:posOffset>
            </wp:positionV>
            <wp:extent cx="50857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1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(Title of Class of Securities)</w:t>
      </w:r>
    </w:p>
    <w:p>
      <w:pPr>
        <w:spacing w:after="0" w:line="212"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1085850</wp:posOffset>
            </wp:positionH>
            <wp:positionV relativeFrom="paragraph">
              <wp:posOffset>66040</wp:posOffset>
            </wp:positionV>
            <wp:extent cx="5085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(CUSIP Number of Class of Securities)</w:t>
      </w:r>
    </w:p>
    <w:p>
      <w:pPr>
        <w:spacing w:after="0" w:line="212"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1085850</wp:posOffset>
            </wp:positionH>
            <wp:positionV relativeFrom="paragraph">
              <wp:posOffset>66040</wp:posOffset>
            </wp:positionV>
            <wp:extent cx="5085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5"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the Schedule is filed:</w:t>
      </w:r>
    </w:p>
    <w:p>
      <w:pPr>
        <w:spacing w:after="0" w:line="17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rFonts w:ascii="MS PGothic" w:cs="MS PGothic" w:eastAsia="MS PGothic" w:hAnsi="MS PGothic"/>
          <w:sz w:val="18"/>
          <w:szCs w:val="18"/>
          <w:color w:val="auto"/>
        </w:rPr>
      </w:pPr>
    </w:p>
    <w:p>
      <w:pPr>
        <w:ind w:right="9019" w:firstLine="8"/>
        <w:spacing w:after="0" w:line="543" w:lineRule="auto"/>
        <w:tabs>
          <w:tab w:leader="none" w:pos="20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x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19" w:right="1440" w:bottom="1440" w:gutter="0" w:footer="0" w:header="0"/>
        </w:sectPr>
      </w:pPr>
    </w:p>
    <w:bookmarkStart w:id="1" w:name="page2"/>
    <w:bookmarkEnd w:id="1"/>
    <w:p>
      <w:pPr>
        <w:ind w:left="20"/>
        <w:spacing w:after="0"/>
        <w:tabs>
          <w:tab w:leader="none" w:pos="10580" w:val="left"/>
        </w:tabs>
        <w:rPr>
          <w:sz w:val="20"/>
          <w:szCs w:val="20"/>
          <w:color w:val="auto"/>
        </w:rPr>
      </w:pPr>
      <w:r>
        <w:rPr>
          <w:rFonts w:ascii="Arial" w:cs="Arial" w:eastAsia="Arial" w:hAnsi="Arial"/>
          <w:sz w:val="18"/>
          <w:szCs w:val="18"/>
          <w:color w:val="auto"/>
        </w:rPr>
        <w:t>CUSIP NO. 00504W100</w:t>
      </w:r>
      <w:r>
        <w:rPr>
          <w:sz w:val="20"/>
          <w:szCs w:val="20"/>
          <w:color w:val="auto"/>
        </w:rPr>
        <w:tab/>
      </w:r>
      <w:r>
        <w:rPr>
          <w:rFonts w:ascii="Arial" w:cs="Arial" w:eastAsia="Arial" w:hAnsi="Arial"/>
          <w:sz w:val="15"/>
          <w:szCs w:val="15"/>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0"/>
          <w:szCs w:val="20"/>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right="6980"/>
        <w:spacing w:after="0" w:line="384"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Joseph F. Pinkerton, III</w:t>
      </w:r>
    </w:p>
    <w:p>
      <w:pPr>
        <w:spacing w:after="0" w:line="1" w:lineRule="exact"/>
        <w:rPr>
          <w:rFonts w:ascii="Arial" w:cs="Arial" w:eastAsia="Arial" w:hAnsi="Arial"/>
          <w:sz w:val="18"/>
          <w:szCs w:val="18"/>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4" w:lineRule="exact"/>
        <w:rPr>
          <w:rFonts w:ascii="Arial" w:cs="Arial" w:eastAsia="Arial" w:hAnsi="Arial"/>
          <w:sz w:val="18"/>
          <w:szCs w:val="18"/>
          <w:color w:val="auto"/>
        </w:rPr>
      </w:pPr>
    </w:p>
    <w:p>
      <w:pPr>
        <w:ind w:left="660" w:hanging="287"/>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8" w:lineRule="exact"/>
        <w:rPr>
          <w:rFonts w:ascii="Arial" w:cs="Arial" w:eastAsia="Arial" w:hAnsi="Arial"/>
          <w:sz w:val="18"/>
          <w:szCs w:val="18"/>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rFonts w:ascii="Arial" w:cs="Arial" w:eastAsia="Arial" w:hAnsi="Arial"/>
          <w:sz w:val="18"/>
          <w:szCs w:val="18"/>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USA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2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388,147</w:t>
            </w: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SHARES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71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BENEFICIALLY</w:t>
            </w:r>
          </w:p>
        </w:tc>
        <w:tc>
          <w:tcPr>
            <w:tcW w:w="260" w:type="dxa"/>
            <w:vAlign w:val="bottom"/>
          </w:tcPr>
          <w:p>
            <w:pPr>
              <w:spacing w:after="0"/>
              <w:rPr>
                <w:sz w:val="18"/>
                <w:szCs w:val="18"/>
                <w:color w:val="auto"/>
              </w:rPr>
            </w:pPr>
          </w:p>
        </w:tc>
        <w:tc>
          <w:tcPr>
            <w:tcW w:w="7120" w:type="dxa"/>
            <w:vAlign w:val="bottom"/>
            <w:vMerge w:val="restart"/>
          </w:tcPr>
          <w:p>
            <w:pPr>
              <w:ind w:left="420"/>
              <w:spacing w:after="0"/>
              <w:rPr>
                <w:sz w:val="20"/>
                <w:szCs w:val="20"/>
                <w:color w:val="auto"/>
              </w:rPr>
            </w:pPr>
            <w:r>
              <w:rPr>
                <w:rFonts w:ascii="Arial" w:cs="Arial" w:eastAsia="Arial" w:hAnsi="Arial"/>
                <w:sz w:val="18"/>
                <w:szCs w:val="18"/>
                <w:color w:val="auto"/>
              </w:rPr>
              <w:t>3,301,995</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5"/>
              </w:rPr>
              <w:t>OWNED</w:t>
            </w: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120" w:type="dxa"/>
            <w:vAlign w:val="bottom"/>
            <w:tcBorders>
              <w:bottom w:val="single" w:sz="8" w:color="auto"/>
            </w:tcBorders>
            <w:vMerge w:val="continue"/>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71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8"/>
              </w:rPr>
              <w:t>BY EACH</w:t>
            </w:r>
          </w:p>
        </w:tc>
        <w:tc>
          <w:tcPr>
            <w:tcW w:w="260" w:type="dxa"/>
            <w:vAlign w:val="bottom"/>
            <w:vMerge w:val="continue"/>
          </w:tcPr>
          <w:p>
            <w:pPr>
              <w:spacing w:after="0"/>
              <w:rPr>
                <w:sz w:val="12"/>
                <w:szCs w:val="12"/>
                <w:color w:val="auto"/>
              </w:rPr>
            </w:pPr>
          </w:p>
        </w:tc>
        <w:tc>
          <w:tcPr>
            <w:tcW w:w="712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1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20"/>
                <w:szCs w:val="20"/>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388,147</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1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71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7120" w:type="dxa"/>
            <w:vAlign w:val="bottom"/>
            <w:vMerge w:val="continue"/>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3,301,995</w:t>
            </w: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tcPr>
          <w:p>
            <w:pPr>
              <w:ind w:left="80"/>
              <w:spacing w:after="0"/>
              <w:rPr>
                <w:sz w:val="20"/>
                <w:szCs w:val="20"/>
                <w:color w:val="auto"/>
              </w:rPr>
            </w:pPr>
            <w:r>
              <w:rPr>
                <w:rFonts w:ascii="Arial" w:cs="Arial" w:eastAsia="Arial" w:hAnsi="Arial"/>
                <w:sz w:val="18"/>
                <w:szCs w:val="18"/>
                <w:color w:val="auto"/>
              </w:rPr>
              <w:t>9.  Aggregate Amount Beneficially Owned By Each Reporting Person</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3,690,142</w:t>
            </w:r>
          </w:p>
        </w:tc>
        <w:tc>
          <w:tcPr>
            <w:tcW w:w="2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90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 xml:space="preserve">10.  Check Box If The Aggregate Amount In Row (9) Excludes Certain Shares </w:t>
            </w:r>
            <w:r>
              <w:rPr>
                <w:rFonts w:ascii="Arial" w:cs="Arial" w:eastAsia="Arial" w:hAnsi="Arial"/>
                <w:sz w:val="21"/>
                <w:szCs w:val="21"/>
                <w:color w:val="auto"/>
              </w:rPr>
              <w:t>(See Instructions)</w:t>
            </w:r>
          </w:p>
        </w:tc>
        <w:tc>
          <w:tcPr>
            <w:tcW w:w="2380" w:type="dxa"/>
            <w:vAlign w:val="bottom"/>
            <w:tcBorders>
              <w:top w:val="single" w:sz="8" w:color="auto"/>
            </w:tcBorders>
          </w:tcPr>
          <w:p>
            <w:pPr>
              <w:ind w:left="17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6.1%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1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 w:name="page3"/>
    <w:bookmarkEnd w:id="2"/>
    <w:p>
      <w:pPr>
        <w:ind w:left="20"/>
        <w:spacing w:after="0"/>
        <w:tabs>
          <w:tab w:leader="none" w:pos="10580" w:val="left"/>
        </w:tabs>
        <w:rPr>
          <w:sz w:val="20"/>
          <w:szCs w:val="20"/>
          <w:color w:val="auto"/>
        </w:rPr>
      </w:pPr>
      <w:r>
        <w:rPr>
          <w:rFonts w:ascii="Arial" w:cs="Arial" w:eastAsia="Arial" w:hAnsi="Arial"/>
          <w:sz w:val="18"/>
          <w:szCs w:val="18"/>
          <w:color w:val="auto"/>
        </w:rPr>
        <w:t>CUSIP NO. 00504W100</w:t>
      </w:r>
      <w:r>
        <w:rPr>
          <w:sz w:val="20"/>
          <w:szCs w:val="20"/>
          <w:color w:val="auto"/>
        </w:rPr>
        <w:tab/>
      </w:r>
      <w:r>
        <w:rPr>
          <w:rFonts w:ascii="Arial" w:cs="Arial" w:eastAsia="Arial" w:hAnsi="Arial"/>
          <w:sz w:val="15"/>
          <w:szCs w:val="15"/>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right="6980"/>
        <w:spacing w:after="0" w:line="384"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Claire Pinkerton</w:t>
      </w:r>
    </w:p>
    <w:p>
      <w:pPr>
        <w:spacing w:after="0" w:line="1"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4" w:lineRule="exact"/>
        <w:rPr>
          <w:rFonts w:ascii="Arial" w:cs="Arial" w:eastAsia="Arial" w:hAnsi="Arial"/>
          <w:sz w:val="18"/>
          <w:szCs w:val="18"/>
          <w:color w:val="auto"/>
        </w:rPr>
      </w:pPr>
    </w:p>
    <w:p>
      <w:pPr>
        <w:ind w:left="660" w:hanging="287"/>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8"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USA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2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SHARES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71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BENEFICIALLY</w:t>
            </w:r>
          </w:p>
        </w:tc>
        <w:tc>
          <w:tcPr>
            <w:tcW w:w="260" w:type="dxa"/>
            <w:vAlign w:val="bottom"/>
          </w:tcPr>
          <w:p>
            <w:pPr>
              <w:spacing w:after="0"/>
              <w:rPr>
                <w:sz w:val="18"/>
                <w:szCs w:val="18"/>
                <w:color w:val="auto"/>
              </w:rPr>
            </w:pPr>
          </w:p>
        </w:tc>
        <w:tc>
          <w:tcPr>
            <w:tcW w:w="7120" w:type="dxa"/>
            <w:vAlign w:val="bottom"/>
            <w:vMerge w:val="restart"/>
          </w:tcPr>
          <w:p>
            <w:pPr>
              <w:ind w:left="420"/>
              <w:spacing w:after="0"/>
              <w:rPr>
                <w:sz w:val="20"/>
                <w:szCs w:val="20"/>
                <w:color w:val="auto"/>
              </w:rPr>
            </w:pPr>
            <w:r>
              <w:rPr>
                <w:rFonts w:ascii="Arial" w:cs="Arial" w:eastAsia="Arial" w:hAnsi="Arial"/>
                <w:sz w:val="18"/>
                <w:szCs w:val="18"/>
                <w:color w:val="auto"/>
              </w:rPr>
              <w:t>3,301,995</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5"/>
              </w:rPr>
              <w:t>OWNED</w:t>
            </w: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120" w:type="dxa"/>
            <w:vAlign w:val="bottom"/>
            <w:tcBorders>
              <w:bottom w:val="single" w:sz="8" w:color="auto"/>
            </w:tcBorders>
            <w:vMerge w:val="continue"/>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71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8"/>
              </w:rPr>
              <w:t>BY EACH</w:t>
            </w:r>
          </w:p>
        </w:tc>
        <w:tc>
          <w:tcPr>
            <w:tcW w:w="260" w:type="dxa"/>
            <w:vAlign w:val="bottom"/>
            <w:vMerge w:val="continue"/>
          </w:tcPr>
          <w:p>
            <w:pPr>
              <w:spacing w:after="0"/>
              <w:rPr>
                <w:sz w:val="12"/>
                <w:szCs w:val="12"/>
                <w:color w:val="auto"/>
              </w:rPr>
            </w:pPr>
          </w:p>
        </w:tc>
        <w:tc>
          <w:tcPr>
            <w:tcW w:w="712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1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20"/>
                <w:szCs w:val="20"/>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0</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1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71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7120" w:type="dxa"/>
            <w:vAlign w:val="bottom"/>
            <w:vMerge w:val="continue"/>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3,301,995</w:t>
            </w: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4"/>
          </w:tcPr>
          <w:p>
            <w:pPr>
              <w:ind w:left="80"/>
              <w:spacing w:after="0"/>
              <w:rPr>
                <w:sz w:val="20"/>
                <w:szCs w:val="20"/>
                <w:color w:val="auto"/>
              </w:rPr>
            </w:pPr>
            <w:r>
              <w:rPr>
                <w:rFonts w:ascii="Arial" w:cs="Arial" w:eastAsia="Arial" w:hAnsi="Arial"/>
                <w:sz w:val="18"/>
                <w:szCs w:val="18"/>
                <w:color w:val="auto"/>
              </w:rPr>
              <w:t>9.  Aggregate Amount Beneficially Owned By Each Reporting Person</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3,301,995</w:t>
            </w:r>
          </w:p>
        </w:tc>
        <w:tc>
          <w:tcPr>
            <w:tcW w:w="2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90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 xml:space="preserve">10.  Check Box If The Aggregate Amount In Row (9) Excludes Certain Shares </w:t>
            </w:r>
            <w:r>
              <w:rPr>
                <w:rFonts w:ascii="Arial" w:cs="Arial" w:eastAsia="Arial" w:hAnsi="Arial"/>
                <w:sz w:val="21"/>
                <w:szCs w:val="21"/>
                <w:color w:val="auto"/>
              </w:rPr>
              <w:t>(See Instructions)</w:t>
            </w:r>
          </w:p>
        </w:tc>
        <w:tc>
          <w:tcPr>
            <w:tcW w:w="2380" w:type="dxa"/>
            <w:vAlign w:val="bottom"/>
            <w:tcBorders>
              <w:top w:val="single" w:sz="8" w:color="auto"/>
            </w:tcBorders>
          </w:tcPr>
          <w:p>
            <w:pPr>
              <w:ind w:left="17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1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 w:name="page4"/>
    <w:bookmarkEnd w:id="3"/>
    <w:p>
      <w:pPr>
        <w:ind w:left="20"/>
        <w:spacing w:after="0"/>
        <w:tabs>
          <w:tab w:leader="none" w:pos="10580" w:val="left"/>
        </w:tabs>
        <w:rPr>
          <w:sz w:val="20"/>
          <w:szCs w:val="20"/>
          <w:color w:val="auto"/>
        </w:rPr>
      </w:pPr>
      <w:r>
        <w:rPr>
          <w:rFonts w:ascii="Arial" w:cs="Arial" w:eastAsia="Arial" w:hAnsi="Arial"/>
          <w:sz w:val="18"/>
          <w:szCs w:val="18"/>
          <w:color w:val="auto"/>
        </w:rPr>
        <w:t>CUSIP NO. 00504W100</w:t>
      </w:r>
      <w:r>
        <w:rPr>
          <w:sz w:val="20"/>
          <w:szCs w:val="20"/>
          <w:color w:val="auto"/>
        </w:rPr>
        <w:tab/>
      </w:r>
      <w:r>
        <w:rPr>
          <w:rFonts w:ascii="Arial" w:cs="Arial" w:eastAsia="Arial" w:hAnsi="Arial"/>
          <w:sz w:val="15"/>
          <w:szCs w:val="15"/>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0"/>
          <w:szCs w:val="20"/>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right="6980"/>
        <w:spacing w:after="0" w:line="384"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CJP Partners Management, L.L.C.</w:t>
      </w:r>
    </w:p>
    <w:p>
      <w:pPr>
        <w:spacing w:after="0" w:line="1"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4" w:lineRule="exact"/>
        <w:rPr>
          <w:rFonts w:ascii="Arial" w:cs="Arial" w:eastAsia="Arial" w:hAnsi="Arial"/>
          <w:sz w:val="18"/>
          <w:szCs w:val="18"/>
          <w:color w:val="auto"/>
        </w:rPr>
      </w:pPr>
    </w:p>
    <w:p>
      <w:pPr>
        <w:ind w:left="660" w:hanging="287"/>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x</w:t>
      </w:r>
    </w:p>
    <w:p>
      <w:pPr>
        <w:spacing w:after="0" w:line="8"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2"/>
        </w:trPr>
        <w:tc>
          <w:tcPr>
            <w:tcW w:w="15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2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5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95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20" w:type="dxa"/>
            <w:vAlign w:val="bottom"/>
          </w:tcPr>
          <w:p>
            <w:pPr>
              <w:spacing w:after="0"/>
              <w:rPr>
                <w:sz w:val="18"/>
                <w:szCs w:val="18"/>
                <w:color w:val="auto"/>
              </w:rPr>
            </w:pPr>
          </w:p>
        </w:tc>
        <w:tc>
          <w:tcPr>
            <w:tcW w:w="9500" w:type="dxa"/>
            <w:vAlign w:val="bottom"/>
            <w:vMerge w:val="restart"/>
          </w:tcPr>
          <w:p>
            <w:pPr>
              <w:ind w:left="420"/>
              <w:spacing w:after="0"/>
              <w:rPr>
                <w:sz w:val="20"/>
                <w:szCs w:val="20"/>
                <w:color w:val="auto"/>
              </w:rPr>
            </w:pPr>
            <w:r>
              <w:rPr>
                <w:rFonts w:ascii="Arial" w:cs="Arial" w:eastAsia="Arial" w:hAnsi="Arial"/>
                <w:sz w:val="18"/>
                <w:szCs w:val="18"/>
                <w:color w:val="auto"/>
              </w:rPr>
              <w:t>3,301,995</w:t>
            </w:r>
          </w:p>
        </w:tc>
        <w:tc>
          <w:tcPr>
            <w:tcW w:w="0" w:type="dxa"/>
            <w:vAlign w:val="bottom"/>
          </w:tcPr>
          <w:p>
            <w:pPr>
              <w:spacing w:after="0"/>
              <w:rPr>
                <w:sz w:val="1"/>
                <w:szCs w:val="1"/>
                <w:color w:val="auto"/>
              </w:rPr>
            </w:pPr>
          </w:p>
        </w:tc>
      </w:tr>
      <w:tr>
        <w:trPr>
          <w:trHeight w:val="122"/>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5"/>
              </w:rPr>
              <w:t>OWNED</w:t>
            </w:r>
          </w:p>
        </w:tc>
        <w:tc>
          <w:tcPr>
            <w:tcW w:w="420" w:type="dxa"/>
            <w:vAlign w:val="bottom"/>
            <w:tcBorders>
              <w:bottom w:val="single" w:sz="8" w:color="auto"/>
            </w:tcBorders>
          </w:tcPr>
          <w:p>
            <w:pPr>
              <w:spacing w:after="0"/>
              <w:rPr>
                <w:sz w:val="10"/>
                <w:szCs w:val="10"/>
                <w:color w:val="auto"/>
              </w:rPr>
            </w:pPr>
          </w:p>
        </w:tc>
        <w:tc>
          <w:tcPr>
            <w:tcW w:w="95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00" w:type="dxa"/>
            <w:vAlign w:val="bottom"/>
            <w:vMerge w:val="continue"/>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5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2"/>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42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5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9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5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20"/>
                <w:szCs w:val="20"/>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42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500" w:type="dxa"/>
            <w:vAlign w:val="bottom"/>
            <w:vMerge w:val="continue"/>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5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60"/>
        </w:trPr>
        <w:tc>
          <w:tcPr>
            <w:tcW w:w="15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9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6020"/>
        <w:spacing w:after="0"/>
        <w:rPr>
          <w:sz w:val="20"/>
          <w:szCs w:val="20"/>
          <w:color w:val="auto"/>
        </w:rPr>
      </w:pPr>
      <w:r>
        <w:rPr>
          <w:rFonts w:ascii="Arial" w:cs="Arial" w:eastAsia="Arial" w:hAnsi="Arial"/>
          <w:sz w:val="18"/>
          <w:szCs w:val="18"/>
          <w:color w:val="auto"/>
        </w:rPr>
        <w:t>3,301,995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3,301,995</w:t>
      </w:r>
    </w:p>
    <w:p>
      <w:pPr>
        <w:spacing w:after="0" w:line="23"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Arial" w:cs="Arial" w:eastAsia="Arial" w:hAnsi="Arial"/>
          <w:sz w:val="21"/>
          <w:szCs w:val="2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spacing w:after="0"/>
        <w:tabs>
          <w:tab w:leader="none" w:pos="360" w:val="left"/>
          <w:tab w:leader="none" w:pos="10720" w:val="left"/>
        </w:tabs>
        <w:rPr>
          <w:sz w:val="20"/>
          <w:szCs w:val="20"/>
          <w:color w:val="auto"/>
        </w:rPr>
      </w:pPr>
      <w:r>
        <w:rPr>
          <w:rFonts w:ascii="Arial" w:cs="Arial" w:eastAsia="Arial" w:hAnsi="Arial"/>
          <w:sz w:val="18"/>
          <w:szCs w:val="18"/>
          <w:color w:val="auto"/>
        </w:rPr>
        <w:t>11.</w:t>
        <w:tab/>
        <w:t>Percent of Class Represented by Amount in Row (9)</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1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8</w:t>
      </w:r>
    </w:p>
    <w:p>
      <w:pPr>
        <w:spacing w:after="0" w:line="200" w:lineRule="exact"/>
        <w:rPr>
          <w:sz w:val="20"/>
          <w:szCs w:val="20"/>
          <w:color w:val="auto"/>
        </w:rPr>
      </w:pPr>
    </w:p>
    <w:p>
      <w:pPr>
        <w:spacing w:after="0" w:line="3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Active Power, Inc.</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11525 Stonehollow Drive</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Suite 110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Austin, TX 78758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36449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8460"/>
        <w:spacing w:after="0"/>
        <w:tabs>
          <w:tab w:leader="none" w:pos="3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Names of Persons Filing: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Joseph F. Pinkerton, III</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Claire Pinkerton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CJP Partners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3644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Business Office or, if None, Residence for each of the Reporting Persons: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2312 Woodlawn Blvd.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Austin, TX 78703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36449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7"/>
          <w:szCs w:val="17"/>
          <w:color w:val="auto"/>
        </w:rPr>
        <w:t>Citizenship: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Joseph F. Pinkerton, III - USA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Claire Pinkerton - USA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CJP Partners Management, L.L.C. -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36449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6449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 00504W100</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Rules 13d-1(b) or 13d-2(b) or (c), check whether the person filing 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Broker or dealer registered under Section 15 of the Act.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Bank as defined in Section 3(a)(6)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Page 6 of 8</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Insurance company as defined in Section 3(a)(19) of the Act.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Investment company registered under Section 8 of the Investment Company Act of 1940.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An investment adviser in accordance with Rule 13d-1(b)(1)(ii)(E);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An employee benefit plan or endowment fund in accordance with Rule 13d-1(b)(1)(ii)(F);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A parent holding company or control person in accordance with Rule 13d-1(b)(1)(ii)(G);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A savings associations as defined in Section 3(b) of the Federal Deposit Insurance Act (12 U.S.C. 1813);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 A church plan that is excluded from the definition of an investment company under section 3(c)(14) of the Investment Company Act of 1940;</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Group, in accordance with Rule 13d-1(b)(1)(ii)(J).</w:t>
      </w:r>
    </w:p>
    <w:p>
      <w:pPr>
        <w:spacing w:after="0" w:line="200" w:lineRule="exact"/>
        <w:rPr>
          <w:sz w:val="20"/>
          <w:szCs w:val="20"/>
          <w:color w:val="auto"/>
        </w:rPr>
      </w:pPr>
    </w:p>
    <w:p>
      <w:pPr>
        <w:spacing w:after="0" w:line="29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Amount Beneficially Owned by all Reporting Persons: 3,690,142 shares</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December 31, 2008, Joseph F. Pinkerton, III was the record owner of 388,147 shares of Common Stock. Mr. Pinkerton and Mrs. Pinkerton also may be deemed to beneficially own 2,834,426 shares of Common Stock, which is held directly by CJP Partners, Ltd., a limited partnership in which CJP Partners Management, L.L.C. ("CJP Partners Management") is the sole general partner and Mr. Pinkerton and Mrs. Pinkerton are the only limited partners. Mr. Pinkerton and Mrs. Pinkerton are the managers of CJP Partners Management. Also as of December 31, 2008, Mr. Pinkerton and Mrs. Pinkerton may be deemed to beneficially own an additional 467,569 shares of Common Stock, held directly by ECA Properties Ltd. CJP Partners Management owns 0.1% and is the sole general partner of ECA Properties Ltd. Mr. Pinkerton and Mrs. Pinkerton disclaim beneficial ownership of the 467,569 shares of Common Stock held of record by ECA Properties Ltd., and this Statement on Schedule 13G shall not be deemed an admission that Mr. Pinkerton and Mrs. Pinkerton are the beneficial owners of such securities for any purpose other than to comply with Regulation 13D-G.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 Percent of Class: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Joseph F. Pinkerton, III - 6.1%</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Claire Pinkerton - 5.5%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CJP Partners Management, L.L.C. - 5.5%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 Number of shares as to which the reporting persons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Page 7 of 8</w:t>
      </w:r>
    </w:p>
    <w:p>
      <w:pPr>
        <w:spacing w:after="0" w:line="279" w:lineRule="exact"/>
        <w:rPr>
          <w:sz w:val="20"/>
          <w:szCs w:val="20"/>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Joseph F. Pinkerton, III: 388,147 shares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Claire Pinkerton: 0 shares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CJP Partners Management: 0 shares</w:t>
      </w:r>
    </w:p>
    <w:p>
      <w:pPr>
        <w:spacing w:after="0" w:line="238" w:lineRule="exact"/>
        <w:rPr>
          <w:sz w:val="20"/>
          <w:szCs w:val="20"/>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Joseph F. Pinkerton, III: 3,301,995 shares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Claire Pinkerton: 3,301,995 shares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CJP Partners Management: 3,301,995 shares</w:t>
      </w:r>
    </w:p>
    <w:p>
      <w:pPr>
        <w:spacing w:after="0" w:line="200" w:lineRule="exact"/>
        <w:rPr>
          <w:sz w:val="20"/>
          <w:szCs w:val="20"/>
          <w:color w:val="auto"/>
        </w:rPr>
      </w:pPr>
    </w:p>
    <w:p>
      <w:pPr>
        <w:spacing w:after="0" w:line="281" w:lineRule="exact"/>
        <w:rPr>
          <w:sz w:val="20"/>
          <w:szCs w:val="20"/>
          <w:color w:val="auto"/>
        </w:rPr>
      </w:pPr>
    </w:p>
    <w:p>
      <w:pPr>
        <w:ind w:left="1420" w:hanging="764"/>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Joseph F. Pinkerton, III: 388,147 shares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Claire Pinkerton: 0 shares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CJP Partners Management: 0 shares</w:t>
      </w:r>
    </w:p>
    <w:p>
      <w:pPr>
        <w:spacing w:after="0" w:line="238" w:lineRule="exact"/>
        <w:rPr>
          <w:sz w:val="20"/>
          <w:szCs w:val="20"/>
          <w:color w:val="auto"/>
        </w:rPr>
      </w:pPr>
    </w:p>
    <w:p>
      <w:pPr>
        <w:ind w:left="1420" w:hanging="76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Joseph F. Pinkerton, III: 3,301,995 shares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Claire Pinkerton: 3,301,995 shares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CJP Partners Management: 3,301,995 shares</w:t>
      </w:r>
    </w:p>
    <w:p>
      <w:pPr>
        <w:spacing w:after="0" w:line="2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Page 8 of 8</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820" w:type="dxa"/>
            <w:vAlign w:val="bottom"/>
          </w:tcPr>
          <w:p>
            <w:pPr>
              <w:spacing w:after="0"/>
              <w:rPr>
                <w:sz w:val="20"/>
                <w:szCs w:val="20"/>
                <w:color w:val="auto"/>
              </w:rPr>
            </w:pPr>
            <w:r>
              <w:rPr>
                <w:rFonts w:ascii="Arial" w:cs="Arial" w:eastAsia="Arial" w:hAnsi="Arial"/>
                <w:sz w:val="18"/>
                <w:szCs w:val="18"/>
                <w:color w:val="auto"/>
              </w:rPr>
              <w:t>Dated: February 17, 2009</w:t>
            </w:r>
          </w:p>
        </w:tc>
        <w:tc>
          <w:tcPr>
            <w:tcW w:w="2260" w:type="dxa"/>
            <w:vAlign w:val="bottom"/>
          </w:tcPr>
          <w:p>
            <w:pPr>
              <w:spacing w:after="0"/>
              <w:rPr>
                <w:sz w:val="21"/>
                <w:szCs w:val="21"/>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F. Pinkerton, III</w:t>
            </w:r>
          </w:p>
        </w:tc>
        <w:tc>
          <w:tcPr>
            <w:tcW w:w="1360" w:type="dxa"/>
            <w:vAlign w:val="bottom"/>
          </w:tcPr>
          <w:p>
            <w:pPr>
              <w:spacing w:after="0"/>
              <w:rPr>
                <w:sz w:val="21"/>
                <w:szCs w:val="21"/>
                <w:color w:val="auto"/>
              </w:rPr>
            </w:pPr>
          </w:p>
        </w:tc>
      </w:tr>
      <w:tr>
        <w:trPr>
          <w:trHeight w:val="230"/>
        </w:trPr>
        <w:tc>
          <w:tcPr>
            <w:tcW w:w="38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Joseph F. Pinkerton, III</w:t>
            </w:r>
          </w:p>
        </w:tc>
        <w:tc>
          <w:tcPr>
            <w:tcW w:w="1360" w:type="dxa"/>
            <w:vAlign w:val="bottom"/>
          </w:tcPr>
          <w:p>
            <w:pPr>
              <w:spacing w:after="0"/>
              <w:rPr>
                <w:sz w:val="20"/>
                <w:szCs w:val="20"/>
                <w:color w:val="auto"/>
              </w:rPr>
            </w:pPr>
          </w:p>
        </w:tc>
      </w:tr>
      <w:tr>
        <w:trPr>
          <w:trHeight w:val="1093"/>
        </w:trPr>
        <w:tc>
          <w:tcPr>
            <w:tcW w:w="3820" w:type="dxa"/>
            <w:vAlign w:val="bottom"/>
          </w:tcPr>
          <w:p>
            <w:pPr>
              <w:spacing w:after="0"/>
              <w:rPr>
                <w:sz w:val="20"/>
                <w:szCs w:val="20"/>
                <w:color w:val="auto"/>
              </w:rPr>
            </w:pPr>
            <w:r>
              <w:rPr>
                <w:rFonts w:ascii="Arial" w:cs="Arial" w:eastAsia="Arial" w:hAnsi="Arial"/>
                <w:sz w:val="18"/>
                <w:szCs w:val="18"/>
                <w:color w:val="auto"/>
              </w:rPr>
              <w:t>Dated: February 17, 2009</w:t>
            </w:r>
          </w:p>
        </w:tc>
        <w:tc>
          <w:tcPr>
            <w:tcW w:w="22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 Claire Pinkerton</w:t>
            </w:r>
          </w:p>
        </w:tc>
        <w:tc>
          <w:tcPr>
            <w:tcW w:w="1360" w:type="dxa"/>
            <w:vAlign w:val="bottom"/>
          </w:tcPr>
          <w:p>
            <w:pPr>
              <w:spacing w:after="0"/>
              <w:rPr>
                <w:sz w:val="24"/>
                <w:szCs w:val="24"/>
                <w:color w:val="auto"/>
              </w:rPr>
            </w:pPr>
          </w:p>
        </w:tc>
      </w:tr>
      <w:tr>
        <w:trPr>
          <w:trHeight w:val="48"/>
        </w:trPr>
        <w:tc>
          <w:tcPr>
            <w:tcW w:w="38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360" w:type="dxa"/>
            <w:vAlign w:val="bottom"/>
          </w:tcPr>
          <w:p>
            <w:pPr>
              <w:spacing w:after="0"/>
              <w:rPr>
                <w:sz w:val="4"/>
                <w:szCs w:val="4"/>
                <w:color w:val="auto"/>
              </w:rPr>
            </w:pPr>
          </w:p>
        </w:tc>
      </w:tr>
      <w:tr>
        <w:trPr>
          <w:trHeight w:val="230"/>
        </w:trPr>
        <w:tc>
          <w:tcPr>
            <w:tcW w:w="38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Claire Pinkerton</w:t>
            </w:r>
          </w:p>
        </w:tc>
        <w:tc>
          <w:tcPr>
            <w:tcW w:w="1360" w:type="dxa"/>
            <w:vAlign w:val="bottom"/>
          </w:tcPr>
          <w:p>
            <w:pPr>
              <w:spacing w:after="0"/>
              <w:rPr>
                <w:sz w:val="20"/>
                <w:szCs w:val="20"/>
                <w:color w:val="auto"/>
              </w:rPr>
            </w:pPr>
          </w:p>
        </w:tc>
      </w:tr>
      <w:tr>
        <w:trPr>
          <w:trHeight w:val="931"/>
        </w:trPr>
        <w:tc>
          <w:tcPr>
            <w:tcW w:w="3820" w:type="dxa"/>
            <w:vAlign w:val="bottom"/>
          </w:tcPr>
          <w:p>
            <w:pPr>
              <w:spacing w:after="0"/>
              <w:rPr>
                <w:sz w:val="24"/>
                <w:szCs w:val="24"/>
                <w:color w:val="auto"/>
              </w:rPr>
            </w:pPr>
          </w:p>
        </w:tc>
        <w:tc>
          <w:tcPr>
            <w:tcW w:w="6240" w:type="dxa"/>
            <w:vAlign w:val="bottom"/>
            <w:gridSpan w:val="2"/>
          </w:tcPr>
          <w:p>
            <w:pPr>
              <w:ind w:left="1900"/>
              <w:spacing w:after="0"/>
              <w:rPr>
                <w:sz w:val="20"/>
                <w:szCs w:val="20"/>
                <w:color w:val="auto"/>
              </w:rPr>
            </w:pPr>
            <w:r>
              <w:rPr>
                <w:rFonts w:ascii="Arial" w:cs="Arial" w:eastAsia="Arial" w:hAnsi="Arial"/>
                <w:sz w:val="18"/>
                <w:szCs w:val="18"/>
                <w:color w:val="auto"/>
              </w:rPr>
              <w:t>CJP Partners Management, L.L.C.</w:t>
            </w:r>
          </w:p>
        </w:tc>
        <w:tc>
          <w:tcPr>
            <w:tcW w:w="1360" w:type="dxa"/>
            <w:vAlign w:val="bottom"/>
          </w:tcPr>
          <w:p>
            <w:pPr>
              <w:spacing w:after="0"/>
              <w:rPr>
                <w:sz w:val="24"/>
                <w:szCs w:val="24"/>
                <w:color w:val="auto"/>
              </w:rPr>
            </w:pPr>
          </w:p>
        </w:tc>
      </w:tr>
      <w:tr>
        <w:trPr>
          <w:trHeight w:val="453"/>
        </w:trPr>
        <w:tc>
          <w:tcPr>
            <w:tcW w:w="3820" w:type="dxa"/>
            <w:vAlign w:val="bottom"/>
          </w:tcPr>
          <w:p>
            <w:pPr>
              <w:spacing w:after="0"/>
              <w:rPr>
                <w:sz w:val="20"/>
                <w:szCs w:val="20"/>
                <w:color w:val="auto"/>
              </w:rPr>
            </w:pPr>
            <w:r>
              <w:rPr>
                <w:rFonts w:ascii="Arial" w:cs="Arial" w:eastAsia="Arial" w:hAnsi="Arial"/>
                <w:sz w:val="18"/>
                <w:szCs w:val="18"/>
                <w:color w:val="auto"/>
              </w:rPr>
              <w:t>Dated: February 17, 2009</w:t>
            </w:r>
          </w:p>
        </w:tc>
        <w:tc>
          <w:tcPr>
            <w:tcW w:w="6240" w:type="dxa"/>
            <w:vAlign w:val="bottom"/>
            <w:gridSpan w:val="2"/>
          </w:tcPr>
          <w:p>
            <w:pPr>
              <w:ind w:left="1900"/>
              <w:spacing w:after="0"/>
              <w:rPr>
                <w:sz w:val="20"/>
                <w:szCs w:val="20"/>
                <w:color w:val="auto"/>
              </w:rPr>
            </w:pPr>
            <w:r>
              <w:rPr>
                <w:rFonts w:ascii="Arial" w:cs="Arial" w:eastAsia="Arial" w:hAnsi="Arial"/>
                <w:sz w:val="18"/>
                <w:szCs w:val="18"/>
                <w:color w:val="auto"/>
              </w:rPr>
              <w:t>By: /s/ Joseph F. Pinkerton, III</w:t>
            </w:r>
          </w:p>
        </w:tc>
        <w:tc>
          <w:tcPr>
            <w:tcW w:w="1360" w:type="dxa"/>
            <w:vAlign w:val="bottom"/>
          </w:tcPr>
          <w:p>
            <w:pPr>
              <w:spacing w:after="0"/>
              <w:rPr>
                <w:sz w:val="24"/>
                <w:szCs w:val="24"/>
                <w:color w:val="auto"/>
              </w:rPr>
            </w:pPr>
          </w:p>
        </w:tc>
      </w:tr>
      <w:tr>
        <w:trPr>
          <w:trHeight w:val="202"/>
        </w:trPr>
        <w:tc>
          <w:tcPr>
            <w:tcW w:w="38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Joseph F. Pinkerton, III</w:t>
            </w:r>
          </w:p>
        </w:tc>
        <w:tc>
          <w:tcPr>
            <w:tcW w:w="1360" w:type="dxa"/>
            <w:vAlign w:val="bottom"/>
          </w:tcPr>
          <w:p>
            <w:pPr>
              <w:spacing w:after="0"/>
              <w:rPr>
                <w:sz w:val="17"/>
                <w:szCs w:val="17"/>
                <w:color w:val="auto"/>
              </w:rPr>
            </w:pPr>
          </w:p>
        </w:tc>
      </w:tr>
      <w:tr>
        <w:trPr>
          <w:trHeight w:val="230"/>
        </w:trPr>
        <w:tc>
          <w:tcPr>
            <w:tcW w:w="38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Manager</w:t>
            </w:r>
          </w:p>
        </w:tc>
        <w:tc>
          <w:tcPr>
            <w:tcW w:w="1360" w:type="dxa"/>
            <w:vAlign w:val="bottom"/>
          </w:tcPr>
          <w:p>
            <w:pPr>
              <w:spacing w:after="0"/>
              <w:rPr>
                <w:sz w:val="20"/>
                <w:szCs w:val="20"/>
                <w:color w:val="auto"/>
              </w:rPr>
            </w:pPr>
          </w:p>
        </w:tc>
      </w:tr>
      <w:tr>
        <w:trPr>
          <w:trHeight w:val="669"/>
        </w:trPr>
        <w:tc>
          <w:tcPr>
            <w:tcW w:w="3820" w:type="dxa"/>
            <w:vAlign w:val="bottom"/>
          </w:tcPr>
          <w:p>
            <w:pPr>
              <w:spacing w:after="0"/>
              <w:rPr>
                <w:sz w:val="20"/>
                <w:szCs w:val="20"/>
                <w:color w:val="auto"/>
              </w:rPr>
            </w:pPr>
            <w:r>
              <w:rPr>
                <w:rFonts w:ascii="Arial" w:cs="Arial" w:eastAsia="Arial" w:hAnsi="Arial"/>
                <w:sz w:val="18"/>
                <w:szCs w:val="18"/>
                <w:color w:val="auto"/>
              </w:rPr>
              <w:t>Dated: February 17, 2009</w:t>
            </w:r>
          </w:p>
        </w:tc>
        <w:tc>
          <w:tcPr>
            <w:tcW w:w="6240" w:type="dxa"/>
            <w:vAlign w:val="bottom"/>
            <w:gridSpan w:val="2"/>
          </w:tcPr>
          <w:p>
            <w:pPr>
              <w:ind w:left="1900"/>
              <w:spacing w:after="0"/>
              <w:rPr>
                <w:sz w:val="20"/>
                <w:szCs w:val="20"/>
                <w:color w:val="auto"/>
              </w:rPr>
            </w:pPr>
            <w:r>
              <w:rPr>
                <w:rFonts w:ascii="Arial" w:cs="Arial" w:eastAsia="Arial" w:hAnsi="Arial"/>
                <w:sz w:val="18"/>
                <w:szCs w:val="18"/>
                <w:color w:val="auto"/>
              </w:rPr>
              <w:t>By: /s/ Claire Pinkerton</w:t>
            </w:r>
          </w:p>
        </w:tc>
        <w:tc>
          <w:tcPr>
            <w:tcW w:w="1360" w:type="dxa"/>
            <w:vAlign w:val="bottom"/>
          </w:tcPr>
          <w:p>
            <w:pPr>
              <w:spacing w:after="0"/>
              <w:rPr>
                <w:sz w:val="24"/>
                <w:szCs w:val="24"/>
                <w:color w:val="auto"/>
              </w:rPr>
            </w:pPr>
          </w:p>
        </w:tc>
      </w:tr>
      <w:tr>
        <w:trPr>
          <w:trHeight w:val="202"/>
        </w:trPr>
        <w:tc>
          <w:tcPr>
            <w:tcW w:w="38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Claire Pinkerton</w:t>
            </w:r>
          </w:p>
        </w:tc>
        <w:tc>
          <w:tcPr>
            <w:tcW w:w="1360" w:type="dxa"/>
            <w:vAlign w:val="bottom"/>
          </w:tcPr>
          <w:p>
            <w:pPr>
              <w:spacing w:after="0"/>
              <w:rPr>
                <w:sz w:val="17"/>
                <w:szCs w:val="17"/>
                <w:color w:val="auto"/>
              </w:rPr>
            </w:pPr>
          </w:p>
        </w:tc>
      </w:tr>
      <w:tr>
        <w:trPr>
          <w:trHeight w:val="230"/>
        </w:trPr>
        <w:tc>
          <w:tcPr>
            <w:tcW w:w="38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Manager</w:t>
            </w:r>
          </w:p>
        </w:tc>
        <w:tc>
          <w:tcPr>
            <w:tcW w:w="1360" w:type="dxa"/>
            <w:vAlign w:val="bottom"/>
          </w:tcPr>
          <w:p>
            <w:pPr>
              <w:spacing w:after="0"/>
              <w:rPr>
                <w:sz w:val="20"/>
                <w:szCs w:val="20"/>
                <w:color w:val="auto"/>
              </w:rPr>
            </w:pPr>
          </w:p>
        </w:tc>
      </w:tr>
      <w:tr>
        <w:trPr>
          <w:trHeight w:val="577"/>
        </w:trPr>
        <w:tc>
          <w:tcPr>
            <w:tcW w:w="38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12"/>
    </w:lvl>
  </w:abstractNum>
  <w:abstractNum w:abstractNumId="3">
    <w:nsid w:val="7545E146"/>
    <w:multiLevelType w:val="hybridMultilevel"/>
    <w:lvl w:ilvl="0">
      <w:lvlJc w:val="left"/>
      <w:lvlText w:val="%1."/>
      <w:numFmt w:val="decimal"/>
      <w:start w:val="1"/>
    </w:lvl>
    <w:lvl w:ilvl="1">
      <w:lvlJc w:val="left"/>
      <w:lvlText w:val="(%2)"/>
      <w:numFmt w:val="lowerLetter"/>
      <w:start w:val="1"/>
    </w:lvl>
  </w:abstractNum>
  <w:abstractNum w:abstractNumId="4">
    <w:nsid w:val="515F007C"/>
    <w:multiLevelType w:val="hybridMultilevel"/>
    <w:lvl w:ilvl="0">
      <w:lvlJc w:val="left"/>
      <w:lvlText w:val="%1."/>
      <w:numFmt w:val="decimal"/>
      <w:start w:val="12"/>
    </w:lvl>
  </w:abstractNum>
  <w:abstractNum w:abstractNumId="5">
    <w:nsid w:val="5BD062C2"/>
    <w:multiLevelType w:val="hybridMultilevel"/>
    <w:lvl w:ilvl="0">
      <w:lvlJc w:val="left"/>
      <w:lvlText w:val="%1."/>
      <w:numFmt w:val="decimal"/>
      <w:start w:val="1"/>
    </w:lvl>
    <w:lvl w:ilvl="1">
      <w:lvlJc w:val="left"/>
      <w:lvlText w:val="(%2)"/>
      <w:numFmt w:val="lowerLetter"/>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2019-12-10T15:29:06Z</dcterms:created>
  <dcterms:modified xsi:type="dcterms:W3CDTF">2019-12-10T15:29:06Z</dcterms:modified>
</cp:coreProperties>
</file>