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780" w:val="left"/>
          <w:tab w:leader="none" w:pos="2100" w:val="left"/>
        </w:tabs>
        <w:rPr>
          <w:sz w:val="20"/>
          <w:szCs w:val="20"/>
          <w:color w:val="auto"/>
        </w:rPr>
      </w:pPr>
      <w:r>
        <w:rPr>
          <w:rFonts w:ascii="Courier New" w:cs="Courier New" w:eastAsia="Courier New" w:hAnsi="Courier New"/>
          <w:sz w:val="18"/>
          <w:szCs w:val="18"/>
          <w:color w:val="auto"/>
        </w:rPr>
        <w:t>(Amendment No.:</w:t>
        <w:tab/>
        <w:t>2</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ACTIVE POWER INC COM</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00504W100</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2005</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Page 2 of 8</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20"/>
                <w:szCs w:val="20"/>
                <w:color w:val="auto"/>
              </w:rPr>
            </w:pPr>
            <w:r>
              <w:rPr>
                <w:rFonts w:ascii="Courier New" w:cs="Courier New" w:eastAsia="Courier New" w:hAnsi="Courier New"/>
                <w:sz w:val="18"/>
                <w:szCs w:val="18"/>
                <w:color w:val="auto"/>
              </w:rPr>
              <w:t>CUSIP No.  00504W100</w:t>
            </w:r>
          </w:p>
        </w:tc>
        <w:tc>
          <w:tcPr>
            <w:tcW w:w="1160" w:type="dxa"/>
            <w:vAlign w:val="bottom"/>
          </w:tcPr>
          <w:p>
            <w:pPr>
              <w:ind w:left="840"/>
              <w:spacing w:after="0"/>
              <w:rPr>
                <w:sz w:val="20"/>
                <w:szCs w:val="20"/>
                <w:color w:val="auto"/>
              </w:rPr>
            </w:pPr>
            <w:r>
              <w:rPr>
                <w:rFonts w:ascii="Courier New" w:cs="Courier New" w:eastAsia="Courier New" w:hAnsi="Courier New"/>
                <w:sz w:val="18"/>
                <w:szCs w:val="18"/>
                <w:color w:val="auto"/>
                <w:w w:val="92"/>
              </w:rPr>
              <w:t>13G</w:t>
            </w:r>
          </w:p>
        </w:tc>
      </w:tr>
    </w:tbl>
    <w:p>
      <w:pPr>
        <w:spacing w:after="0" w:line="201" w:lineRule="exact"/>
        <w:rPr>
          <w:sz w:val="24"/>
          <w:szCs w:val="24"/>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Merrill Lynch &amp; Co., Inc.</w:t>
      </w:r>
    </w:p>
    <w:p>
      <w:pPr>
        <w:spacing w:after="0" w:line="238" w:lineRule="auto"/>
        <w:rPr>
          <w:sz w:val="20"/>
          <w:szCs w:val="20"/>
          <w:color w:val="auto"/>
        </w:rPr>
      </w:pPr>
      <w:r>
        <w:rPr>
          <w:rFonts w:ascii="Courier New" w:cs="Courier New" w:eastAsia="Courier New" w:hAnsi="Courier New"/>
          <w:sz w:val="18"/>
          <w:szCs w:val="18"/>
          <w:color w:val="auto"/>
        </w:rPr>
        <w:t>(on behalf of Merrill Lynch Investment Managers (MLIM"))**</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 Joint Filing</w:t>
      </w:r>
    </w:p>
    <w:p>
      <w:pPr>
        <w:spacing w:after="0" w:line="201" w:lineRule="exact"/>
        <w:rPr>
          <w:sz w:val="24"/>
          <w:szCs w:val="24"/>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4"/>
          <w:szCs w:val="24"/>
          <w:color w:val="auto"/>
        </w:rPr>
      </w:pPr>
    </w:p>
    <w:p>
      <w:pPr>
        <w:ind w:left="320" w:hanging="312"/>
        <w:spacing w:after="0"/>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right="6099" w:firstLine="8"/>
        <w:spacing w:after="0" w:line="470"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BENEFICALLY OWNED BY EACH REPORTING PERSON WITH</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ectPr>
          <w:pgSz w:w="11900" w:h="16855"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NONE</w:t>
      </w:r>
    </w:p>
    <w:p>
      <w:pPr>
        <w:spacing w:after="0" w:line="207" w:lineRule="exact"/>
        <w:rPr>
          <w:sz w:val="20"/>
          <w:szCs w:val="20"/>
          <w:color w:val="auto"/>
        </w:rPr>
      </w:pPr>
    </w:p>
    <w:p>
      <w:pPr>
        <w:ind w:right="7899" w:firstLine="8"/>
        <w:spacing w:after="0" w:line="470"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3,774,357</w:t>
      </w:r>
    </w:p>
    <w:p>
      <w:pPr>
        <w:spacing w:after="0" w:line="11" w:lineRule="exact"/>
        <w:rPr>
          <w:rFonts w:ascii="Courier New" w:cs="Courier New" w:eastAsia="Courier New" w:hAnsi="Courier New"/>
          <w:sz w:val="18"/>
          <w:szCs w:val="18"/>
          <w:color w:val="auto"/>
        </w:rPr>
      </w:pPr>
    </w:p>
    <w:p>
      <w:pPr>
        <w:ind w:right="7579" w:firstLine="8"/>
        <w:spacing w:after="0" w:line="470"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11" w:lineRule="exact"/>
        <w:rPr>
          <w:rFonts w:ascii="Courier New" w:cs="Courier New" w:eastAsia="Courier New" w:hAnsi="Courier New"/>
          <w:sz w:val="18"/>
          <w:szCs w:val="18"/>
          <w:color w:val="auto"/>
        </w:rPr>
      </w:pPr>
    </w:p>
    <w:p>
      <w:pPr>
        <w:ind w:right="7359" w:firstLine="8"/>
        <w:spacing w:after="0" w:line="470"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3,774,357</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3,774,357 (ownership disclaimed pursuant to Section 13d-4 of the 1934 Act)</w:t>
      </w:r>
    </w:p>
    <w:p>
      <w:pPr>
        <w:spacing w:after="0" w:line="218" w:lineRule="exact"/>
        <w:rPr>
          <w:sz w:val="20"/>
          <w:szCs w:val="20"/>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7.74%</w:t>
      </w:r>
    </w:p>
    <w:p>
      <w:pPr>
        <w:spacing w:after="0" w:line="207" w:lineRule="exact"/>
        <w:rPr>
          <w:sz w:val="20"/>
          <w:szCs w:val="20"/>
          <w:color w:val="auto"/>
        </w:rPr>
      </w:pPr>
    </w:p>
    <w:p>
      <w:pPr>
        <w:ind w:right="7159" w:firstLine="8"/>
        <w:spacing w:after="0" w:line="470" w:lineRule="auto"/>
        <w:tabs>
          <w:tab w:leader="none" w:pos="42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*SEE INSTRUCTION BEFORE FILING OUT!</w:t>
      </w:r>
    </w:p>
    <w:p>
      <w:pPr>
        <w:ind w:left="420"/>
        <w:spacing w:after="0" w:line="238" w:lineRule="auto"/>
        <w:rPr>
          <w:sz w:val="20"/>
          <w:szCs w:val="20"/>
          <w:color w:val="auto"/>
        </w:rPr>
      </w:pPr>
      <w:r>
        <w:rPr>
          <w:rFonts w:ascii="Courier New" w:cs="Courier New" w:eastAsia="Courier New" w:hAnsi="Courier New"/>
          <w:sz w:val="18"/>
          <w:szCs w:val="18"/>
          <w:color w:val="auto"/>
        </w:rPr>
        <w:t>**SEE EXHIBIT A</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Page 3 of 8</w:t>
      </w:r>
    </w:p>
    <w:p>
      <w:pPr>
        <w:spacing w:after="0" w:line="207" w:lineRule="exact"/>
        <w:rPr>
          <w:sz w:val="20"/>
          <w:szCs w:val="20"/>
          <w:color w:val="auto"/>
        </w:rPr>
      </w:pPr>
    </w:p>
    <w:p>
      <w:pPr>
        <w:ind w:right="2419" w:firstLine="8"/>
        <w:spacing w:after="0" w:line="235" w:lineRule="auto"/>
        <w:tabs>
          <w:tab w:leader="none" w:pos="42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0"/>
          <w:szCs w:val="20"/>
          <w:color w:val="auto"/>
        </w:rPr>
      </w:pPr>
    </w:p>
    <w:p>
      <w:pPr>
        <w:jc w:val="both"/>
        <w:ind w:left="640" w:right="7679"/>
        <w:spacing w:after="0" w:line="279" w:lineRule="auto"/>
        <w:tabs>
          <w:tab w:leader="none" w:pos="106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17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(a) Name of Issuer:</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060"/>
        <w:spacing w:after="0"/>
        <w:tabs>
          <w:tab w:leader="none" w:pos="3360" w:val="left"/>
        </w:tabs>
        <w:rPr>
          <w:sz w:val="20"/>
          <w:szCs w:val="20"/>
          <w:color w:val="auto"/>
        </w:rPr>
      </w:pPr>
      <w:r>
        <w:rPr>
          <w:rFonts w:ascii="Courier New" w:cs="Courier New" w:eastAsia="Courier New" w:hAnsi="Courier New"/>
          <w:sz w:val="18"/>
          <w:szCs w:val="18"/>
          <w:color w:val="auto"/>
        </w:rPr>
        <w:t>ACTIVE POWER INC COM</w:t>
      </w:r>
      <w:r>
        <w:rPr>
          <w:sz w:val="20"/>
          <w:szCs w:val="20"/>
          <w:color w:val="auto"/>
        </w:rPr>
        <w:tab/>
      </w:r>
      <w:r>
        <w:rPr>
          <w:rFonts w:ascii="Courier New" w:cs="Courier New" w:eastAsia="Courier New" w:hAnsi="Courier New"/>
          <w:sz w:val="16"/>
          <w:szCs w:val="16"/>
          <w:color w:val="auto"/>
        </w:rPr>
        <w:t>(the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(b) Address of Issuer's Principal Executive Offices: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2128 W. Braker Lane</w:t>
      </w:r>
    </w:p>
    <w:p>
      <w:pPr>
        <w:ind w:left="1060"/>
        <w:spacing w:after="0" w:line="238" w:lineRule="auto"/>
        <w:rPr>
          <w:sz w:val="20"/>
          <w:szCs w:val="20"/>
          <w:color w:val="auto"/>
        </w:rPr>
      </w:pPr>
      <w:r>
        <w:rPr>
          <w:rFonts w:ascii="Courier New" w:cs="Courier New" w:eastAsia="Courier New" w:hAnsi="Courier New"/>
          <w:sz w:val="18"/>
          <w:szCs w:val="18"/>
          <w:color w:val="auto"/>
        </w:rPr>
        <w:t>BK12</w:t>
      </w:r>
    </w:p>
    <w:p>
      <w:pPr>
        <w:ind w:left="1060"/>
        <w:spacing w:after="0"/>
        <w:rPr>
          <w:sz w:val="20"/>
          <w:szCs w:val="20"/>
          <w:color w:val="auto"/>
        </w:rPr>
      </w:pPr>
      <w:r>
        <w:rPr>
          <w:rFonts w:ascii="Courier New" w:cs="Courier New" w:eastAsia="Courier New" w:hAnsi="Courier New"/>
          <w:sz w:val="18"/>
          <w:szCs w:val="18"/>
          <w:color w:val="auto"/>
        </w:rPr>
        <w:t>Austin, TX 78758</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(a) Name of Persons Filing:</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Merrill Lynch &amp; Co., Inc.</w:t>
      </w:r>
    </w:p>
    <w:p>
      <w:pPr>
        <w:ind w:left="1060"/>
        <w:spacing w:after="0" w:line="237" w:lineRule="auto"/>
        <w:rPr>
          <w:sz w:val="20"/>
          <w:szCs w:val="20"/>
          <w:color w:val="auto"/>
        </w:rPr>
      </w:pPr>
      <w:r>
        <w:rPr>
          <w:rFonts w:ascii="Courier New" w:cs="Courier New" w:eastAsia="Courier New" w:hAnsi="Courier New"/>
          <w:sz w:val="18"/>
          <w:szCs w:val="18"/>
          <w:color w:val="auto"/>
        </w:rPr>
        <w:t>(On behalf of Merrill Lynch Investment Managers ("MLIM")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(b) Address of Principal Business Office or, if none, Residence: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&amp; Co., Inc.</w:t>
      </w:r>
    </w:p>
    <w:p>
      <w:pPr>
        <w:spacing w:after="0" w:line="238" w:lineRule="auto"/>
        <w:rPr>
          <w:sz w:val="20"/>
          <w:szCs w:val="20"/>
          <w:color w:val="auto"/>
        </w:rPr>
      </w:pPr>
      <w:r>
        <w:rPr>
          <w:rFonts w:ascii="Courier New" w:cs="Courier New" w:eastAsia="Courier New" w:hAnsi="Courier New"/>
          <w:sz w:val="18"/>
          <w:szCs w:val="18"/>
          <w:color w:val="auto"/>
        </w:rPr>
        <w:t>(on behalf of Merrill Lynch Investment Managers ("MLIM"))</w:t>
      </w:r>
    </w:p>
    <w:p>
      <w:pPr>
        <w:spacing w:after="0"/>
        <w:rPr>
          <w:sz w:val="20"/>
          <w:szCs w:val="20"/>
          <w:color w:val="auto"/>
        </w:rPr>
      </w:pPr>
      <w:r>
        <w:rPr>
          <w:rFonts w:ascii="Courier New" w:cs="Courier New" w:eastAsia="Courier New" w:hAnsi="Courier New"/>
          <w:sz w:val="18"/>
          <w:szCs w:val="18"/>
          <w:color w:val="auto"/>
        </w:rPr>
        <w:t>World Financial Center, North Tower</w:t>
      </w:r>
    </w:p>
    <w:p>
      <w:pPr>
        <w:spacing w:after="0" w:line="237" w:lineRule="auto"/>
        <w:rPr>
          <w:sz w:val="20"/>
          <w:szCs w:val="20"/>
          <w:color w:val="auto"/>
        </w:rPr>
      </w:pPr>
      <w:r>
        <w:rPr>
          <w:rFonts w:ascii="Courier New" w:cs="Courier New" w:eastAsia="Courier New" w:hAnsi="Courier New"/>
          <w:sz w:val="18"/>
          <w:szCs w:val="18"/>
          <w:color w:val="auto"/>
        </w:rPr>
        <w:t>250 Vesey Street</w:t>
      </w:r>
    </w:p>
    <w:p>
      <w:pPr>
        <w:spacing w:after="0" w:line="238" w:lineRule="auto"/>
        <w:rPr>
          <w:sz w:val="20"/>
          <w:szCs w:val="20"/>
          <w:color w:val="auto"/>
        </w:rPr>
      </w:pPr>
      <w:r>
        <w:rPr>
          <w:rFonts w:ascii="Courier New" w:cs="Courier New" w:eastAsia="Courier New" w:hAnsi="Courier New"/>
          <w:sz w:val="18"/>
          <w:szCs w:val="18"/>
          <w:color w:val="auto"/>
        </w:rPr>
        <w:t>New York, NY 10381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(c) Citizenship:</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See Item 4 of Cover Pages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(d) Title of Class Securities: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(e) CUSIP NUMBER:</w:t>
      </w:r>
    </w:p>
    <w:p>
      <w:pPr>
        <w:sectPr>
          <w:pgSz w:w="11900" w:h="16838" w:orient="portrait"/>
          <w:cols w:equalWidth="0" w:num="1">
            <w:col w:w="10219"/>
          </w:cols>
          <w:pgMar w:left="240" w:top="339"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See Cover Page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619" w:firstLine="316"/>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13d-2(c), check whether the person filing is a:</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Page 4 of 8</w:t>
      </w:r>
    </w:p>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420" w:hanging="412"/>
        <w:spacing w:after="0" w:line="238"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 (6) of the Act,</w:t>
      </w:r>
    </w:p>
    <w:p>
      <w:pPr>
        <w:ind w:left="420" w:hanging="412"/>
        <w:spacing w:after="0" w:line="238"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 (19) of the Act,</w:t>
      </w:r>
    </w:p>
    <w:p>
      <w:pPr>
        <w:spacing w:after="0" w:line="4" w:lineRule="exact"/>
        <w:rPr>
          <w:rFonts w:ascii="Courier New" w:cs="Courier New" w:eastAsia="Courier New" w:hAnsi="Courier New"/>
          <w:sz w:val="18"/>
          <w:szCs w:val="18"/>
          <w:color w:val="auto"/>
        </w:rPr>
      </w:pPr>
    </w:p>
    <w:p>
      <w:pPr>
        <w:ind w:left="860" w:right="2739" w:hanging="852"/>
        <w:spacing w:after="0" w:line="235" w:lineRule="auto"/>
        <w:tabs>
          <w:tab w:leader="none" w:pos="43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w:t>
      </w:r>
    </w:p>
    <w:p>
      <w:pPr>
        <w:spacing w:after="0" w:line="5"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Investment Adviser in accordance with Rule 13d-1(b) (1) (ii) (E),</w:t>
      </w:r>
    </w:p>
    <w:p>
      <w:pPr>
        <w:spacing w:after="0" w:line="16" w:lineRule="exact"/>
        <w:rPr>
          <w:rFonts w:ascii="Courier New" w:cs="Courier New" w:eastAsia="Courier New" w:hAnsi="Courier New"/>
          <w:sz w:val="16"/>
          <w:szCs w:val="16"/>
          <w:color w:val="auto"/>
        </w:rPr>
      </w:pPr>
    </w:p>
    <w:p>
      <w:pPr>
        <w:ind w:left="420" w:hanging="412"/>
        <w:spacing w:after="0" w:line="238"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or Endowment Fund in accordance with</w:t>
      </w:r>
    </w:p>
    <w:p>
      <w:pPr>
        <w:spacing w:after="0" w:line="207" w:lineRule="exact"/>
        <w:rPr>
          <w:sz w:val="20"/>
          <w:szCs w:val="20"/>
          <w:color w:val="auto"/>
        </w:rPr>
      </w:pPr>
    </w:p>
    <w:p>
      <w:pPr>
        <w:ind w:left="860" w:right="3159" w:hanging="852"/>
        <w:spacing w:after="0" w:line="235" w:lineRule="auto"/>
        <w:tabs>
          <w:tab w:leader="none" w:pos="43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or Control Person in accordance with Rule 13d-1(b) (ii) (G); see Item 7,</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3039" w:hanging="852"/>
        <w:spacing w:after="0" w:line="236" w:lineRule="auto"/>
        <w:tabs>
          <w:tab w:leader="none" w:pos="43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 (14) of the Investment Company Act of 1940,</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 (1) (ii) (J).</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left="540" w:right="6939" w:hanging="532"/>
        <w:spacing w:after="0" w:line="536" w:lineRule="auto"/>
        <w:tabs>
          <w:tab w:leader="none" w:pos="5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See Item 9 of Cover Pages.</w:t>
      </w: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11 of Cover Pages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960" w:right="4939" w:hanging="425"/>
        <w:spacing w:after="0" w:line="470" w:lineRule="auto"/>
        <w:tabs>
          <w:tab w:leader="none" w:pos="9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Item 5 of Cover pages</w:t>
      </w:r>
    </w:p>
    <w:p>
      <w:pPr>
        <w:spacing w:after="0" w:line="11" w:lineRule="exact"/>
        <w:rPr>
          <w:rFonts w:ascii="Courier New" w:cs="Courier New" w:eastAsia="Courier New" w:hAnsi="Courier New"/>
          <w:sz w:val="18"/>
          <w:szCs w:val="18"/>
          <w:color w:val="auto"/>
        </w:rPr>
      </w:pPr>
    </w:p>
    <w:p>
      <w:pPr>
        <w:ind w:left="960" w:right="4739" w:hanging="531"/>
        <w:spacing w:after="0" w:line="470" w:lineRule="auto"/>
        <w:tabs>
          <w:tab w:leader="none" w:pos="9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See Item 6 of Cover pages</w:t>
      </w:r>
    </w:p>
    <w:p>
      <w:pPr>
        <w:spacing w:after="0" w:line="11" w:lineRule="exact"/>
        <w:rPr>
          <w:rFonts w:ascii="Courier New" w:cs="Courier New" w:eastAsia="Courier New" w:hAnsi="Courier New"/>
          <w:sz w:val="18"/>
          <w:szCs w:val="18"/>
          <w:color w:val="auto"/>
        </w:rPr>
      </w:pPr>
    </w:p>
    <w:p>
      <w:pPr>
        <w:ind w:left="960" w:right="3579" w:hanging="636"/>
        <w:spacing w:after="0" w:line="470" w:lineRule="auto"/>
        <w:tabs>
          <w:tab w:leader="none" w:pos="9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See Item 7 of Cover pages</w:t>
      </w:r>
    </w:p>
    <w:p>
      <w:pPr>
        <w:spacing w:after="0" w:line="6" w:lineRule="exact"/>
        <w:rPr>
          <w:rFonts w:ascii="Courier New" w:cs="Courier New" w:eastAsia="Courier New" w:hAnsi="Courier New"/>
          <w:sz w:val="18"/>
          <w:szCs w:val="18"/>
          <w:color w:val="auto"/>
        </w:rPr>
      </w:pPr>
    </w:p>
    <w:p>
      <w:pPr>
        <w:ind w:left="960" w:hanging="531"/>
        <w:spacing w:after="0"/>
        <w:tabs>
          <w:tab w:leader="none" w:pos="9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Item 8 of Cover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If this statment is being filed to report the fact that as of the date hereof the reporting person has ceased to be the beneficial owner of more</w:t>
      </w:r>
    </w:p>
    <w:p>
      <w:pPr>
        <w:spacing w:after="0" w:line="16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Page 5 of 8</w:t>
      </w:r>
    </w:p>
    <w:p>
      <w:pPr>
        <w:spacing w:after="0" w:line="201" w:lineRule="exact"/>
        <w:rPr>
          <w:sz w:val="20"/>
          <w:szCs w:val="20"/>
          <w:color w:val="auto"/>
        </w:rPr>
      </w:pPr>
    </w:p>
    <w:p>
      <w:pPr>
        <w:spacing w:after="0"/>
        <w:tabs>
          <w:tab w:leader="none" w:pos="7360" w:val="left"/>
        </w:tabs>
        <w:rPr>
          <w:sz w:val="20"/>
          <w:szCs w:val="20"/>
          <w:color w:val="auto"/>
        </w:rPr>
      </w:pPr>
      <w:r>
        <w:rPr>
          <w:rFonts w:ascii="Courier New" w:cs="Courier New" w:eastAsia="Courier New" w:hAnsi="Courier New"/>
          <w:sz w:val="18"/>
          <w:szCs w:val="18"/>
          <w:color w:val="auto"/>
        </w:rPr>
        <w:t>than five percent of the class of securities, check the following: [</w:t>
      </w:r>
      <w:r>
        <w:rPr>
          <w:sz w:val="20"/>
          <w:szCs w:val="20"/>
          <w:color w:val="auto"/>
        </w:rPr>
        <w:tab/>
      </w:r>
      <w:r>
        <w:rPr>
          <w:rFonts w:ascii="Courier New" w:cs="Courier New" w:eastAsia="Courier New" w:hAnsi="Courier New"/>
          <w:sz w:val="16"/>
          <w:szCs w:val="16"/>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839" w:firstLine="316"/>
        <w:spacing w:after="0" w:line="237" w:lineRule="auto"/>
        <w:rPr>
          <w:sz w:val="20"/>
          <w:szCs w:val="20"/>
          <w:color w:val="auto"/>
        </w:rPr>
      </w:pPr>
      <w:r>
        <w:rPr>
          <w:rFonts w:ascii="Courier New" w:cs="Courier New" w:eastAsia="Courier New" w:hAnsi="Courier New"/>
          <w:sz w:val="18"/>
          <w:szCs w:val="18"/>
          <w:color w:val="auto"/>
        </w:rPr>
        <w:t>Merrill Lynch &amp; Co., Inc. ("ML&amp;Co.") is a parent holding company. Merrill Lynch Investment Managers ("MLIM") is an operating division of ML&amp;Co.'s indirectly owned asset management subsidiaries. Certain of these subsidiaries hold certain shares of the security which is the subject of this report. (See Item 7).</w:t>
      </w:r>
    </w:p>
    <w:p>
      <w:pPr>
        <w:spacing w:after="0" w:line="209" w:lineRule="exact"/>
        <w:rPr>
          <w:sz w:val="20"/>
          <w:szCs w:val="20"/>
          <w:color w:val="auto"/>
        </w:rPr>
      </w:pPr>
    </w:p>
    <w:p>
      <w:pPr>
        <w:ind w:left="220" w:right="2739" w:hanging="210"/>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36" w:right="1440" w:bottom="0" w:gutter="0" w:footer="0" w:header="0"/>
        </w:sectPr>
      </w:pPr>
    </w:p>
    <w:bookmarkStart w:id="3" w:name="page4"/>
    <w:bookmarkEnd w:id="3"/>
    <w:p>
      <w:pPr>
        <w:ind w:right="2839" w:firstLine="421"/>
        <w:spacing w:after="0" w:line="273" w:lineRule="auto"/>
        <w:rPr>
          <w:sz w:val="20"/>
          <w:szCs w:val="20"/>
          <w:color w:val="auto"/>
        </w:rPr>
      </w:pPr>
      <w:r>
        <w:rPr>
          <w:rFonts w:ascii="Courier New" w:cs="Courier New" w:eastAsia="Courier New" w:hAnsi="Courier New"/>
          <w:sz w:val="16"/>
          <w:szCs w:val="16"/>
          <w:color w:val="auto"/>
        </w:rPr>
        <w:t>Merrill Lynch &amp; Co., Inc. ("ML&amp;Co.") is a parent holding company. Merrill Lynch Investment Managers ("MLIM") is an operating division of ML&amp;Co. consisting of ML&amp;Co.'s indirectly-owned asset management subsidiaries. The following asset management subsidiaries hold certain shares of the common stock, which is the subject of this 13G filing:</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FUND ASSET MANAGEMENT, L.P.</w:t>
      </w:r>
    </w:p>
    <w:p>
      <w:pPr>
        <w:spacing w:after="0" w:line="238" w:lineRule="auto"/>
        <w:rPr>
          <w:sz w:val="20"/>
          <w:szCs w:val="20"/>
          <w:color w:val="auto"/>
        </w:rPr>
      </w:pPr>
      <w:r>
        <w:rPr>
          <w:rFonts w:ascii="Courier New" w:cs="Courier New" w:eastAsia="Courier New" w:hAnsi="Courier New"/>
          <w:sz w:val="18"/>
          <w:szCs w:val="18"/>
          <w:color w:val="auto"/>
        </w:rPr>
        <w:t>MERRILL LYNCH INVESTMENT MANAGERS LTD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519" w:firstLine="316"/>
        <w:spacing w:after="0" w:line="237" w:lineRule="auto"/>
        <w:rPr>
          <w:sz w:val="20"/>
          <w:szCs w:val="20"/>
          <w:color w:val="auto"/>
        </w:rPr>
      </w:pPr>
      <w:r>
        <w:rPr>
          <w:rFonts w:ascii="Courier New" w:cs="Courier New" w:eastAsia="Courier New" w:hAnsi="Courier New"/>
          <w:sz w:val="18"/>
          <w:szCs w:val="18"/>
          <w:color w:val="auto"/>
        </w:rPr>
        <w:t>By signing below each of the undersigned certifies that, to the best Of their knowledge and belief, the securities referred to above were acquired and are held in the ordinary course of business and were not acquired and are not held for the purpose of or with the effect of changing or influencing the control of the issuer of such securities and were not acquired and are not held in connection with or as a participant in any transaction having such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Page 6 of 8</w:t>
      </w:r>
    </w:p>
    <w:p>
      <w:pPr>
        <w:spacing w:after="0" w:line="207"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each of the undersigned certifies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08, 2006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&amp; Co, Inc.</w:t>
      </w:r>
    </w:p>
    <w:p>
      <w:pPr>
        <w:spacing w:after="0" w:line="238" w:lineRule="auto"/>
        <w:rPr>
          <w:sz w:val="20"/>
          <w:szCs w:val="20"/>
          <w:color w:val="auto"/>
        </w:rPr>
      </w:pPr>
      <w:r>
        <w:rPr>
          <w:rFonts w:ascii="Courier New" w:cs="Courier New" w:eastAsia="Courier New" w:hAnsi="Courier New"/>
          <w:sz w:val="18"/>
          <w:szCs w:val="18"/>
          <w:color w:val="auto"/>
        </w:rPr>
        <w:t>(on behalf of Merrill Lynch Investment Managers ("MLIM"))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Jeffrey Hiller</w:t>
      </w:r>
    </w:p>
    <w:p>
      <w:pPr>
        <w:spacing w:after="0" w:line="201"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Jeffrey Hiller</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Attorney-In-Fact*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*Signed pursuant to a power of attorney, dated September 14, 2004, included as Exhibit B to this Schedule 13G filed with the Securities and Exchange Commission by Merrill Lynch &amp; Co, Inc. (on behalf of Merrill Lynch Investment Managers ("MLIM")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Page 7 of 8</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EXHIBIT A</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Merrill Lynch Investment Managers("MLIM")of ML&amp;Co. is comprised of the following legal entities: Merrill Lynch Investment Managers, L.P., ("MLIMLP") doing business as Merrill Lynch Investment Managers; Fund Asset Management, L.P. ("FAM") doing business as Fund Asset Management; Merrill Lynch Investment Managers, LLC ("MLIMLLC"); Merrill Lynch Asset Management U.K. Limited</w:t>
      </w:r>
    </w:p>
    <w:p>
      <w:pPr>
        <w:sectPr>
          <w:pgSz w:w="11900" w:h="16838" w:orient="portrait"/>
          <w:cols w:equalWidth="0" w:num="1">
            <w:col w:w="10219"/>
          </w:cols>
          <w:pgMar w:left="240" w:top="142" w:right="1440" w:bottom="0" w:gutter="0" w:footer="0" w:header="0"/>
        </w:sectPr>
      </w:pPr>
    </w:p>
    <w:bookmarkStart w:id="4" w:name="page5"/>
    <w:bookmarkEnd w:id="4"/>
    <w:p>
      <w:pPr>
        <w:ind w:right="2419"/>
        <w:spacing w:after="0" w:line="268" w:lineRule="auto"/>
        <w:rPr>
          <w:sz w:val="20"/>
          <w:szCs w:val="20"/>
          <w:color w:val="auto"/>
        </w:rPr>
      </w:pPr>
      <w:r>
        <w:rPr>
          <w:rFonts w:ascii="Courier New" w:cs="Courier New" w:eastAsia="Courier New" w:hAnsi="Courier New"/>
          <w:sz w:val="16"/>
          <w:szCs w:val="16"/>
          <w:color w:val="auto"/>
        </w:rPr>
        <w:t>("MLAM UK"); Merrill Lynch (Suisse) Investment Management S.A. (MLS); Merrill Lynch Investment Managers International Limited ("MLIMI"); Merrill Lynch Investment Managers Limited; Merrill Lynch Investment Managers (Asia Pacific)Limited; Merrill Lynch Investment Managers (Asia)Limited; Merrill Lynch Investment Managers Limited (Australia); Merrill Lynch Investment Managers (Isle of Man) Limited; Munich London Investment Management Limited; Munich London Investment Management (Jersey)</w:t>
      </w:r>
    </w:p>
    <w:p>
      <w:pPr>
        <w:spacing w:after="0" w:line="1" w:lineRule="exact"/>
        <w:rPr>
          <w:sz w:val="20"/>
          <w:szCs w:val="20"/>
          <w:color w:val="auto"/>
        </w:rPr>
      </w:pPr>
    </w:p>
    <w:p>
      <w:pPr>
        <w:ind w:right="2939"/>
        <w:spacing w:after="0" w:line="268" w:lineRule="auto"/>
        <w:rPr>
          <w:sz w:val="20"/>
          <w:szCs w:val="20"/>
          <w:color w:val="auto"/>
        </w:rPr>
      </w:pPr>
      <w:r>
        <w:rPr>
          <w:rFonts w:ascii="Courier New" w:cs="Courier New" w:eastAsia="Courier New" w:hAnsi="Courier New"/>
          <w:sz w:val="16"/>
          <w:szCs w:val="16"/>
          <w:color w:val="auto"/>
        </w:rPr>
        <w:t>Limited; Merrill Lynch Investment Managers Co. Ltd; DSP Merrill Lynch Fund Managers Ltd; Merrill Lynch Global Asset Management Limited; Merrill Lynch Fund Managers Limited; Merrill Lynch Fund Managers (Channel Islands)Limited; Merrill Lynch Investment Managers (Channel Islands)Limited; and Merrill Lynch Pensions Limited. Each of MLIMLP, FAM, MLAM UK, MLS and MLIMI is an investment</w:t>
      </w:r>
    </w:p>
    <w:p>
      <w:pPr>
        <w:spacing w:after="0" w:line="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adviser registered under Section 203 of the Investment Advisers Act of 1940, which acts as investment adviser to various investment companies registered under Section 8 of the Investment Company Act of 1940. Each other firm constituting part of MLIM is an investment adviser operating under the laws of a jurisdiction other than the United States. The investment advisers that comprise MLIM exercise voting and investment powers over portfolio securities independently from other direct and indirect subsidiaries of ML&amp;Co.</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8 of 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undersigned, Merrill Lynch &amp; Co., Inc. (the "Corporation"), a corporation duly organized under the laws of the State of Delaware, with its principal place of business at 4 World Financial Center, New York, New York, 10080, does hereby make, constitute and appoint Andrew J. Donohue, Jeffrey Hiller,</w:t>
      </w:r>
    </w:p>
    <w:p>
      <w:pPr>
        <w:spacing w:after="0" w:line="5"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Alice Pellegrino and Brad Lucido acting severally, each of whose address is Merrill Lynch Investment Managers, L.P., 800 Scudders Mill Road,</w:t>
      </w:r>
    </w:p>
    <w:p>
      <w:pPr>
        <w:spacing w:after="0" w:line="6"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Plainsboro, NJ, 08536,as it true and lawful attorneys-in-fact, for it and in its name, place and stead (i) to execute on behalf of the Corporation and cause to be filed and/or delivered, as required under Section 13(d) of the Securities Exchange Act of 1934 (the "Act") and the regulations thereunder, any number,</w:t>
      </w:r>
    </w:p>
    <w:p>
      <w:pPr>
        <w:spacing w:after="0" w:line="1"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as appropriate, of original, copies, or electronic filings of the Securities and Exchange Commission Schedule 13D or Schedule 13G Beneficial Ownership Reports (together with any amendments and joint filing agreements under Rule</w:t>
      </w:r>
    </w:p>
    <w:p>
      <w:pPr>
        <w:spacing w:after="0" w:line="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13d-1(f)(1) of the Act, as may be required thereto) to be filed and/or delivered with respect to any equity security (as defined in Rule 13d-1(d) under the Act) beneficially owned by the undersigned and which must be reported by the undersigned pursuant to Section 13(d) of the Act and the regulations thereunder, and generally to take such other actions and perform such other things necessary to effectuate the foregoing as fully in all respects asif the undersigned could do if personally present. This Power of Attorney shall remain in effect until revoked, in writing, by the undersigned.</w:t>
      </w:r>
    </w:p>
    <w:p>
      <w:pPr>
        <w:spacing w:after="0" w:line="212" w:lineRule="exact"/>
        <w:rPr>
          <w:sz w:val="20"/>
          <w:szCs w:val="20"/>
          <w:color w:val="auto"/>
        </w:rPr>
      </w:pPr>
    </w:p>
    <w:p>
      <w:pPr>
        <w:ind w:right="315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this 14th day of September, 2004.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&amp; CO.,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jc w:val="center"/>
        <w:ind w:right="7579"/>
        <w:spacing w:after="0"/>
        <w:rPr>
          <w:sz w:val="20"/>
          <w:szCs w:val="20"/>
          <w:color w:val="auto"/>
        </w:rPr>
      </w:pPr>
      <w:r>
        <w:rPr>
          <w:rFonts w:ascii="Courier New" w:cs="Courier New" w:eastAsia="Courier New" w:hAnsi="Courier New"/>
          <w:sz w:val="18"/>
          <w:szCs w:val="18"/>
          <w:color w:val="auto"/>
        </w:rPr>
        <w:t>/s/ Rosemary T. Berkery</w:t>
      </w:r>
    </w:p>
    <w:p>
      <w:pPr>
        <w:spacing w:after="0" w:line="4" w:lineRule="exact"/>
        <w:rPr>
          <w:sz w:val="20"/>
          <w:szCs w:val="20"/>
          <w:color w:val="auto"/>
        </w:rPr>
      </w:pPr>
    </w:p>
    <w:p>
      <w:pPr>
        <w:jc w:val="center"/>
        <w:ind w:right="7579"/>
        <w:spacing w:after="0"/>
        <w:rPr>
          <w:sz w:val="20"/>
          <w:szCs w:val="20"/>
          <w:color w:val="auto"/>
        </w:rPr>
      </w:pPr>
      <w:r>
        <w:rPr>
          <w:rFonts w:ascii="Courier New" w:cs="Courier New" w:eastAsia="Courier New" w:hAnsi="Courier New"/>
          <w:sz w:val="16"/>
          <w:szCs w:val="16"/>
          <w:color w:val="auto"/>
        </w:rPr>
        <w:t>Name: Rosemary T. Berkery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Executive Vice President and General Counsel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lowerLetter"/>
      <w:start w:val="1"/>
    </w:lvl>
  </w:abstractNum>
  <w:abstractNum w:abstractNumId="6">
    <w:nsid w:val="1190CDE7"/>
    <w:multiLevelType w:val="hybridMultilevel"/>
    <w:lvl w:ilvl="0">
      <w:lvlJc w:val="left"/>
      <w:lvlText w:val="%1."/>
      <w:numFmt w:val="decimal"/>
      <w:start w:val="3"/>
    </w:lvl>
  </w:abstractNum>
  <w:abstractNum w:abstractNumId="7">
    <w:nsid w:val="66EF438D"/>
    <w:multiLevelType w:val="hybridMultilevel"/>
    <w:lvl w:ilvl="0">
      <w:lvlJc w:val="left"/>
      <w:lvlText w:val="%1."/>
      <w:numFmt w:val="decimal"/>
      <w:start w:val="6"/>
    </w:lvl>
  </w:abstractNum>
  <w:abstractNum w:abstractNumId="8">
    <w:nsid w:val="140E0F76"/>
    <w:multiLevelType w:val="hybridMultilevel"/>
    <w:lvl w:ilvl="0">
      <w:lvlJc w:val="left"/>
      <w:lvlText w:val="%1."/>
      <w:numFmt w:val="decimal"/>
      <w:start w:val="10"/>
    </w:lvl>
  </w:abstractNum>
  <w:abstractNum w:abstractNumId="9">
    <w:nsid w:val="3352255A"/>
    <w:multiLevelType w:val="hybridMultilevel"/>
    <w:lvl w:ilvl="0">
      <w:lvlJc w:val="left"/>
      <w:lvlText w:val="%1."/>
      <w:numFmt w:val="decimal"/>
      <w:start w:val="12"/>
    </w:lvl>
  </w:abstractNum>
  <w:abstractNum w:abstractNumId="10">
    <w:nsid w:val="109CF92E"/>
    <w:multiLevelType w:val="hybridMultilevel"/>
    <w:lvl w:ilvl="0">
      <w:lvlJc w:val="left"/>
      <w:lvlText w:val="%1."/>
      <w:numFmt w:val="decimal"/>
      <w:start w:val="14"/>
    </w:lvl>
  </w:abstractNum>
  <w:abstractNum w:abstractNumId="11">
    <w:nsid w:val="DED7263"/>
    <w:multiLevelType w:val="hybridMultilevel"/>
    <w:lvl w:ilvl="0">
      <w:lvlJc w:val="left"/>
      <w:lvlText w:val="[%1]"/>
      <w:numFmt w:val="upperLetter"/>
      <w:start w:val="24"/>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7"/>
    </w:lvl>
  </w:abstractNum>
  <w:abstractNum w:abstractNumId="14">
    <w:nsid w:val="41A7C4C9"/>
    <w:multiLevelType w:val="hybridMultilevel"/>
    <w:lvl w:ilvl="0">
      <w:lvlJc w:val="left"/>
      <w:lvlText w:val="(%1)"/>
      <w:numFmt w:val="lowerLetter"/>
      <w:start w:val="1"/>
    </w:lvl>
    <w:lvl w:ilvl="1">
      <w:lvlJc w:val="left"/>
      <w:lvlText w:val="(%2)"/>
      <w:numFmt w:val="lowerRoman"/>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2019-12-14T18:12:35Z</dcterms:created>
  <dcterms:modified xsi:type="dcterms:W3CDTF">2019-12-14T18:12:35Z</dcterms:modified>
</cp:coreProperties>
</file>