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3" w:lineRule="exact"/>
        <w:rPr>
          <w:rFonts w:ascii="MS PGothic" w:cs="MS PGothic" w:eastAsia="MS PGothic" w:hAnsi="MS PGothic"/>
          <w:sz w:val="18"/>
          <w:szCs w:val="18"/>
          <w:color w:val="auto"/>
          <w:highlight w:val="black"/>
        </w:rPr>
      </w:pPr>
    </w:p>
    <w:p>
      <w:pPr>
        <w:ind w:left="36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2"/>
        </w:trPr>
        <w:tc>
          <w:tcPr>
            <w:tcW w:w="6160" w:type="dxa"/>
            <w:vAlign w:val="bottom"/>
          </w:tcPr>
          <w:p>
            <w:pPr>
              <w:jc w:val="center"/>
              <w:ind w:right="36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48"/>
        </w:trPr>
        <w:tc>
          <w:tcPr>
            <w:tcW w:w="6160" w:type="dxa"/>
            <w:vAlign w:val="bottom"/>
          </w:tcPr>
          <w:p>
            <w:pPr>
              <w:jc w:val="center"/>
              <w:ind w:right="3708"/>
              <w:spacing w:after="0" w:line="149" w:lineRule="exact"/>
              <w:rPr>
                <w:sz w:val="20"/>
                <w:szCs w:val="20"/>
                <w:color w:val="auto"/>
              </w:rPr>
            </w:pPr>
            <w:r>
              <w:rPr>
                <w:rFonts w:ascii="Times New Roman" w:cs="Times New Roman" w:eastAsia="Times New Roman" w:hAnsi="Times New Roman"/>
                <w:sz w:val="14"/>
                <w:szCs w:val="14"/>
                <w:b w:val="1"/>
                <w:bCs w:val="1"/>
                <w:color w:val="auto"/>
              </w:rPr>
              <w:t>4514 Cole Ave, Suite 1600</w:t>
            </w:r>
          </w:p>
        </w:tc>
        <w:tc>
          <w:tcPr>
            <w:tcW w:w="122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1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1220" w:type="dxa"/>
            <w:vAlign w:val="bottom"/>
          </w:tcPr>
          <w:p>
            <w:pPr>
              <w:spacing w:after="0"/>
              <w:rPr>
                <w:sz w:val="16"/>
                <w:szCs w:val="16"/>
                <w:color w:val="auto"/>
              </w:rPr>
            </w:pPr>
          </w:p>
        </w:tc>
      </w:tr>
    </w:tbl>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7"/>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82"/>
        </w:trPr>
        <w:tc>
          <w:tcPr>
            <w:tcW w:w="4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Class A Common Stock, $0.001 par value per share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PX</w:t>
            </w:r>
          </w:p>
        </w:tc>
        <w:tc>
          <w:tcPr>
            <w:tcW w:w="220" w:type="dxa"/>
            <w:vAlign w:val="bottom"/>
          </w:tcPr>
          <w:p>
            <w:pPr>
              <w:spacing w:after="0"/>
              <w:rPr>
                <w:sz w:val="15"/>
                <w:szCs w:val="15"/>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NYSE</w:t>
            </w:r>
          </w:p>
        </w:tc>
      </w:tr>
    </w:tbl>
    <w:p>
      <w:pPr>
        <w:spacing w:after="0" w:line="248"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2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3"/>
                <w:szCs w:val="13"/>
                <w:color w:val="auto"/>
              </w:rPr>
            </w:pPr>
          </w:p>
        </w:tc>
      </w:tr>
      <w:tr>
        <w:trPr>
          <w:trHeight w:val="148"/>
        </w:trPr>
        <w:tc>
          <w:tcPr>
            <w:tcW w:w="10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8"/>
        </w:trPr>
        <w:tc>
          <w:tcPr>
            <w:tcW w:w="10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6"/>
                <w:szCs w:val="16"/>
                <w:color w:val="auto"/>
              </w:rPr>
            </w:pPr>
          </w:p>
        </w:tc>
      </w:tr>
      <w:tr>
        <w:trPr>
          <w:trHeight w:val="26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4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2024, there were 54,850,578 shares of the registrant's Class A common stock and 56,772,177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300" w:type="dxa"/>
            <w:vAlign w:val="bottom"/>
            <w:gridSpan w:val="17"/>
          </w:tcPr>
          <w:p>
            <w:pPr>
              <w:ind w:left="60"/>
              <w:spacing w:after="0" w:line="176" w:lineRule="exact"/>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480" w:type="dxa"/>
            <w:vAlign w:val="bottom"/>
            <w:gridSpan w:val="2"/>
          </w:tcPr>
          <w:p>
            <w:pPr>
              <w:spacing w:after="0"/>
              <w:rPr>
                <w:sz w:val="24"/>
                <w:szCs w:val="24"/>
                <w:color w:val="auto"/>
              </w:rPr>
            </w:pPr>
          </w:p>
        </w:tc>
        <w:tc>
          <w:tcPr>
            <w:tcW w:w="9300" w:type="dxa"/>
            <w:vAlign w:val="bottom"/>
            <w:gridSpan w:val="17"/>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3020" w:type="dxa"/>
            <w:vAlign w:val="bottom"/>
            <w:gridSpan w:val="12"/>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33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5"/>
        </w:trPr>
        <w:tc>
          <w:tcPr>
            <w:tcW w:w="5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subsidiaries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payments to customers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net</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37,518</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100" w:type="dxa"/>
            <w:vAlign w:val="bottom"/>
            <w:tcBorders>
              <w:bottom w:val="single" w:sz="8" w:color="CFF0FC"/>
            </w:tcBorders>
          </w:tcPr>
          <w:p>
            <w:pPr>
              <w:spacing w:after="0"/>
              <w:rPr>
                <w:sz w:val="20"/>
                <w:szCs w:val="20"/>
                <w:color w:val="auto"/>
              </w:rPr>
            </w:pPr>
          </w:p>
        </w:tc>
      </w:tr>
      <w:tr>
        <w:trPr>
          <w:trHeight w:val="277"/>
        </w:trPr>
        <w:tc>
          <w:tcPr>
            <w:tcW w:w="5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contingent liabilities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100" w:type="dxa"/>
            <w:vAlign w:val="bottom"/>
            <w:shd w:val="clear" w:color="auto" w:fill="CFF0FC"/>
          </w:tcPr>
          <w:p>
            <w:pPr>
              <w:spacing w:after="0"/>
              <w:rPr>
                <w:sz w:val="21"/>
                <w:szCs w:val="21"/>
                <w:color w:val="auto"/>
              </w:rPr>
            </w:pPr>
          </w:p>
        </w:tc>
      </w:tr>
      <w:tr>
        <w:trPr>
          <w:trHeight w:val="26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obligations</w:t>
            </w:r>
          </w:p>
        </w:tc>
        <w:tc>
          <w:tcPr>
            <w:tcW w:w="2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100" w:type="dxa"/>
            <w:vAlign w:val="bottom"/>
          </w:tcPr>
          <w:p>
            <w:pPr>
              <w:spacing w:after="0"/>
              <w:rPr>
                <w:sz w:val="22"/>
                <w:szCs w:val="22"/>
                <w:color w:val="auto"/>
              </w:rPr>
            </w:pPr>
          </w:p>
        </w:tc>
      </w:tr>
      <w:tr>
        <w:trPr>
          <w:trHeight w:val="230"/>
        </w:trPr>
        <w:tc>
          <w:tcPr>
            <w:tcW w:w="55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4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462,939</w:t>
            </w:r>
          </w:p>
        </w:tc>
        <w:tc>
          <w:tcPr>
            <w:tcW w:w="2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408,912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A common stock, $0.001 par value; 510,000,000 shares authorized;</w:t>
            </w:r>
          </w:p>
        </w:tc>
        <w:tc>
          <w:tcPr>
            <w:tcW w:w="22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61,357,766 issued and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53,813,892 outstanding as of September 30, 2024, and 59,340,269 issued and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57,622,895 outstanding as of December 31, 2023, respectively</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18"/>
        </w:trPr>
        <w:tc>
          <w:tcPr>
            <w:tcW w:w="78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B common stock, $0.001 par value; 180,000,000 shares authorized; 57,531,354 shares</w:t>
            </w: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57,407,903 shares outstanding as of September 30, 2024, and 58,597,718 shares issued</w:t>
            </w: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58,474,267 shares outstanding as of December 31, 2023, respectively</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(66,273 )</w:t>
            </w:r>
          </w:p>
        </w:tc>
        <w:tc>
          <w:tcPr>
            <w:tcW w:w="2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(17,588 )</w:t>
            </w: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640,204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636,073</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(219,592 )</w:t>
            </w:r>
          </w:p>
        </w:tc>
        <w:tc>
          <w:tcPr>
            <w:tcW w:w="2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(233,012 )</w:t>
            </w:r>
          </w:p>
        </w:tc>
      </w:tr>
      <w:tr>
        <w:trPr>
          <w:trHeight w:val="243"/>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394,094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100" w:type="dxa"/>
            <w:vAlign w:val="bottom"/>
          </w:tcPr>
          <w:p>
            <w:pPr>
              <w:spacing w:after="0"/>
              <w:rPr>
                <w:sz w:val="20"/>
                <w:szCs w:val="20"/>
                <w:color w:val="auto"/>
              </w:rPr>
            </w:pPr>
          </w:p>
        </w:tc>
      </w:tr>
      <w:tr>
        <w:trPr>
          <w:trHeight w:val="279"/>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-4028440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-4011295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-4191000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960" w:type="dxa"/>
            <w:vAlign w:val="bottom"/>
            <w:gridSpan w:val="5"/>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6"/>
                <w:szCs w:val="16"/>
                <w:color w:val="auto"/>
              </w:rPr>
            </w:pPr>
          </w:p>
        </w:tc>
        <w:tc>
          <w:tcPr>
            <w:tcW w:w="1960" w:type="dxa"/>
            <w:vAlign w:val="bottom"/>
            <w:gridSpan w:val="5"/>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2"/>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5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72,595</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58,078</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206,192</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176,322</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42,531</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115,893</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114,128</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expense</w:t>
            </w: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65,417</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173,670</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163,089</w:t>
            </w:r>
          </w:p>
        </w:tc>
        <w:tc>
          <w:tcPr>
            <w:tcW w:w="100" w:type="dxa"/>
            <w:vAlign w:val="bottom"/>
          </w:tcPr>
          <w:p>
            <w:pPr>
              <w:spacing w:after="0"/>
              <w:rPr>
                <w:sz w:val="20"/>
                <w:szCs w:val="20"/>
                <w:color w:val="auto"/>
              </w:rPr>
            </w:pPr>
          </w:p>
        </w:tc>
      </w:tr>
      <w:tr>
        <w:trPr>
          <w:trHeight w:val="24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37,764</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15,578</w:t>
            </w:r>
          </w:p>
        </w:tc>
        <w:tc>
          <w:tcPr>
            <w:tcW w:w="100" w:type="dxa"/>
            <w:vAlign w:val="bottom"/>
            <w:shd w:val="clear" w:color="auto" w:fill="CFF0FC"/>
          </w:tcPr>
          <w:p>
            <w:pPr>
              <w:spacing w:after="0"/>
              <w:rPr>
                <w:sz w:val="20"/>
                <w:szCs w:val="20"/>
                <w:color w:val="auto"/>
              </w:rPr>
            </w:pPr>
          </w:p>
        </w:tc>
      </w:tr>
      <w:tr>
        <w:trPr>
          <w:trHeight w:val="241"/>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color w:val="auto"/>
              </w:rPr>
              <w:t>(6,692 )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(5,482 )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(18,583 )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(16,080 )</w:t>
            </w:r>
          </w:p>
        </w:tc>
      </w:tr>
      <w:tr>
        <w:trPr>
          <w:trHeight w:val="26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income/(loss)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(1,851 )</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(2,570 )</w:t>
            </w:r>
          </w:p>
        </w:tc>
      </w:tr>
      <w:tr>
        <w:trPr>
          <w:trHeight w:val="226"/>
        </w:trPr>
        <w:tc>
          <w:tcPr>
            <w:tcW w:w="6740" w:type="dxa"/>
            <w:vAlign w:val="bottom"/>
            <w:tcBorders>
              <w:top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420" w:type="dxa"/>
            <w:vAlign w:val="bottom"/>
            <w:tcBorders>
              <w:top w:val="single" w:sz="8" w:color="CFF0FC"/>
            </w:tcBorders>
            <w:shd w:val="clear" w:color="auto" w:fill="CFF0FC"/>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300" w:type="dxa"/>
            <w:vAlign w:val="bottom"/>
            <w:tcBorders>
              <w:top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(17,067 )</w:t>
            </w: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income/(loss) before income taxes</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(6,950 )</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(3,072 )</w:t>
            </w:r>
          </w:p>
        </w:tc>
      </w:tr>
      <w:tr>
        <w:trPr>
          <w:trHeight w:val="25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81"/>
              <w:spacing w:after="0"/>
              <w:rPr>
                <w:sz w:val="20"/>
                <w:szCs w:val="20"/>
                <w:color w:val="auto"/>
              </w:rPr>
            </w:pPr>
            <w:r>
              <w:rPr>
                <w:rFonts w:ascii="Times New Roman" w:cs="Times New Roman" w:eastAsia="Times New Roman" w:hAnsi="Times New Roman"/>
                <w:sz w:val="18"/>
                <w:szCs w:val="18"/>
                <w:color w:val="auto"/>
              </w:rPr>
              <w:t>(1,255 )</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(1,800 )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(6,731 )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(2,807 )</w:t>
            </w:r>
          </w:p>
        </w:tc>
      </w:tr>
      <w:tr>
        <w:trPr>
          <w:trHeight w:val="20"/>
        </w:trPr>
        <w:tc>
          <w:tcPr>
            <w:tcW w:w="674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CFF0FC"/>
          </w:tcPr>
          <w:p>
            <w:pPr>
              <w:spacing w:after="0" w:line="20" w:lineRule="exact"/>
              <w:rPr>
                <w:sz w:val="1"/>
                <w:szCs w:val="1"/>
                <w:color w:val="auto"/>
              </w:rPr>
            </w:pPr>
          </w:p>
        </w:tc>
        <w:tc>
          <w:tcPr>
            <w:tcW w:w="640" w:type="dxa"/>
            <w:vAlign w:val="bottom"/>
            <w:tcBorders>
              <w:bottom w:val="single" w:sz="8" w:color="auto"/>
            </w:tcBorders>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(5,879 )</w:t>
            </w:r>
          </w:p>
        </w:tc>
      </w:tr>
      <w:tr>
        <w:trPr>
          <w:trHeight w:val="254"/>
        </w:trPr>
        <w:tc>
          <w:tcPr>
            <w:tcW w:w="67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(income)/loss attributable to noncontrolling interests in P10 Intermediate</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(546 )</w:t>
            </w:r>
          </w:p>
        </w:tc>
        <w:tc>
          <w:tcPr>
            <w:tcW w:w="1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6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ATTRIBUTABLE TO P10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(8,416 )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(6,048 )</w:t>
            </w: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Earnings/(loss) per share</w:t>
            </w:r>
          </w:p>
        </w:tc>
        <w:tc>
          <w:tcPr>
            <w:tcW w:w="1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2"/>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earnings/(loss) per share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111,374</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tcPr>
          <w:p>
            <w:pPr>
              <w:spacing w:after="0"/>
              <w:rPr>
                <w:sz w:val="20"/>
                <w:szCs w:val="20"/>
                <w:color w:val="auto"/>
              </w:rPr>
            </w:pPr>
          </w:p>
        </w:tc>
      </w:tr>
      <w:tr>
        <w:trPr>
          <w:trHeight w:val="22"/>
        </w:trPr>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4"/>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shd w:val="clear" w:color="auto" w:fill="CFF0FC"/>
          </w:tcPr>
          <w:p>
            <w:pPr>
              <w:spacing w:after="0"/>
              <w:rPr>
                <w:sz w:val="20"/>
                <w:szCs w:val="20"/>
                <w:color w:val="auto"/>
              </w:rPr>
            </w:pPr>
          </w:p>
        </w:tc>
      </w:tr>
      <w:tr>
        <w:trPr>
          <w:trHeight w:val="22"/>
        </w:trPr>
        <w:tc>
          <w:tcPr>
            <w:tcW w:w="67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-4191000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-4191000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-4191000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-2948305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-2948305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-2948305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-2163445</wp:posOffset>
            </wp:positionV>
            <wp:extent cx="102870"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-2163445</wp:posOffset>
            </wp:positionV>
            <wp:extent cx="10287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-1988185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-2163445</wp:posOffset>
            </wp:positionV>
            <wp:extent cx="9398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-1662430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-1666240</wp:posOffset>
            </wp:positionV>
            <wp:extent cx="10287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5572760</wp:posOffset>
            </wp:positionH>
            <wp:positionV relativeFrom="paragraph">
              <wp:posOffset>-1666240</wp:posOffset>
            </wp:positionV>
            <wp:extent cx="10287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-1165225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-1165225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-1165225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1"/>
                <w:szCs w:val="11"/>
                <w:color w:val="auto"/>
              </w:rPr>
            </w:pPr>
          </w:p>
        </w:tc>
        <w:tc>
          <w:tcPr>
            <w:tcW w:w="1620" w:type="dxa"/>
            <w:vAlign w:val="bottom"/>
            <w:gridSpan w:val="3"/>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20" w:type="dxa"/>
            <w:vAlign w:val="bottom"/>
          </w:tcPr>
          <w:p>
            <w:pPr>
              <w:spacing w:after="0"/>
              <w:rPr>
                <w:sz w:val="11"/>
                <w:szCs w:val="11"/>
                <w:color w:val="auto"/>
              </w:rPr>
            </w:pPr>
          </w:p>
        </w:tc>
        <w:tc>
          <w:tcPr>
            <w:tcW w:w="18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8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80" w:type="dxa"/>
            <w:vAlign w:val="bottom"/>
          </w:tcPr>
          <w:p>
            <w:pPr>
              <w:spacing w:after="0"/>
              <w:rPr>
                <w:sz w:val="12"/>
                <w:szCs w:val="12"/>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4"/>
              </w:rPr>
              <w:t>Interst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5"/>
        </w:trPr>
        <w:tc>
          <w:tcPr>
            <w:tcW w:w="192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42,365</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(9,926 )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628,828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(225,879 )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40,745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433,883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(76 )</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for Class A common stock</w:t>
            </w:r>
          </w:p>
        </w:tc>
        <w:tc>
          <w:tcPr>
            <w:tcW w:w="8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128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80" w:type="dxa"/>
            <w:vAlign w:val="bottom"/>
            <w:gridSpan w:val="3"/>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and strike price)</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w w:val="98"/>
              </w:rPr>
              <w:t>employee tax witholding and exercised</w:t>
            </w:r>
          </w:p>
        </w:tc>
        <w:tc>
          <w:tcPr>
            <w:tcW w:w="8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80" w:type="dxa"/>
            <w:vAlign w:val="bottom"/>
            <w:shd w:val="clear" w:color="auto" w:fill="CFF0FC"/>
          </w:tcPr>
          <w:p>
            <w:pPr>
              <w:spacing w:after="0"/>
              <w:rPr>
                <w:sz w:val="10"/>
                <w:szCs w:val="10"/>
                <w:color w:val="auto"/>
              </w:rPr>
            </w:pPr>
          </w:p>
        </w:tc>
        <w:tc>
          <w:tcPr>
            <w:tcW w:w="880" w:type="dxa"/>
            <w:vAlign w:val="bottom"/>
            <w:gridSpan w:val="3"/>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(3,038 )</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 option strike price</w:t>
            </w: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-899795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-882015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-899795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-882015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-899795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-882015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-899795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-882015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-899795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-882015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-899795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-882015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-899795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-882015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-899795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-882015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-899795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-882015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4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(100 )</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(851 )</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(851 )</w:t>
            </w:r>
          </w:p>
        </w:tc>
      </w:tr>
      <w:tr>
        <w:trPr>
          <w:trHeight w:val="202"/>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(7 )</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(122 )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-294005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880" w:space="720"/>
            <w:col w:w="86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2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(3,477 )</w:t>
            </w:r>
          </w:p>
        </w:tc>
        <w:tc>
          <w:tcPr>
            <w:tcW w:w="2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(3,477 )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43,089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72,832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(9,926 )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624,706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(225,274 )</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40,787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1,763</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2,102</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451</w:t>
            </w: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(451 )</w:t>
            </w:r>
          </w:p>
        </w:tc>
        <w:tc>
          <w:tcPr>
            <w:tcW w:w="32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(1 )</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for Class A common stock</w:t>
            </w:r>
          </w:p>
        </w:tc>
        <w:tc>
          <w:tcPr>
            <w:tcW w:w="8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1280" w:type="dxa"/>
            <w:vAlign w:val="bottom"/>
            <w:gridSpan w:val="3"/>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60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40" w:type="dxa"/>
            <w:vAlign w:val="bottom"/>
            <w:gridSpan w:val="3"/>
            <w:vMerge w:val="continue"/>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and strike price)</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w w:val="98"/>
              </w:rPr>
              <w:t>employee tax witholding and exercised</w:t>
            </w:r>
          </w:p>
        </w:tc>
        <w:tc>
          <w:tcPr>
            <w:tcW w:w="8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40" w:type="dxa"/>
            <w:vAlign w:val="bottom"/>
            <w:gridSpan w:val="3"/>
            <w:shd w:val="clear" w:color="auto" w:fill="CFF0FC"/>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(1,958 )</w:t>
            </w:r>
          </w:p>
        </w:tc>
        <w:tc>
          <w:tcPr>
            <w:tcW w:w="2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(1,958 )</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 option strike price</w:t>
            </w: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Distribution to non-controlling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(149 )</w:t>
            </w:r>
          </w:p>
        </w:tc>
        <w:tc>
          <w:tcPr>
            <w:tcW w:w="24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(149 )</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interests, net</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2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43,824</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72,381</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(9,926 )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627,420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(223,511 )</w:t>
            </w: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40,977</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435,076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(8,416 )</w:t>
            </w:r>
          </w:p>
        </w:tc>
        <w:tc>
          <w:tcPr>
            <w:tcW w:w="24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(334 )</w:t>
            </w:r>
          </w:p>
        </w:tc>
        <w:tc>
          <w:tcPr>
            <w:tcW w:w="24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(8,750 )</w:t>
            </w: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(1,037 )</w:t>
            </w:r>
          </w:p>
        </w:tc>
        <w:tc>
          <w:tcPr>
            <w:tcW w:w="320" w:type="dxa"/>
            <w:vAlign w:val="bottom"/>
            <w:shd w:val="clear" w:color="auto" w:fill="CFF0FC"/>
          </w:tcPr>
          <w:p>
            <w:pPr>
              <w:spacing w:after="0"/>
              <w:rPr>
                <w:sz w:val="10"/>
                <w:szCs w:val="10"/>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(1 )</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40" w:type="dxa"/>
            <w:vAlign w:val="bottom"/>
            <w:gridSpan w:val="3"/>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for Class A common stock</w:t>
            </w:r>
          </w:p>
        </w:tc>
        <w:tc>
          <w:tcPr>
            <w:tcW w:w="8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400" w:type="dxa"/>
            <w:vAlign w:val="bottom"/>
            <w:vMerge w:val="continue"/>
            <w:shd w:val="clear" w:color="auto" w:fill="CFF0FC"/>
          </w:tcPr>
          <w:p>
            <w:pPr>
              <w:spacing w:after="0"/>
              <w:rPr>
                <w:sz w:val="6"/>
                <w:szCs w:val="6"/>
                <w:color w:val="auto"/>
              </w:rPr>
            </w:pPr>
          </w:p>
        </w:tc>
        <w:tc>
          <w:tcPr>
            <w:tcW w:w="1280" w:type="dxa"/>
            <w:vAlign w:val="bottom"/>
            <w:gridSpan w:val="3"/>
            <w:vMerge w:val="continue"/>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600" w:type="dxa"/>
            <w:vAlign w:val="bottom"/>
            <w:gridSpan w:val="2"/>
            <w:vMerge w:val="continue"/>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840" w:type="dxa"/>
            <w:vAlign w:val="bottom"/>
            <w:gridSpan w:val="3"/>
            <w:vMerge w:val="continue"/>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20" w:type="dxa"/>
            <w:vAlign w:val="bottom"/>
            <w:gridSpan w:val="2"/>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4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Exercise of stock options (net of tax</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and strike price)</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2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w w:val="98"/>
              </w:rPr>
              <w:t>employee tax witholding and exercised</w:t>
            </w:r>
          </w:p>
        </w:tc>
        <w:tc>
          <w:tcPr>
            <w:tcW w:w="8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40" w:type="dxa"/>
            <w:vAlign w:val="bottom"/>
            <w:gridSpan w:val="3"/>
            <w:shd w:val="clear" w:color="auto" w:fill="CFF0FC"/>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(185 )</w:t>
            </w:r>
          </w:p>
        </w:tc>
        <w:tc>
          <w:tcPr>
            <w:tcW w:w="2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(185 )</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 option strike price</w:t>
            </w: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Distributions to non-controlling</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24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(134 )</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interests, net</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(3,780 )</w:t>
            </w:r>
          </w:p>
        </w:tc>
        <w:tc>
          <w:tcPr>
            <w:tcW w:w="2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(3,780 )</w:t>
            </w:r>
          </w:p>
        </w:tc>
        <w:tc>
          <w:tcPr>
            <w:tcW w:w="0" w:type="dxa"/>
            <w:vAlign w:val="bottom"/>
          </w:tcPr>
          <w:p>
            <w:pPr>
              <w:spacing w:after="0"/>
              <w:rPr>
                <w:sz w:val="1"/>
                <w:szCs w:val="1"/>
                <w:color w:val="auto"/>
              </w:rPr>
            </w:pPr>
          </w:p>
        </w:tc>
      </w:tr>
      <w:tr>
        <w:trPr>
          <w:trHeight w:val="20"/>
        </w:trPr>
        <w:tc>
          <w:tcPr>
            <w:tcW w:w="19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44,932</w:t>
            </w:r>
          </w:p>
        </w:tc>
        <w:tc>
          <w:tcPr>
            <w:tcW w:w="24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71,344</w:t>
            </w:r>
          </w:p>
        </w:tc>
        <w:tc>
          <w:tcPr>
            <w:tcW w:w="24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w:t>
            </w:r>
          </w:p>
        </w:tc>
        <w:tc>
          <w:tcPr>
            <w:tcW w:w="22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(9,926 )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628,783</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(231,927 )</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40,509</w:t>
            </w:r>
          </w:p>
        </w:tc>
        <w:tc>
          <w:tcPr>
            <w:tcW w:w="1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-2656840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-2639695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-2656840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-2639695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-2656840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-2639695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-2656840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-2639695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-2656840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-2639695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-2656840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-2639695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-2656840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-2639695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-2656840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-2639695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-2656840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-2639695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-1294130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-1276985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-1294130</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-1276985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-1294130</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-1276985</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-1294130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-1276985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-1294130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-1276985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-1294130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-1276985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-1294130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-1276985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-1294130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-1276985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-1294130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-1276985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-128270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-128270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-128270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-128270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-128270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-128270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-128270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-128270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-128270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1"/>
                <w:szCs w:val="11"/>
                <w:color w:val="auto"/>
              </w:rPr>
            </w:pPr>
          </w:p>
        </w:tc>
        <w:tc>
          <w:tcPr>
            <w:tcW w:w="1620" w:type="dxa"/>
            <w:vAlign w:val="bottom"/>
            <w:gridSpan w:val="3"/>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 - Class A</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Stock - Class B</w:t>
            </w:r>
          </w:p>
        </w:tc>
        <w:tc>
          <w:tcPr>
            <w:tcW w:w="220" w:type="dxa"/>
            <w:vAlign w:val="bottom"/>
          </w:tcPr>
          <w:p>
            <w:pPr>
              <w:spacing w:after="0"/>
              <w:rPr>
                <w:sz w:val="11"/>
                <w:szCs w:val="11"/>
                <w:color w:val="auto"/>
              </w:rPr>
            </w:pPr>
          </w:p>
        </w:tc>
        <w:tc>
          <w:tcPr>
            <w:tcW w:w="184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Non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Paid-in-capital</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57,623</w:t>
            </w: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58,474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(17,588 )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636,073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(233,012 )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39,573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425,162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5,021</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5,243</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9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(35 )</w:t>
            </w:r>
          </w:p>
        </w:tc>
        <w:tc>
          <w:tcPr>
            <w:tcW w:w="12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8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for Class A common stock</w:t>
            </w:r>
          </w:p>
        </w:tc>
        <w:tc>
          <w:tcPr>
            <w:tcW w:w="80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128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80" w:type="dxa"/>
            <w:vAlign w:val="bottom"/>
            <w:gridSpan w:val="3"/>
            <w:vMerge w:val="continue"/>
            <w:shd w:val="clear" w:color="auto" w:fill="CFF0FC"/>
          </w:tcPr>
          <w:p>
            <w:pPr>
              <w:spacing w:after="0"/>
              <w:rPr>
                <w:sz w:val="6"/>
                <w:szCs w:val="6"/>
                <w:color w:val="auto"/>
              </w:rPr>
            </w:pPr>
          </w:p>
        </w:tc>
        <w:tc>
          <w:tcPr>
            <w:tcW w:w="6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20" w:type="dxa"/>
            <w:vAlign w:val="bottom"/>
            <w:vMerge w:val="continue"/>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8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7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5"/>
        </w:trPr>
        <w:tc>
          <w:tcPr>
            <w:tcW w:w="19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strike</w:t>
            </w:r>
          </w:p>
        </w:tc>
        <w:tc>
          <w:tcPr>
            <w:tcW w:w="10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(300 )</w:t>
            </w: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(2,207 )</w:t>
            </w:r>
          </w:p>
        </w:tc>
        <w:tc>
          <w:tcPr>
            <w:tcW w:w="80" w:type="dxa"/>
            <w:vAlign w:val="bottom"/>
            <w:shd w:val="clear" w:color="auto" w:fill="CFF0FC"/>
          </w:tcPr>
          <w:p>
            <w:pPr>
              <w:spacing w:after="0"/>
              <w:rPr>
                <w:sz w:val="10"/>
                <w:szCs w:val="10"/>
                <w:color w:val="auto"/>
              </w:rPr>
            </w:pPr>
          </w:p>
        </w:tc>
        <w:tc>
          <w:tcPr>
            <w:tcW w:w="880" w:type="dxa"/>
            <w:vAlign w:val="bottom"/>
            <w:gridSpan w:val="3"/>
            <w:shd w:val="clear" w:color="auto" w:fill="CFF0FC"/>
          </w:tcPr>
          <w:p>
            <w:pPr>
              <w:jc w:val="right"/>
              <w:ind w:righ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(2,207 )</w:t>
            </w:r>
          </w:p>
        </w:tc>
        <w:tc>
          <w:tcPr>
            <w:tcW w:w="0" w:type="dxa"/>
            <w:vAlign w:val="bottom"/>
          </w:tcPr>
          <w:p>
            <w:pPr>
              <w:spacing w:after="0"/>
              <w:rPr>
                <w:sz w:val="1"/>
                <w:szCs w:val="1"/>
                <w:color w:val="auto"/>
              </w:rPr>
            </w:pP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price</w:t>
            </w: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-822325</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-805180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-822325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-805180</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-822325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-805180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-822325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-805180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-822325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-805180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-822325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-805180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-822325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-805180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-822325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-805180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-822325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-805180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97"/>
              </w:rPr>
              <w:t>(3,683 )</w:t>
            </w: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(4 )</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3,683</w:t>
            </w:r>
          </w:p>
        </w:tc>
        <w:tc>
          <w:tcPr>
            <w:tcW w:w="10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(30,034 )</w:t>
            </w:r>
          </w:p>
        </w:tc>
        <w:tc>
          <w:tcPr>
            <w:tcW w:w="9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(30,038 )</w:t>
            </w:r>
          </w:p>
        </w:tc>
      </w:tr>
      <w:tr>
        <w:trPr>
          <w:trHeight w:val="202"/>
        </w:trPr>
        <w:tc>
          <w:tcPr>
            <w:tcW w:w="7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(300 )</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(300 )</w:t>
            </w:r>
          </w:p>
        </w:tc>
      </w:tr>
      <w:tr>
        <w:trPr>
          <w:trHeight w:val="270"/>
        </w:trPr>
        <w:tc>
          <w:tcPr>
            <w:tcW w:w="7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(153 )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-294005</wp:posOffset>
            </wp:positionV>
            <wp:extent cx="713232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1840" w:space="580"/>
            <w:col w:w="8820"/>
          </w:cols>
          <w:pgMar w:left="320" w:top="1104" w:right="33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1"/>
                <w:szCs w:val="11"/>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1"/>
                <w:szCs w:val="11"/>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220" w:type="dxa"/>
            <w:vAlign w:val="bottom"/>
            <w:shd w:val="clear" w:color="auto" w:fill="CFF0FC"/>
          </w:tcPr>
          <w:p>
            <w:pPr>
              <w:spacing w:after="0"/>
              <w:rPr>
                <w:sz w:val="11"/>
                <w:szCs w:val="11"/>
                <w:color w:val="auto"/>
              </w:rPr>
            </w:pPr>
          </w:p>
        </w:tc>
        <w:tc>
          <w:tcPr>
            <w:tcW w:w="9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paid per share $0.03</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220" w:type="dxa"/>
            <w:vAlign w:val="bottom"/>
          </w:tcPr>
          <w:p>
            <w:pPr>
              <w:spacing w:after="0"/>
              <w:rPr>
                <w:sz w:val="12"/>
                <w:szCs w:val="12"/>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(3,774 )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54,583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55</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58,439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58</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5,524</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(47,622 )  $</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635,944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(227,991 )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39,642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400,086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6,993</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7,390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Issuance of 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Exchange of Class B common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12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(231 )</w:t>
            </w:r>
          </w:p>
        </w:tc>
        <w:tc>
          <w:tcPr>
            <w:tcW w:w="320" w:type="dxa"/>
            <w:vAlign w:val="bottom"/>
          </w:tcPr>
          <w:p>
            <w:pPr>
              <w:spacing w:after="0"/>
              <w:rPr>
                <w:sz w:val="10"/>
                <w:szCs w:val="10"/>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for Class A common stock</w:t>
            </w:r>
          </w:p>
        </w:tc>
        <w:tc>
          <w:tcPr>
            <w:tcW w:w="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9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spacing w:after="0"/>
              <w:rPr>
                <w:sz w:val="13"/>
                <w:szCs w:val="13"/>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Repurchase of common stock for</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strike</w:t>
            </w:r>
          </w:p>
        </w:tc>
        <w:tc>
          <w:tcPr>
            <w:tcW w:w="10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(60 )</w:t>
            </w:r>
          </w:p>
        </w:tc>
        <w:tc>
          <w:tcPr>
            <w:tcW w:w="340" w:type="dxa"/>
            <w:vAlign w:val="bottom"/>
          </w:tcPr>
          <w:p>
            <w:pPr>
              <w:spacing w:after="0"/>
              <w:rPr>
                <w:sz w:val="10"/>
                <w:szCs w:val="10"/>
                <w:color w:val="auto"/>
              </w:rPr>
            </w:pPr>
          </w:p>
        </w:tc>
        <w:tc>
          <w:tcPr>
            <w:tcW w:w="400" w:type="dxa"/>
            <w:vAlign w:val="bottom"/>
          </w:tcPr>
          <w:p>
            <w:pPr>
              <w:ind w:left="2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10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0"/>
                <w:szCs w:val="10"/>
                <w:color w:val="auto"/>
              </w:rPr>
            </w:pPr>
          </w:p>
        </w:tc>
        <w:tc>
          <w:tcPr>
            <w:tcW w:w="38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(470 )</w:t>
            </w:r>
          </w:p>
        </w:tc>
        <w:tc>
          <w:tcPr>
            <w:tcW w:w="220" w:type="dxa"/>
            <w:vAlign w:val="bottom"/>
          </w:tcPr>
          <w:p>
            <w:pPr>
              <w:spacing w:after="0"/>
              <w:rPr>
                <w:sz w:val="10"/>
                <w:szCs w:val="10"/>
                <w:color w:val="auto"/>
              </w:rPr>
            </w:pPr>
          </w:p>
        </w:tc>
        <w:tc>
          <w:tcPr>
            <w:tcW w:w="900" w:type="dxa"/>
            <w:vAlign w:val="bottom"/>
            <w:gridSpan w:val="3"/>
          </w:tcPr>
          <w:p>
            <w:pPr>
              <w:jc w:val="right"/>
              <w:ind w:righ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(470 )</w:t>
            </w:r>
          </w:p>
        </w:tc>
        <w:tc>
          <w:tcPr>
            <w:tcW w:w="0" w:type="dxa"/>
            <w:vAlign w:val="bottom"/>
          </w:tcPr>
          <w:p>
            <w:pPr>
              <w:spacing w:after="0"/>
              <w:rPr>
                <w:sz w:val="1"/>
                <w:szCs w:val="1"/>
                <w:color w:val="auto"/>
              </w:rPr>
            </w:pPr>
          </w:p>
        </w:tc>
      </w:tr>
      <w:tr>
        <w:trPr>
          <w:trHeight w:val="140"/>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price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-911225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-894080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-911225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-894080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-911225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-894080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-911225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-894080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-911225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-894080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-911225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-894080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-911225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-894080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-911225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-894080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-911225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-894080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-911225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-894080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300"/>
        <w:spacing w:after="0" w:line="256" w:lineRule="auto"/>
        <w:rPr>
          <w:sz w:val="20"/>
          <w:szCs w:val="20"/>
          <w:color w:val="auto"/>
        </w:rPr>
      </w:pPr>
      <w:r>
        <w:rPr>
          <w:rFonts w:ascii="Times New Roman" w:cs="Times New Roman" w:eastAsia="Times New Roman" w:hAnsi="Times New Roman"/>
          <w:sz w:val="11"/>
          <w:szCs w:val="11"/>
          <w:color w:val="auto"/>
        </w:rPr>
        <w:t>Distribution to non-controlling interests,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97"/>
              </w:rPr>
              <w:t>(1,534 )</w:t>
            </w:r>
          </w:p>
        </w:tc>
        <w:tc>
          <w:tcPr>
            <w:tcW w:w="10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(2 )</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1,534</w:t>
            </w:r>
          </w:p>
        </w:tc>
        <w:tc>
          <w:tcPr>
            <w:tcW w:w="106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(12,463 )</w:t>
            </w:r>
          </w:p>
        </w:tc>
        <w:tc>
          <w:tcPr>
            <w:tcW w:w="8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(12,465 )</w:t>
            </w:r>
          </w:p>
        </w:tc>
      </w:tr>
      <w:tr>
        <w:trPr>
          <w:trHeight w:val="203"/>
        </w:trPr>
        <w:tc>
          <w:tcPr>
            <w:tcW w:w="7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(61 )</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(61 )</w:t>
            </w:r>
          </w:p>
        </w:tc>
      </w:tr>
      <w:tr>
        <w:trPr>
          <w:trHeight w:val="270"/>
        </w:trPr>
        <w:tc>
          <w:tcPr>
            <w:tcW w:w="7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(171 )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-387985</wp:posOffset>
            </wp:positionV>
            <wp:extent cx="7132320"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-122555</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840" w:space="580"/>
            <w:col w:w="8820"/>
          </w:cols>
          <w:pgMar w:left="320" w:top="1104"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9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Dividends declared</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c>
          <w:tcPr>
            <w:tcW w:w="220" w:type="dxa"/>
            <w:vAlign w:val="bottom"/>
          </w:tcPr>
          <w:p>
            <w:pPr>
              <w:spacing w:after="0"/>
              <w:rPr>
                <w:sz w:val="12"/>
                <w:szCs w:val="12"/>
                <w:color w:val="auto"/>
              </w:rPr>
            </w:pP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(162 )</w:t>
            </w:r>
          </w:p>
        </w:tc>
      </w:tr>
      <w:tr>
        <w:trPr>
          <w:trHeight w:val="149"/>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Dividends paid per share $0.04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c>
          <w:tcPr>
            <w:tcW w:w="2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(3,934 )</w:t>
            </w:r>
          </w:p>
        </w:tc>
      </w:tr>
      <w:tr>
        <w:trPr>
          <w:trHeight w:val="20"/>
        </w:trPr>
        <w:tc>
          <w:tcPr>
            <w:tcW w:w="19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1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53,471</w:t>
            </w:r>
          </w:p>
        </w:tc>
        <w:tc>
          <w:tcPr>
            <w:tcW w:w="24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53</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58,208</w:t>
            </w:r>
          </w:p>
        </w:tc>
        <w:tc>
          <w:tcPr>
            <w:tcW w:w="24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58</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7,058</w:t>
            </w:r>
          </w:p>
        </w:tc>
        <w:tc>
          <w:tcPr>
            <w:tcW w:w="22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(60,085 )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637,971</w:t>
            </w:r>
          </w:p>
        </w:tc>
        <w:tc>
          <w:tcPr>
            <w:tcW w:w="10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(220,998 )  $</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39,868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396,867</w:t>
            </w:r>
          </w:p>
        </w:tc>
        <w:tc>
          <w:tcPr>
            <w:tcW w:w="100" w:type="dxa"/>
            <w:vAlign w:val="bottom"/>
          </w:tcPr>
          <w:p>
            <w:pPr>
              <w:spacing w:after="0"/>
              <w:rPr>
                <w:sz w:val="12"/>
                <w:szCs w:val="12"/>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-128270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-128270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-128270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-128270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-128270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-128270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-128270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-128270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-128270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Net income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22"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1"/>
          <w:szCs w:val="11"/>
          <w:color w:val="auto"/>
        </w:rPr>
        <w:t>Exchange of Class B common stock for 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6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1,406</w:t>
            </w:r>
          </w:p>
        </w:tc>
        <w:tc>
          <w:tcPr>
            <w:tcW w:w="8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(73 )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w:t>
            </w:r>
          </w:p>
        </w:tc>
      </w:tr>
      <w:tr>
        <w:trPr>
          <w:trHeight w:val="148"/>
        </w:trPr>
        <w:tc>
          <w:tcPr>
            <w:tcW w:w="6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6,952</w:t>
            </w: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6,952</w:t>
            </w:r>
          </w:p>
        </w:tc>
      </w:tr>
      <w:tr>
        <w:trPr>
          <w:trHeight w:val="203"/>
        </w:trPr>
        <w:tc>
          <w:tcPr>
            <w:tcW w:w="6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84"/>
              </w:rPr>
              <w:t>800</w:t>
            </w:r>
          </w:p>
        </w:tc>
        <w:tc>
          <w:tcPr>
            <w:tcW w:w="96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w:t>
            </w:r>
          </w:p>
        </w:tc>
        <w:tc>
          <w:tcPr>
            <w:tcW w:w="10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(800 )</w:t>
            </w:r>
          </w:p>
        </w:tc>
        <w:tc>
          <w:tcPr>
            <w:tcW w:w="9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(1 )</w:t>
            </w:r>
          </w:p>
        </w:tc>
        <w:tc>
          <w:tcPr>
            <w:tcW w:w="9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-122555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820" w:space="720"/>
            <w:col w:w="8700"/>
          </w:cols>
          <w:pgMar w:left="320" w:top="1104"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1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10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293</w:t>
            </w:r>
          </w:p>
        </w:tc>
        <w:tc>
          <w:tcPr>
            <w:tcW w:w="9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26"/>
        </w:trPr>
        <w:tc>
          <w:tcPr>
            <w:tcW w:w="2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Repurchase of common stock for</w:t>
            </w:r>
          </w:p>
        </w:tc>
        <w:tc>
          <w:tcPr>
            <w:tcW w:w="10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22"/>
        </w:trPr>
        <w:tc>
          <w:tcPr>
            <w:tcW w:w="2120" w:type="dxa"/>
            <w:vAlign w:val="bottom"/>
            <w:shd w:val="clear" w:color="auto" w:fill="CFF0FC"/>
          </w:tcPr>
          <w:p>
            <w:pPr>
              <w:ind w:left="200"/>
              <w:spacing w:after="0" w:line="122" w:lineRule="exact"/>
              <w:rPr>
                <w:sz w:val="20"/>
                <w:szCs w:val="20"/>
                <w:color w:val="auto"/>
              </w:rPr>
            </w:pPr>
            <w:r>
              <w:rPr>
                <w:rFonts w:ascii="Times New Roman" w:cs="Times New Roman" w:eastAsia="Times New Roman" w:hAnsi="Times New Roman"/>
                <w:sz w:val="11"/>
                <w:szCs w:val="11"/>
                <w:color w:val="auto"/>
              </w:rPr>
              <w:t>employee tax witholding and strike</w:t>
            </w:r>
          </w:p>
        </w:tc>
        <w:tc>
          <w:tcPr>
            <w:tcW w:w="1060" w:type="dxa"/>
            <w:vAlign w:val="bottom"/>
            <w:shd w:val="clear" w:color="auto" w:fill="CFF0FC"/>
          </w:tcPr>
          <w:p>
            <w:pPr>
              <w:jc w:val="right"/>
              <w:ind w:right="346"/>
              <w:spacing w:after="0" w:line="122" w:lineRule="exact"/>
              <w:rPr>
                <w:sz w:val="20"/>
                <w:szCs w:val="20"/>
                <w:color w:val="auto"/>
              </w:rPr>
            </w:pPr>
            <w:r>
              <w:rPr>
                <w:rFonts w:ascii="Times New Roman" w:cs="Times New Roman" w:eastAsia="Times New Roman" w:hAnsi="Times New Roman"/>
                <w:sz w:val="11"/>
                <w:szCs w:val="11"/>
                <w:color w:val="auto"/>
              </w:rPr>
              <w:t>(141 )</w:t>
            </w:r>
          </w:p>
        </w:tc>
        <w:tc>
          <w:tcPr>
            <w:tcW w:w="960" w:type="dxa"/>
            <w:vAlign w:val="bottom"/>
            <w:shd w:val="clear" w:color="auto" w:fill="CFF0FC"/>
          </w:tcPr>
          <w:p>
            <w:pPr>
              <w:ind w:left="4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ind w:left="4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ind w:left="4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ind w:left="4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ind w:right="306"/>
              <w:spacing w:after="0" w:line="122" w:lineRule="exact"/>
              <w:rPr>
                <w:sz w:val="20"/>
                <w:szCs w:val="20"/>
                <w:color w:val="auto"/>
              </w:rPr>
            </w:pPr>
            <w:r>
              <w:rPr>
                <w:rFonts w:ascii="Times New Roman" w:cs="Times New Roman" w:eastAsia="Times New Roman" w:hAnsi="Times New Roman"/>
                <w:sz w:val="11"/>
                <w:szCs w:val="11"/>
                <w:color w:val="auto"/>
              </w:rPr>
              <w:t>(897 )</w:t>
            </w:r>
          </w:p>
        </w:tc>
        <w:tc>
          <w:tcPr>
            <w:tcW w:w="820" w:type="dxa"/>
            <w:vAlign w:val="bottom"/>
            <w:shd w:val="clear" w:color="auto" w:fill="CFF0FC"/>
          </w:tcPr>
          <w:p>
            <w:pPr>
              <w:ind w:left="3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ind w:left="3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(897 )</w:t>
            </w:r>
          </w:p>
        </w:tc>
      </w:tr>
      <w:tr>
        <w:trPr>
          <w:trHeight w:val="149"/>
        </w:trPr>
        <w:tc>
          <w:tcPr>
            <w:tcW w:w="2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price</w:t>
            </w: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11240"/>
          </w:cols>
          <w:pgMar w:left="320" w:top="1104" w:right="3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1"/>
          <w:szCs w:val="11"/>
          <w:color w:val="auto"/>
        </w:rPr>
        <w:t>Stock repurchase</w:t>
      </w:r>
    </w:p>
    <w:p>
      <w:pPr>
        <w:spacing w:after="0" w:line="2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1"/>
          <w:szCs w:val="11"/>
          <w:color w:val="auto"/>
        </w:rPr>
        <w:t>Accrual for excise tax associated with stock repurchases</w:t>
      </w:r>
    </w:p>
    <w:p>
      <w:pPr>
        <w:ind w:left="200" w:right="160" w:firstLine="108"/>
        <w:spacing w:after="0" w:line="256" w:lineRule="auto"/>
        <w:rPr>
          <w:sz w:val="20"/>
          <w:szCs w:val="20"/>
          <w:color w:val="auto"/>
        </w:rPr>
      </w:pPr>
      <w:r>
        <w:rPr>
          <w:rFonts w:ascii="Times New Roman" w:cs="Times New Roman" w:eastAsia="Times New Roman" w:hAnsi="Times New Roman"/>
          <w:sz w:val="11"/>
          <w:szCs w:val="11"/>
          <w:color w:val="auto"/>
        </w:rPr>
        <w:t>Distributions to non-controlling interests, net</w:t>
      </w:r>
    </w:p>
    <w:p>
      <w:pPr>
        <w:ind w:left="200"/>
        <w:spacing w:after="0"/>
        <w:rPr>
          <w:sz w:val="20"/>
          <w:szCs w:val="20"/>
          <w:color w:val="auto"/>
        </w:rPr>
      </w:pPr>
      <w:r>
        <w:rPr>
          <w:rFonts w:ascii="Times New Roman" w:cs="Times New Roman" w:eastAsia="Times New Roman" w:hAnsi="Times New Roman"/>
          <w:sz w:val="11"/>
          <w:szCs w:val="11"/>
          <w:color w:val="auto"/>
        </w:rPr>
        <w:t>Dividends declared</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Dividends paid per share $0.04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(609 )</w:t>
            </w:r>
          </w:p>
        </w:tc>
        <w:tc>
          <w:tcPr>
            <w:tcW w:w="340" w:type="dxa"/>
            <w:vAlign w:val="bottom"/>
          </w:tcPr>
          <w:p>
            <w:pPr>
              <w:spacing w:after="0"/>
              <w:rPr>
                <w:sz w:val="12"/>
                <w:szCs w:val="12"/>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(6,188 )</w:t>
            </w:r>
          </w:p>
        </w:tc>
        <w:tc>
          <w:tcPr>
            <w:tcW w:w="2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0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(6,188 )</w:t>
            </w:r>
          </w:p>
        </w:tc>
      </w:tr>
      <w:tr>
        <w:trPr>
          <w:trHeight w:val="202"/>
        </w:trPr>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7"/>
                <w:szCs w:val="17"/>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220" w:type="dxa"/>
            <w:vAlign w:val="bottom"/>
          </w:tcPr>
          <w:p>
            <w:pPr>
              <w:spacing w:after="0"/>
              <w:rPr>
                <w:sz w:val="17"/>
                <w:szCs w:val="17"/>
                <w:color w:val="auto"/>
              </w:rPr>
            </w:pPr>
          </w:p>
        </w:tc>
        <w:tc>
          <w:tcPr>
            <w:tcW w:w="90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270"/>
        </w:trPr>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90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(151 )</w:t>
            </w:r>
          </w:p>
        </w:tc>
        <w:tc>
          <w:tcPr>
            <w:tcW w:w="2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(151 )</w:t>
            </w:r>
          </w:p>
        </w:tc>
      </w:tr>
      <w:tr>
        <w:trPr>
          <w:trHeight w:val="216"/>
        </w:trPr>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40" w:type="dxa"/>
            <w:vAlign w:val="bottom"/>
          </w:tcPr>
          <w:p>
            <w:pPr>
              <w:spacing w:after="0"/>
              <w:rPr>
                <w:sz w:val="18"/>
                <w:szCs w:val="18"/>
                <w:color w:val="auto"/>
              </w:rPr>
            </w:pPr>
          </w:p>
        </w:tc>
      </w:tr>
      <w:tr>
        <w:trPr>
          <w:trHeight w:val="150"/>
        </w:trPr>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(3,889 )</w:t>
            </w:r>
          </w:p>
        </w:tc>
        <w:tc>
          <w:tcPr>
            <w:tcW w:w="220" w:type="dxa"/>
            <w:vAlign w:val="bottom"/>
          </w:tcPr>
          <w:p>
            <w:pPr>
              <w:spacing w:after="0"/>
              <w:rPr>
                <w:sz w:val="13"/>
                <w:szCs w:val="13"/>
                <w:color w:val="auto"/>
              </w:rPr>
            </w:pPr>
          </w:p>
        </w:tc>
        <w:tc>
          <w:tcPr>
            <w:tcW w:w="900" w:type="dxa"/>
            <w:vAlign w:val="bottom"/>
            <w:gridSpan w:val="3"/>
          </w:tcPr>
          <w:p>
            <w:pPr>
              <w:jc w:val="right"/>
              <w:ind w:right="3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(3,889 )</w:t>
            </w:r>
          </w:p>
        </w:tc>
      </w:tr>
      <w:tr>
        <w:trPr>
          <w:trHeight w:val="144"/>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53,814</w:t>
            </w: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w w:val="90"/>
              </w:rPr>
              <w:t>54</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57,408</w:t>
            </w:r>
          </w:p>
        </w:tc>
        <w:tc>
          <w:tcPr>
            <w:tcW w:w="2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w w:val="90"/>
              </w:rPr>
              <w:t>57</w:t>
            </w:r>
          </w:p>
        </w:tc>
        <w:tc>
          <w:tcPr>
            <w:tcW w:w="2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7,667</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(66,273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640,204</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(219,592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39,644</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394,094</w:t>
            </w:r>
          </w:p>
        </w:tc>
        <w:tc>
          <w:tcPr>
            <w:tcW w:w="40" w:type="dxa"/>
            <w:vAlign w:val="bottom"/>
          </w:tcPr>
          <w:p>
            <w:pPr>
              <w:spacing w:after="0"/>
              <w:rPr>
                <w:sz w:val="12"/>
                <w:szCs w:val="12"/>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-659765</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-316865</wp:posOffset>
            </wp:positionV>
            <wp:extent cx="7132320"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-119380</wp:posOffset>
            </wp:positionV>
            <wp:extent cx="713232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1840" w:space="80"/>
            <w:col w:w="9320"/>
          </w:cols>
          <w:pgMar w:left="320" w:top="11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right="1100" w:hanging="179"/>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CASH FLOWS FROM OPERATING ACTIVITIES </w:t>
      </w:r>
      <w:r>
        <w:rPr>
          <w:rFonts w:ascii="Times New Roman" w:cs="Times New Roman" w:eastAsia="Times New Roman" w:hAnsi="Times New Roman"/>
          <w:sz w:val="13"/>
          <w:szCs w:val="13"/>
          <w:color w:val="auto"/>
        </w:rPr>
        <w:t>Net income/(loss)</w:t>
      </w:r>
    </w:p>
    <w:p>
      <w:pPr>
        <w:spacing w:after="0" w:line="1" w:lineRule="exact"/>
        <w:rPr>
          <w:sz w:val="20"/>
          <w:szCs w:val="20"/>
          <w:color w:val="auto"/>
        </w:rPr>
      </w:pPr>
    </w:p>
    <w:p>
      <w:pPr>
        <w:ind w:left="480" w:hanging="93"/>
        <w:spacing w:after="0" w:line="238" w:lineRule="auto"/>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Depreciation expense</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intangibles</w:t>
      </w:r>
    </w:p>
    <w:p>
      <w:pPr>
        <w:spacing w:after="0" w:line="13" w:lineRule="exact"/>
        <w:rPr>
          <w:sz w:val="20"/>
          <w:szCs w:val="20"/>
          <w:color w:val="auto"/>
        </w:rPr>
      </w:pPr>
    </w:p>
    <w:p>
      <w:pPr>
        <w:ind w:left="380" w:right="840"/>
        <w:spacing w:after="0" w:line="260" w:lineRule="auto"/>
        <w:rPr>
          <w:sz w:val="20"/>
          <w:szCs w:val="20"/>
          <w:color w:val="auto"/>
        </w:rPr>
      </w:pPr>
      <w:r>
        <w:rPr>
          <w:rFonts w:ascii="Times New Roman" w:cs="Times New Roman" w:eastAsia="Times New Roman" w:hAnsi="Times New Roman"/>
          <w:sz w:val="13"/>
          <w:szCs w:val="13"/>
          <w:color w:val="auto"/>
        </w:rPr>
        <w:t>Amortization of debt issuance costs and debt discount (Income)/loss from unconsolidated subsidiaries Deferred tax expense</w:t>
      </w:r>
    </w:p>
    <w:p>
      <w:pPr>
        <w:ind w:left="380"/>
        <w:spacing w:after="0"/>
        <w:rPr>
          <w:sz w:val="20"/>
          <w:szCs w:val="20"/>
          <w:color w:val="auto"/>
        </w:rPr>
      </w:pPr>
      <w:r>
        <w:rPr>
          <w:rFonts w:ascii="Times New Roman" w:cs="Times New Roman" w:eastAsia="Times New Roman" w:hAnsi="Times New Roman"/>
          <w:sz w:val="13"/>
          <w:szCs w:val="13"/>
          <w:color w:val="auto"/>
        </w:rPr>
        <w:t>Loss on extinguishment of debt</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Amortization of contingent payment to customers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Remeasurement of contingent consideration</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Change in operating assets and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from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Right-of-use assets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Accounts payable and accrued expenses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Due to related parties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Contingent consideration</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Deferred revenues</w:t>
      </w:r>
    </w:p>
    <w:p>
      <w:pPr>
        <w:spacing w:after="0" w:line="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Lease liabilities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15" w:lineRule="exact"/>
        <w:rPr>
          <w:sz w:val="20"/>
          <w:szCs w:val="20"/>
          <w:color w:val="auto"/>
        </w:rPr>
      </w:pPr>
    </w:p>
    <w:p>
      <w:pPr>
        <w:ind w:left="200" w:right="104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INVESTING ACTIVITIES </w:t>
      </w:r>
      <w:r>
        <w:rPr>
          <w:rFonts w:ascii="Times New Roman" w:cs="Times New Roman" w:eastAsia="Times New Roman" w:hAnsi="Times New Roman"/>
          <w:sz w:val="13"/>
          <w:szCs w:val="13"/>
          <w:color w:val="auto"/>
        </w:rPr>
        <w:t>Purchase of intangible assets</w:t>
      </w:r>
    </w:p>
    <w:p>
      <w:pPr>
        <w:ind w:left="200"/>
        <w:spacing w:after="0"/>
        <w:rPr>
          <w:sz w:val="20"/>
          <w:szCs w:val="20"/>
          <w:color w:val="auto"/>
        </w:rPr>
      </w:pPr>
      <w:r>
        <w:rPr>
          <w:rFonts w:ascii="Times New Roman" w:cs="Times New Roman" w:eastAsia="Times New Roman" w:hAnsi="Times New Roman"/>
          <w:sz w:val="13"/>
          <w:szCs w:val="13"/>
          <w:color w:val="auto"/>
        </w:rPr>
        <w:t>Funding of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Proceeds from notes receivable</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Investments in unconsolidated subsidiaries</w:t>
      </w:r>
    </w:p>
    <w:p>
      <w:pPr>
        <w:spacing w:after="0" w:line="13" w:lineRule="exact"/>
        <w:rPr>
          <w:sz w:val="20"/>
          <w:szCs w:val="20"/>
          <w:color w:val="auto"/>
        </w:rPr>
      </w:pPr>
    </w:p>
    <w:p>
      <w:pPr>
        <w:ind w:left="200" w:right="620"/>
        <w:spacing w:after="0" w:line="260" w:lineRule="auto"/>
        <w:rPr>
          <w:sz w:val="20"/>
          <w:szCs w:val="20"/>
          <w:color w:val="auto"/>
        </w:rPr>
      </w:pPr>
      <w:r>
        <w:rPr>
          <w:rFonts w:ascii="Times New Roman" w:cs="Times New Roman" w:eastAsia="Times New Roman" w:hAnsi="Times New Roman"/>
          <w:sz w:val="13"/>
          <w:szCs w:val="13"/>
          <w:color w:val="auto"/>
        </w:rPr>
        <w:t>Distributions from investments in unconsolidated subsidiaries Software capitalization</w:t>
      </w:r>
    </w:p>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15" w:lineRule="exact"/>
        <w:rPr>
          <w:sz w:val="20"/>
          <w:szCs w:val="20"/>
          <w:color w:val="auto"/>
        </w:rPr>
      </w:pPr>
    </w:p>
    <w:p>
      <w:pPr>
        <w:ind w:left="200" w:right="1020" w:hanging="179"/>
        <w:spacing w:after="0" w:line="260" w:lineRule="auto"/>
        <w:rPr>
          <w:sz w:val="20"/>
          <w:szCs w:val="20"/>
          <w:color w:val="auto"/>
        </w:rPr>
      </w:pPr>
      <w:r>
        <w:rPr>
          <w:rFonts w:ascii="Times New Roman" w:cs="Times New Roman" w:eastAsia="Times New Roman" w:hAnsi="Times New Roman"/>
          <w:sz w:val="13"/>
          <w:szCs w:val="13"/>
          <w:b w:val="1"/>
          <w:bCs w:val="1"/>
          <w:color w:val="auto"/>
        </w:rPr>
        <w:t xml:space="preserve">CASH FLOWS USED IN FINANCING ACTIVITIES </w:t>
      </w:r>
      <w:r>
        <w:rPr>
          <w:rFonts w:ascii="Times New Roman" w:cs="Times New Roman" w:eastAsia="Times New Roman" w:hAnsi="Times New Roman"/>
          <w:sz w:val="13"/>
          <w:szCs w:val="13"/>
          <w:color w:val="auto"/>
        </w:rPr>
        <w:t>Borrowings on debt obligations</w:t>
      </w:r>
    </w:p>
    <w:p>
      <w:pPr>
        <w:ind w:left="200"/>
        <w:spacing w:after="0"/>
        <w:rPr>
          <w:sz w:val="20"/>
          <w:szCs w:val="20"/>
          <w:color w:val="auto"/>
        </w:rPr>
      </w:pPr>
      <w:r>
        <w:rPr>
          <w:rFonts w:ascii="Times New Roman" w:cs="Times New Roman" w:eastAsia="Times New Roman" w:hAnsi="Times New Roman"/>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Repurchase of Class B common stock</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Payment of contingent consideration</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Dividends paid</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Distributions to non-controlling interests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Debt issuance costs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color w:val="auto"/>
        </w:rPr>
        <w:t>Net change in cash, cash equivalents and restricted cash</w:t>
      </w:r>
    </w:p>
    <w:p>
      <w:pPr>
        <w:spacing w:after="0" w:line="15" w:lineRule="exact"/>
        <w:rPr>
          <w:sz w:val="20"/>
          <w:szCs w:val="20"/>
          <w:color w:val="auto"/>
        </w:rPr>
      </w:pPr>
    </w:p>
    <w:p>
      <w:pPr>
        <w:ind w:left="120" w:right="1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period</w:t>
      </w:r>
    </w:p>
    <w:p>
      <w:pPr>
        <w:spacing w:after="0" w:line="1" w:lineRule="exact"/>
        <w:rPr>
          <w:sz w:val="20"/>
          <w:szCs w:val="20"/>
          <w:color w:val="auto"/>
        </w:rPr>
      </w:pPr>
    </w:p>
    <w:p>
      <w:pPr>
        <w:ind w:left="120" w:right="300" w:hanging="94"/>
        <w:spacing w:after="0" w:line="238" w:lineRule="auto"/>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1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spacing w:after="0" w:line="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45" w:lineRule="exact"/>
        <w:rPr>
          <w:sz w:val="20"/>
          <w:szCs w:val="20"/>
          <w:color w:val="auto"/>
        </w:rPr>
      </w:pPr>
    </w:p>
    <w:tbl>
      <w:tblPr>
        <w:tblLayout w:type="fixed"/>
        <w:tblInd w:w="4460" w:type="dxa"/>
        <w:tblCellMar>
          <w:top w:w="0" w:type="dxa"/>
          <w:left w:w="0" w:type="dxa"/>
          <w:bottom w:w="0" w:type="dxa"/>
          <w:right w:w="0" w:type="dxa"/>
        </w:tblCellMar>
      </w:tblPr>
      <w:tr>
        <w:trPr>
          <w:trHeight w:val="175"/>
        </w:trPr>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5"/>
                <w:szCs w:val="15"/>
                <w:color w:val="auto"/>
              </w:rPr>
            </w:pPr>
          </w:p>
        </w:tc>
      </w:tr>
      <w:tr>
        <w:trPr>
          <w:trHeight w:val="315"/>
        </w:trPr>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13,966</w:t>
            </w:r>
          </w:p>
        </w:tc>
        <w:tc>
          <w:tcPr>
            <w:tcW w:w="26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(5,879 )</w:t>
            </w:r>
          </w:p>
        </w:tc>
      </w:tr>
      <w:tr>
        <w:trPr>
          <w:trHeight w:val="457"/>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18,607</w:t>
            </w:r>
          </w:p>
        </w:tc>
        <w:tc>
          <w:tcPr>
            <w:tcW w:w="4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21,893</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(668 )</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40" w:type="dxa"/>
            <w:vAlign w:val="bottom"/>
          </w:tcPr>
          <w:p>
            <w:pPr>
              <w:spacing w:after="0"/>
              <w:rPr>
                <w:sz w:val="14"/>
                <w:szCs w:val="14"/>
                <w:color w:val="auto"/>
              </w:rPr>
            </w:pPr>
          </w:p>
        </w:tc>
      </w:tr>
      <w:tr>
        <w:trPr>
          <w:trHeight w:val="164"/>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40" w:type="dxa"/>
            <w:vAlign w:val="bottom"/>
          </w:tcPr>
          <w:p>
            <w:pPr>
              <w:spacing w:after="0"/>
              <w:rPr>
                <w:sz w:val="14"/>
                <w:szCs w:val="14"/>
                <w:color w:val="auto"/>
              </w:rPr>
            </w:pPr>
          </w:p>
        </w:tc>
      </w:tr>
      <w:tr>
        <w:trPr>
          <w:trHeight w:val="322"/>
        </w:trPr>
        <w:tc>
          <w:tcPr>
            <w:tcW w:w="260" w:type="dxa"/>
            <w:vAlign w:val="bottom"/>
          </w:tcPr>
          <w:p>
            <w:pPr>
              <w:spacing w:after="0"/>
              <w:rPr>
                <w:sz w:val="24"/>
                <w:szCs w:val="2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(6,508 )</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(3,149 )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(16,366 )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(16,326 )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4,662</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31,664</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(412 )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(1,351 )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(274 )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(7,276 )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(3,210 )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(689 )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(232 )</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(3,164 )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(1,401 )</w:t>
            </w:r>
          </w:p>
        </w:tc>
      </w:tr>
      <w:tr>
        <w:trPr>
          <w:trHeight w:val="159"/>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73,258</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45,807</w:t>
            </w:r>
          </w:p>
        </w:tc>
        <w:tc>
          <w:tcPr>
            <w:tcW w:w="40" w:type="dxa"/>
            <w:vAlign w:val="bottom"/>
          </w:tcPr>
          <w:p>
            <w:pPr>
              <w:spacing w:after="0"/>
              <w:rPr>
                <w:sz w:val="13"/>
                <w:szCs w:val="13"/>
                <w:color w:val="auto"/>
              </w:rPr>
            </w:pPr>
          </w:p>
        </w:tc>
      </w:tr>
      <w:tr>
        <w:trPr>
          <w:trHeight w:val="317"/>
        </w:trPr>
        <w:tc>
          <w:tcPr>
            <w:tcW w:w="260" w:type="dxa"/>
            <w:vAlign w:val="bottom"/>
          </w:tcPr>
          <w:p>
            <w:pPr>
              <w:spacing w:after="0"/>
              <w:rPr>
                <w:sz w:val="24"/>
                <w:szCs w:val="24"/>
                <w:color w:val="auto"/>
              </w:rPr>
            </w:pPr>
          </w:p>
        </w:tc>
        <w:tc>
          <w:tcPr>
            <w:tcW w:w="11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(382 )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(212 )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(261 )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(3,440 )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(1,025 )</w:t>
            </w:r>
          </w:p>
        </w:tc>
      </w:tr>
      <w:tr>
        <w:trPr>
          <w:trHeight w:val="159"/>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(3,358</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317"/>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386,805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4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(356,575 )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(56,369 )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(48,691 )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(3,574 )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(5,181 )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(2,565 )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(6,476 )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(11,597 )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(11,031 )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(634 )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(446 )</w:t>
            </w:r>
          </w:p>
        </w:tc>
      </w:tr>
      <w:tr>
        <w:trPr>
          <w:trHeight w:val="165"/>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(1,858 )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(38,689</w:t>
            </w:r>
          </w:p>
        </w:tc>
        <w:tc>
          <w:tcPr>
            <w:tcW w:w="2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8"/>
        </w:trPr>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80"/>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32,057</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29,492</w:t>
            </w:r>
          </w:p>
        </w:tc>
        <w:tc>
          <w:tcPr>
            <w:tcW w:w="4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63,268</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4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-5228590</wp:posOffset>
            </wp:positionV>
            <wp:extent cx="713232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-5022850</wp:posOffset>
            </wp:positionV>
            <wp:extent cx="713232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-4731385</wp:posOffset>
            </wp:positionV>
            <wp:extent cx="713232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-4525645</wp:posOffset>
            </wp:positionV>
            <wp:extent cx="7132320" cy="1028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-4319905</wp:posOffset>
            </wp:positionV>
            <wp:extent cx="713232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-4114165</wp:posOffset>
            </wp:positionV>
            <wp:extent cx="713232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-3908425</wp:posOffset>
            </wp:positionV>
            <wp:extent cx="713232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-3702685</wp:posOffset>
            </wp:positionV>
            <wp:extent cx="713232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-3496945</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-3291205</wp:posOffset>
            </wp:positionV>
            <wp:extent cx="713232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-3085465</wp:posOffset>
            </wp:positionV>
            <wp:extent cx="713232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-2879725</wp:posOffset>
            </wp:positionV>
            <wp:extent cx="713232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-2665095</wp:posOffset>
            </wp:positionV>
            <wp:extent cx="713232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-2459355</wp:posOffset>
            </wp:positionV>
            <wp:extent cx="713232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-2253615</wp:posOffset>
            </wp:positionV>
            <wp:extent cx="713232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-2047875</wp:posOffset>
            </wp:positionV>
            <wp:extent cx="713232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-1628140</wp:posOffset>
            </wp:positionV>
            <wp:extent cx="713232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-1422400</wp:posOffset>
            </wp:positionV>
            <wp:extent cx="713232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-1216660</wp:posOffset>
            </wp:positionV>
            <wp:extent cx="71323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-1010920</wp:posOffset>
            </wp:positionV>
            <wp:extent cx="71323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-805180</wp:posOffset>
            </wp:positionV>
            <wp:extent cx="71323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-1842770</wp:posOffset>
            </wp:positionV>
            <wp:extent cx="7132320" cy="1117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-591185</wp:posOffset>
            </wp:positionV>
            <wp:extent cx="7132320" cy="1117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-376555</wp:posOffset>
            </wp:positionV>
            <wp:extent cx="713232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40" w:space="240"/>
            <w:col w:w="7000"/>
          </w:cols>
          <w:pgMar w:left="320" w:top="1089"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3"/>
          <w:szCs w:val="13"/>
          <w:b w:val="1"/>
          <w:bCs w:val="1"/>
          <w:color w:val="auto"/>
        </w:rPr>
        <w:t>For the Nine Months</w:t>
      </w:r>
    </w:p>
    <w:p>
      <w:pPr>
        <w:spacing w:after="0" w:line="2"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3"/>
          <w:szCs w:val="13"/>
          <w:b w:val="1"/>
          <w:bCs w:val="1"/>
          <w:color w:val="auto"/>
        </w:rPr>
        <w:t>Ended September 30,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155"/>
        </w:trPr>
        <w:tc>
          <w:tcPr>
            <w:tcW w:w="8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Cash paid for interest</w:t>
            </w:r>
          </w:p>
        </w:tc>
        <w:tc>
          <w:tcPr>
            <w:tcW w:w="740" w:type="dxa"/>
            <w:vAlign w:val="bottom"/>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15,231</w:t>
            </w:r>
          </w:p>
        </w:tc>
        <w:tc>
          <w:tcPr>
            <w:tcW w:w="50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15,051</w:t>
            </w:r>
          </w:p>
        </w:tc>
        <w:tc>
          <w:tcPr>
            <w:tcW w:w="10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640" w:type="dxa"/>
            <w:vAlign w:val="bottom"/>
            <w:shd w:val="clear" w:color="auto" w:fill="CFF0FC"/>
          </w:tcPr>
          <w:p>
            <w:pPr>
              <w:ind w:left="200"/>
              <w:spacing w:after="0" w:line="143"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740" w:type="dxa"/>
            <w:vAlign w:val="bottom"/>
            <w:shd w:val="clear" w:color="auto" w:fill="CFF0FC"/>
          </w:tcPr>
          <w:p>
            <w:pPr>
              <w:jc w:val="right"/>
              <w:ind w:right="59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1,437</w:t>
            </w:r>
          </w:p>
        </w:tc>
        <w:tc>
          <w:tcPr>
            <w:tcW w:w="500" w:type="dxa"/>
            <w:vAlign w:val="bottom"/>
            <w:gridSpan w:val="3"/>
            <w:shd w:val="clear" w:color="auto" w:fill="CFF0FC"/>
          </w:tcPr>
          <w:p>
            <w:pPr>
              <w:jc w:val="right"/>
              <w:ind w:right="97"/>
              <w:spacing w:after="0" w:line="143"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1,332</w:t>
            </w:r>
          </w:p>
        </w:tc>
        <w:tc>
          <w:tcPr>
            <w:tcW w:w="100" w:type="dxa"/>
            <w:vAlign w:val="bottom"/>
            <w:shd w:val="clear" w:color="auto" w:fill="CFF0FC"/>
          </w:tcPr>
          <w:p>
            <w:pPr>
              <w:spacing w:after="0"/>
              <w:rPr>
                <w:sz w:val="15"/>
                <w:szCs w:val="15"/>
                <w:color w:val="auto"/>
              </w:rPr>
            </w:pPr>
          </w:p>
        </w:tc>
      </w:tr>
      <w:tr>
        <w:trPr>
          <w:trHeight w:val="143"/>
        </w:trPr>
        <w:tc>
          <w:tcPr>
            <w:tcW w:w="864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Additions to right-of-use assets</w:t>
            </w:r>
          </w:p>
        </w:tc>
        <w:tc>
          <w:tcPr>
            <w:tcW w:w="740" w:type="dxa"/>
            <w:vAlign w:val="bottom"/>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50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shd w:val="clear" w:color="auto" w:fill="CFF0FC"/>
          </w:tcPr>
          <w:p>
            <w:pPr>
              <w:spacing w:after="0"/>
              <w:rPr>
                <w:sz w:val="14"/>
                <w:szCs w:val="14"/>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100" w:type="dxa"/>
            <w:vAlign w:val="bottom"/>
          </w:tcPr>
          <w:p>
            <w:pPr>
              <w:spacing w:after="0"/>
              <w:rPr>
                <w:sz w:val="14"/>
                <w:szCs w:val="14"/>
                <w:color w:val="auto"/>
              </w:rPr>
            </w:pPr>
          </w:p>
        </w:tc>
      </w:tr>
      <w:tr>
        <w:trPr>
          <w:trHeight w:val="202"/>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Dividends declared</w:t>
            </w:r>
          </w:p>
        </w:tc>
        <w:tc>
          <w:tcPr>
            <w:tcW w:w="7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71"/>
        </w:trPr>
        <w:tc>
          <w:tcPr>
            <w:tcW w:w="8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7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r>
      <w:tr>
        <w:trPr>
          <w:trHeight w:val="167"/>
        </w:trPr>
        <w:tc>
          <w:tcPr>
            <w:tcW w:w="8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40" w:type="dxa"/>
            <w:vAlign w:val="bottom"/>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61,451</w:t>
            </w:r>
          </w:p>
        </w:tc>
        <w:tc>
          <w:tcPr>
            <w:tcW w:w="500" w:type="dxa"/>
            <w:vAlign w:val="bottom"/>
            <w:gridSpan w:val="3"/>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20,041</w:t>
            </w:r>
          </w:p>
        </w:tc>
        <w:tc>
          <w:tcPr>
            <w:tcW w:w="100" w:type="dxa"/>
            <w:vAlign w:val="bottom"/>
            <w:shd w:val="clear" w:color="auto" w:fill="CFF0FC"/>
          </w:tcPr>
          <w:p>
            <w:pPr>
              <w:spacing w:after="0"/>
              <w:rPr>
                <w:sz w:val="14"/>
                <w:szCs w:val="14"/>
                <w:color w:val="auto"/>
              </w:rPr>
            </w:pPr>
          </w:p>
        </w:tc>
      </w:tr>
      <w:tr>
        <w:trPr>
          <w:trHeight w:val="162"/>
        </w:trPr>
        <w:tc>
          <w:tcPr>
            <w:tcW w:w="8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Restricted cash</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00" w:type="dxa"/>
            <w:vAlign w:val="bottom"/>
          </w:tcPr>
          <w:p>
            <w:pPr>
              <w:spacing w:after="0"/>
              <w:rPr>
                <w:sz w:val="14"/>
                <w:szCs w:val="14"/>
                <w:color w:val="auto"/>
              </w:rPr>
            </w:pPr>
          </w:p>
        </w:tc>
      </w:tr>
      <w:tr>
        <w:trPr>
          <w:trHeight w:val="196"/>
        </w:trPr>
        <w:tc>
          <w:tcPr>
            <w:tcW w:w="8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40" w:type="dxa"/>
            <w:vAlign w:val="bottom"/>
            <w:tcBorders>
              <w:bottom w:val="single" w:sz="8" w:color="auto"/>
            </w:tcBorders>
            <w:shd w:val="clear" w:color="auto" w:fill="CFF0FC"/>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63,268</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22,218</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-1096645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-1079500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-659130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-642620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8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P10 Advisors, a wholly-owned consolidated subsidiary, to manage investment opportunities that are sourced across the P10 platform but do not fit within an existing investment mandate.</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September 30, 2024, no units have been exchanged into shares of P10 Class A common stock.</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On February 27, 2024, the Board approved an additional $40.0 million to be used towards repurchases.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As of September 30, 2024, $78.1 million has been spent to buy back shares under this program.</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provided for a one-year transition period to continue serving the Company in a transitional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Chairman of the Board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Mr. Webb's Transition Agreement terminated in accordance with its terms on October 23, 2024. See Note 15 for further information.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nine months ended September 30, 2024 are not necessarily indicative of the results to be expected for the full year ended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reclassifications have been made within the Consolidated Financial Statements to conform prior periods with current period presentations.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liabilities at the dates of the Consolidated Financial Statements and the reported amounts of revenues and expenses during the reporting periods.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September 30, 2024, and December 31, 2023, cash equivalents include money market funds of $38.0 million and $11.1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September 30, 2024 and December 31, 2023 was primarily cash on deposit related to RCP's lease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accordingly, no allowances have been established as of September 30, 2024 and December 31, 2023. If accounts are subsequently determined to be uncollectible they will be expensed in the period that determination is made.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September 30, 2024 and December 31, 2023, respectively, there is $0 and $9.6 million within prepaid expenses and other assets on the Consolidated Balance Sheets associated with allocable state tax credits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spacing w:after="0" w:line="18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220"/>
          </w:cols>
          <w:pgMar w:left="320" w:top="765" w:right="359" w:bottom="1440" w:gutter="0" w:footer="0" w:header="0"/>
        </w:sectPr>
      </w:pPr>
    </w:p>
    <w:p>
      <w:pPr>
        <w:spacing w:after="0" w:line="224"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color w:val="auto"/>
        </w:rPr>
        <w:t>Computers and purchased software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7"/>
          <w:szCs w:val="17"/>
          <w:color w:val="auto"/>
        </w:rPr>
        <w:t>3 - 5 years</w:t>
      </w:r>
    </w:p>
    <w:p>
      <w:pPr>
        <w:spacing w:after="0" w:line="48" w:lineRule="exact"/>
        <w:rPr>
          <w:sz w:val="20"/>
          <w:szCs w:val="20"/>
          <w:color w:val="auto"/>
        </w:rPr>
      </w:pPr>
    </w:p>
    <w:p>
      <w:pPr>
        <w:sectPr>
          <w:pgSz w:w="11900" w:h="16838" w:orient="portrait"/>
          <w:cols w:equalWidth="0" w:num="2">
            <w:col w:w="7060" w:space="720"/>
            <w:col w:w="3440"/>
          </w:cols>
          <w:pgMar w:left="320" w:top="765" w:right="35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7 - 10 years</w:t>
      </w:r>
    </w:p>
    <w:p>
      <w:pPr>
        <w:spacing w:after="0" w:line="200" w:lineRule="exact"/>
        <w:rPr>
          <w:sz w:val="20"/>
          <w:szCs w:val="20"/>
          <w:color w:val="auto"/>
        </w:rPr>
      </w:pPr>
    </w:p>
    <w:p>
      <w:pPr>
        <w:sectPr>
          <w:pgSz w:w="11900" w:h="16838" w:orient="portrait"/>
          <w:cols w:equalWidth="0" w:num="2">
            <w:col w:w="6960" w:space="720"/>
            <w:col w:w="3540"/>
          </w:cols>
          <w:pgMar w:left="320" w:top="765" w:right="3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13 for further information.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September 30, 2024, goodwill recorded on our Consolidated Balance Sheets relates to the acquisitions of RCP 2, RCP 3, Five Points, TrueBridge, Enhanced, Bonaccord, Hark, and WTI. As of September 30, 2024, the intangible assets are comprised of indefinite-lived intangible assets and finite-lived intangible assets related to the acquisitions of RCP 2, RCP 3, Five Points, TrueBridge, Enhanced, Bonaccord, Hark, and WTI.</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September 30, 2024 and December 31, 2023, the contingent consideration on the Consolidated Balance Sheets is related to the acquisition of Bonaccord.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through December 31, 2027. Refer to Note 13 for further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 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 The Company estimates the fair value of the credit facility using level two inputs. The Company discounts the future cash flows using current interest rates which the Company could obtain similar borrowings. The Company estimates the fair value of the due from related parties associated with the Advisory Agreements based on the current expectation of payments. If the payments are not expected to be made on a short-term basis, the fair value is estimated using level three inputs and a discounted cash flow model. See Note 12 for further details. The Company has a contingent consideration liability related to the acquisition of Bonaccord that is measured at fair value using level three inputs and a discounted cash flow model. As of September 30, 2024, the contingent consideration is considered fully earned and payment is expected to be made in early 2025 so the value is carried at the full balance of unpaid contingent consideration and is no longer subject to fair value measurements. The Company also had a contingent consideration liability related to the acquisition of Hark, that was valued using level three inputs and a discounted cash flows model, which was paid in in full on July 23, 2023. As a result of the settlement of the contingent consideration, no value is recorded as of December 31, 2023 and September 30, 2024. See Note 10 for additional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ind w:right="440" w:firstLine="554"/>
        <w:spacing w:after="0" w:line="282"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obligations related to these contracts are expected to be satisfied over the next 1-10 years as services are provided to the customer.</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at the fair market value on the grant date. For awards with graded-vesting,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According to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(our Chief Executive Officer) evaluates financial performance and makes decisions regarding the allocation of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2024, the Company adopted ASU 2022-03, </w:t>
      </w:r>
      <w:r>
        <w:rPr>
          <w:rFonts w:ascii="Times New Roman" w:cs="Times New Roman" w:eastAsia="Times New Roman" w:hAnsi="Times New Roman"/>
          <w:sz w:val="18"/>
          <w:szCs w:val="18"/>
          <w:i w:val="1"/>
          <w:iCs w:val="1"/>
          <w:color w:val="auto"/>
        </w:rPr>
        <w:t>Fair Value Measurement of Equity Securities Subject to Contractual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("ASU 2022-03"). The amendments in this update affect all entities that have investments in equity securities measured at fair value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Times New Roman" w:cs="Times New Roman" w:eastAsia="Times New Roman" w:hAnsi="Times New Roman"/>
          <w:sz w:val="18"/>
          <w:szCs w:val="18"/>
          <w:color w:val="auto"/>
        </w:rPr>
        <w:t>ments also clarify that an entity cannot, as a separate unit of account, recognize and measure a contractual sale restriction. The adoption of ASU 2022-03 did not have a material impact on the Company's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27, 2023, the FASB issued ASU 2023-07, </w:t>
      </w:r>
      <w:r>
        <w:rPr>
          <w:rFonts w:ascii="Times New Roman" w:cs="Times New Roman" w:eastAsia="Times New Roman" w:hAnsi="Times New Roman"/>
          <w:sz w:val="18"/>
          <w:szCs w:val="18"/>
          <w:i w:val="1"/>
          <w:iCs w:val="1"/>
          <w:color w:val="auto"/>
        </w:rPr>
        <w:t>Improvements to Reportable Segment Disclosure</w:t>
      </w:r>
      <w:r>
        <w:rPr>
          <w:rFonts w:ascii="Times New Roman" w:cs="Times New Roman" w:eastAsia="Times New Roman" w:hAnsi="Times New Roman"/>
          <w:sz w:val="18"/>
          <w:szCs w:val="18"/>
          <w:color w:val="auto"/>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 The Company will adopt the standard in its financial statements for the fiscal year ending December 31, 2024 and the Company expects to expand its segment disclosures.</w:t>
      </w:r>
    </w:p>
    <w:p>
      <w:pPr>
        <w:spacing w:after="0" w:line="188"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ASU 2023-09 is effective for our annual periods beginning January 1, 2025. The Company is evaluating the effects of these amendments on its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product offering:</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2"/>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71,378</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56,856</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172,774</w:t>
            </w:r>
          </w:p>
        </w:tc>
        <w:tc>
          <w:tcPr>
            <w:tcW w:w="100" w:type="dxa"/>
            <w:vAlign w:val="bottom"/>
            <w:shd w:val="clear" w:color="auto" w:fill="CFF0FC"/>
          </w:tcPr>
          <w:p>
            <w:pPr>
              <w:spacing w:after="0"/>
              <w:rPr>
                <w:sz w:val="20"/>
                <w:szCs w:val="20"/>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r>
      <w:tr>
        <w:trPr>
          <w:trHeight w:val="277"/>
        </w:trPr>
        <w:tc>
          <w:tcPr>
            <w:tcW w:w="5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596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Strategic Alliance Expense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and nine months ended September 30, 2024, the strategic alliance expense reported was $0.6 million and $2.2 million, respectively. For the three and nine months ended September 30, 2023, the strategic alliance expense reported was $0.3 million and $1.1 million, respectively. This is reported on the Consolidated Statements of Operations as strategic alliance expense in operating expenses.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September 30, 2024.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Similar terms apply for Bonaccord Fund III ("Fund III") with the exception that the third-party can acquire 9.8 basis points for every $5.0 million committed up to 4.9%. This commitment has not yet been met as of September 30, 2024 as Fund III has not yet started raising capital and as such, there is no impact to the consolidated financial statements.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Notes Receivable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$5.0 million was drawn as of September 30, 2024 with a maturity date of September 30, 2031.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SOFR plus 2.10% and are payable annually in arrears.</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notes receivable balance associated with these notes was $6.0 million and $5.8 million, respectively. The Company recognized interest income of $0.1 million and $0.3 million for the three and nine months ended September 30, 2024, respectively, and $0.1 million and $0.2 million for the three and nine months ended September 30,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VIEs consist of certain operating entities not wholly owned by the Company and include P10 Intermediate, Holdco, RCP 2, RCP 3, TrueBridge, Hark, Bonaccord, and WTI. The assets of the consolidated VIEs totaled $581.2 million and $579.4 million as of September 30, 2024 and December 31, 2023, respectively. The liabilities of the consolidated VIEs totaled $454.8 million and $397.6 million as of September 30, 2024 and December 31, 2023, respectively. The assets of our consolidated VIEs are owned by those entities and not generally available to satisfy P10’s obligations. With the exception of the Credit Facility, the liabilities of our consolidated VIEs are obligations of those entities and their creditors do not generally have recourse to the assets of P10.</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Subsidiaries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investment in unconsolidated subsidiaries totaled $2.6 million, of which $0.9 million related to RCP's investment in a privately held investment manager, $1.7 million related to ECG’s asset management businesses, and $0 related to ECG’s tax credit finance businesses. As of December 31, 2023, investment in unconsolidated subsidiaries totaled $1.7 million, of which $0 related to RCP's investment in a privately held investment manager, $1.7 million related to ECG’s asset management businesses, and $0 related to ECG’s tax credit finance businesses.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As of September 30,</w:t>
            </w:r>
          </w:p>
        </w:tc>
        <w:tc>
          <w:tcPr>
            <w:tcW w:w="180" w:type="dxa"/>
            <w:vAlign w:val="bottom"/>
          </w:tcPr>
          <w:p>
            <w:pPr>
              <w:spacing w:after="0"/>
              <w:rPr>
                <w:sz w:val="14"/>
                <w:szCs w:val="14"/>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67"/>
        </w:trPr>
        <w:tc>
          <w:tcPr>
            <w:tcW w:w="7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Computers and purchased software</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FF0FC"/>
          </w:tcPr>
          <w:p>
            <w:pPr>
              <w:spacing w:after="0"/>
              <w:rPr>
                <w:sz w:val="13"/>
                <w:szCs w:val="13"/>
                <w:color w:val="auto"/>
              </w:rPr>
            </w:pPr>
          </w:p>
        </w:tc>
      </w:tr>
      <w:tr>
        <w:trPr>
          <w:trHeight w:val="162"/>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c>
          <w:tcPr>
            <w:tcW w:w="100" w:type="dxa"/>
            <w:vAlign w:val="bottom"/>
          </w:tcPr>
          <w:p>
            <w:pPr>
              <w:spacing w:after="0"/>
              <w:rPr>
                <w:sz w:val="14"/>
                <w:szCs w:val="14"/>
                <w:color w:val="auto"/>
              </w:rPr>
            </w:pPr>
          </w:p>
        </w:tc>
      </w:tr>
      <w:tr>
        <w:trPr>
          <w:trHeight w:val="162"/>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180" w:type="dxa"/>
            <w:vAlign w:val="bottom"/>
            <w:tcBorders>
              <w:bottom w:val="single" w:sz="8" w:color="auto"/>
            </w:tcBorders>
            <w:shd w:val="clear" w:color="auto" w:fill="CFF0FC"/>
          </w:tcPr>
          <w:p>
            <w:pPr>
              <w:spacing w:after="0"/>
              <w:rPr>
                <w:sz w:val="14"/>
                <w:szCs w:val="1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5,570</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6,088</w:t>
            </w:r>
          </w:p>
        </w:tc>
        <w:tc>
          <w:tcPr>
            <w:tcW w:w="100" w:type="dxa"/>
            <w:vAlign w:val="bottom"/>
          </w:tcPr>
          <w:p>
            <w:pPr>
              <w:spacing w:after="0"/>
              <w:rPr>
                <w:sz w:val="13"/>
                <w:szCs w:val="13"/>
                <w:color w:val="auto"/>
              </w:rPr>
            </w:pPr>
          </w:p>
        </w:tc>
      </w:tr>
      <w:tr>
        <w:trPr>
          <w:trHeight w:val="162"/>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18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(3,367 )</w:t>
            </w:r>
          </w:p>
        </w:tc>
        <w:tc>
          <w:tcPr>
            <w:tcW w:w="1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(2,763 )</w:t>
            </w:r>
          </w:p>
        </w:tc>
      </w:tr>
      <w:tr>
        <w:trPr>
          <w:trHeight w:val="155"/>
        </w:trPr>
        <w:tc>
          <w:tcPr>
            <w:tcW w:w="7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3,325</w:t>
            </w:r>
          </w:p>
        </w:tc>
        <w:tc>
          <w:tcPr>
            <w:tcW w:w="100" w:type="dxa"/>
            <w:vAlign w:val="bottom"/>
            <w:tcBorders>
              <w:top w:val="single" w:sz="8" w:color="CFF0FC"/>
            </w:tcBorders>
          </w:tcPr>
          <w:p>
            <w:pPr>
              <w:spacing w:after="0"/>
              <w:rPr>
                <w:sz w:val="13"/>
                <w:szCs w:val="13"/>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-350520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-136525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goodwill for the nine months ended September 30, 2024 are as follows: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tcPr>
          <w:p>
            <w:pPr>
              <w:spacing w:after="0"/>
              <w:rPr>
                <w:sz w:val="21"/>
                <w:szCs w:val="21"/>
                <w:color w:val="auto"/>
              </w:rPr>
            </w:pPr>
          </w:p>
        </w:tc>
        <w:tc>
          <w:tcPr>
            <w:tcW w:w="55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r>
      <w:tr>
        <w:trPr>
          <w:trHeight w:val="276"/>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19"/>
        </w:trPr>
        <w:tc>
          <w:tcPr>
            <w:tcW w:w="17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 from acquisitions</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81"/>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506,038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-368300</wp:posOffset>
            </wp:positionV>
            <wp:extent cx="342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-351155</wp:posOffset>
            </wp:positionV>
            <wp:extent cx="342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-530860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consists of the following: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(7,688 )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(128,839 )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80" w:type="dxa"/>
            <w:vAlign w:val="bottom"/>
            <w:shd w:val="clear" w:color="auto" w:fill="CFF0FC"/>
          </w:tcPr>
          <w:p>
            <w:pPr>
              <w:spacing w:after="0"/>
              <w:rPr>
                <w:sz w:val="22"/>
                <w:szCs w:val="22"/>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(2,281 )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(138,808 )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86,478</w:t>
            </w:r>
          </w:p>
        </w:tc>
        <w:tc>
          <w:tcPr>
            <w:tcW w:w="80" w:type="dxa"/>
            <w:vAlign w:val="bottom"/>
            <w:shd w:val="clear" w:color="auto" w:fill="CFF0FC"/>
          </w:tcPr>
          <w:p>
            <w:pPr>
              <w:spacing w:after="0"/>
              <w:rPr>
                <w:sz w:val="20"/>
                <w:szCs w:val="20"/>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103,883</w:t>
            </w:r>
          </w:p>
        </w:tc>
        <w:tc>
          <w:tcPr>
            <w:tcW w:w="8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-1165225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-1165225</wp:posOffset>
            </wp:positionV>
            <wp:extent cx="514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r>
      <w:tr>
        <w:trPr>
          <w:trHeight w:val="187"/>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w:t>
            </w:r>
          </w:p>
        </w:tc>
        <w:tc>
          <w:tcPr>
            <w:tcW w:w="80" w:type="dxa"/>
            <w:vAlign w:val="bottom"/>
          </w:tcPr>
          <w:p>
            <w:pPr>
              <w:spacing w:after="0"/>
              <w:rPr>
                <w:sz w:val="21"/>
                <w:szCs w:val="21"/>
                <w:color w:val="auto"/>
              </w:rPr>
            </w:pPr>
          </w:p>
        </w:tc>
      </w:tr>
      <w:tr>
        <w:trPr>
          <w:trHeight w:val="250"/>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(5,789 )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w:t>
            </w:r>
          </w:p>
        </w:tc>
        <w:tc>
          <w:tcPr>
            <w:tcW w:w="80" w:type="dxa"/>
            <w:vAlign w:val="bottom"/>
          </w:tcPr>
          <w:p>
            <w:pPr>
              <w:spacing w:after="0"/>
              <w:rPr>
                <w:sz w:val="21"/>
                <w:szCs w:val="21"/>
                <w:color w:val="auto"/>
              </w:rPr>
            </w:pPr>
          </w:p>
        </w:tc>
      </w:tr>
      <w:tr>
        <w:trPr>
          <w:trHeight w:val="263"/>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Management and advisory contracts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194,666</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(111,873 )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80" w:type="dxa"/>
            <w:vAlign w:val="bottom"/>
            <w:shd w:val="clear" w:color="auto" w:fill="CFF0FC"/>
          </w:tcPr>
          <w:p>
            <w:pPr>
              <w:spacing w:after="0"/>
              <w:rPr>
                <w:sz w:val="22"/>
                <w:szCs w:val="22"/>
                <w:color w:val="auto"/>
              </w:rPr>
            </w:pP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(1,834 )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105,790</w:t>
            </w:r>
          </w:p>
        </w:tc>
        <w:tc>
          <w:tcPr>
            <w:tcW w:w="80" w:type="dxa"/>
            <w:vAlign w:val="bottom"/>
            <w:shd w:val="clear" w:color="auto" w:fill="CFF0FC"/>
          </w:tcPr>
          <w:p>
            <w:pPr>
              <w:spacing w:after="0"/>
              <w:rPr>
                <w:sz w:val="20"/>
                <w:szCs w:val="20"/>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(119,496 )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123,195</w:t>
            </w:r>
          </w:p>
        </w:tc>
        <w:tc>
          <w:tcPr>
            <w:tcW w:w="8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-1165225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-1165225</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-187960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7 - 16 years and are being amortized in line with the economic benefits that are expected to occur. Technology is amortized on a straight-line basis over 4 years. The amortization expense for each of the next five years and thereafter are as follows:</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6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60" w:type="dxa"/>
            <w:vAlign w:val="bottom"/>
          </w:tcPr>
          <w:p>
            <w:pPr>
              <w:spacing w:after="0"/>
              <w:rPr>
                <w:sz w:val="21"/>
                <w:szCs w:val="21"/>
                <w:color w:val="auto"/>
              </w:rPr>
            </w:pPr>
          </w:p>
        </w:tc>
      </w:tr>
      <w:tr>
        <w:trPr>
          <w:trHeight w:val="250"/>
        </w:trPr>
        <w:tc>
          <w:tcPr>
            <w:tcW w:w="5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8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liabilities at fair value on a recurring basis, which are discussed below. Our financial instruments not recognized at fair value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As of September 30,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0"/>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14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Reference</w:t>
            </w:r>
          </w:p>
        </w:tc>
      </w:tr>
      <w:tr>
        <w:trPr>
          <w:trHeight w:val="16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3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Due from related party - Advisory Agreements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63,159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37,231</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49,877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Note 12</w:t>
            </w:r>
          </w:p>
        </w:tc>
      </w:tr>
      <w:tr>
        <w:trPr>
          <w:trHeight w:val="175"/>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319,411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319,411</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289,844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Note 11</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debt obligations' carrying value approximates fair value due to the recent market transaction executed and the variable rate feature of these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Earnouts associated with the acquisitions of Bonaccord and Hark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is required to be paid by October 2027, at which point the earnout expires. Payments are made after each close. As of September 30, 2024, Bonaccord met the fundraising targets and the Company is responsible to pay the sellers the remaining $4.3 million of the earnout, which is expected to be paid by the end of the first quarter of 2025. The Company has paid $15.7 million since inception, of which $2.6 million was paid in the nine months ended September 30, 2024. Total remeasurement expense recognized for the three and nine months ended September 30, 2024 was $0.1 million and $0.2 million, respectively. Total remeasurement expense recognized for the three and nine months ended September 30, 2023 was $0.1 million and $0.5 million, respectively. This is included in contingent consideration expense on the Consolidated Statements of Operations. As</w:t>
      </w:r>
    </w:p>
    <w:p>
      <w:pPr>
        <w:sectPr>
          <w:pgSz w:w="11900" w:h="16838" w:orient="portrait"/>
          <w:cols w:equalWidth="0" w:num="1">
            <w:col w:w="11240"/>
          </w:cols>
          <w:pgMar w:left="320" w:top="765" w:right="339" w:bottom="1440" w:gutter="0" w:footer="0" w:header="0"/>
        </w:sectPr>
      </w:pP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of September 30, 2024, all contingent consideration for the acquisitions of Hark and Bonaccord are considered fully earned. As a result, the liability transfers out of Level 3 fair value measurement as the liability is recorded at cost at the known payment amount. Until considered fully earned, the Company's contingent consideration was considered to be a Level 3 fair value measurement as the significant inputs are unobservable and require significant judgment or estimation. Following September 30, 2024, the Company has paid $2.1 million towards the remaining contingent consideration.</w:t>
      </w:r>
    </w:p>
    <w:p>
      <w:pPr>
        <w:spacing w:after="0" w:line="180"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Included in the total consideration of the acquisition of Hark is an earnout not to exceed $5.4 million. Total remeasurement expense recognized for the three and nine months ended September 30, 2024 totaled $0 and $0, respectively. Total remeasurement expense recognized for the three and nine months ended September 30, 2023, respectively, totaled $0 and $0.1 million, which was included in contingent consideration expense on the Consolidated Statements of Operations. The entirety of the Hark contingent consideration of $5.4 million was paid during the year ended December 31, 2023.</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regarding the classification of these liabilities within the fair value hierarchy as of the dates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360" w:type="dxa"/>
            <w:vAlign w:val="bottom"/>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presented in the tables above, there were no changes in fair value hierarchy levels during the nine months ended September 30, 2024 and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7900" w:type="dxa"/>
            <w:vAlign w:val="bottom"/>
          </w:tcPr>
          <w:p>
            <w:pPr>
              <w:spacing w:after="0"/>
              <w:rPr>
                <w:sz w:val="24"/>
                <w:szCs w:val="24"/>
                <w:color w:val="auto"/>
              </w:rPr>
            </w:pPr>
          </w:p>
        </w:tc>
        <w:tc>
          <w:tcPr>
            <w:tcW w:w="334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5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Liability</w:t>
            </w:r>
          </w:p>
        </w:tc>
        <w:tc>
          <w:tcPr>
            <w:tcW w:w="9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79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9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(2,565 )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(9,686 )</w:t>
            </w:r>
          </w:p>
        </w:tc>
      </w:tr>
      <w:tr>
        <w:trPr>
          <w:trHeight w:val="243"/>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Transfers out of level 3 measurement</w:t>
            </w:r>
          </w:p>
        </w:tc>
        <w:tc>
          <w:tcPr>
            <w:tcW w:w="96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(4,288 )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consists of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6"/>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90,700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(3,540 )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(1,848 )</w:t>
            </w: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88,852</w:t>
            </w:r>
          </w:p>
        </w:tc>
        <w:tc>
          <w:tcPr>
            <w:tcW w:w="80" w:type="dxa"/>
            <w:vAlign w:val="bottom"/>
            <w:shd w:val="clear" w:color="auto" w:fill="CFF0FC"/>
          </w:tcPr>
          <w:p>
            <w:pPr>
              <w:spacing w:after="0"/>
              <w:rPr>
                <w:sz w:val="20"/>
                <w:szCs w:val="20"/>
                <w:color w:val="auto"/>
              </w:rPr>
            </w:pPr>
          </w:p>
        </w:tc>
      </w:tr>
      <w:tr>
        <w:trPr>
          <w:trHeight w:val="470"/>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80" w:type="dxa"/>
            <w:vAlign w:val="bottom"/>
            <w:tcBorders>
              <w:top w:val="single" w:sz="8" w:color="CFF0FC"/>
            </w:tcBorders>
          </w:tcPr>
          <w:p>
            <w:pPr>
              <w:spacing w:after="0"/>
              <w:rPr>
                <w:sz w:val="24"/>
                <w:szCs w:val="24"/>
                <w:color w:val="auto"/>
              </w:rPr>
            </w:pPr>
          </w:p>
        </w:tc>
      </w:tr>
      <w:tr>
        <w:trPr>
          <w:trHeight w:val="252"/>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(2,049 )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3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322,951</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200,992</w:t>
            </w:r>
          </w:p>
        </w:tc>
        <w:tc>
          <w:tcPr>
            <w:tcW w:w="80" w:type="dxa"/>
            <w:vAlign w:val="bottom"/>
            <w:tcBorders>
              <w:top w:val="single" w:sz="8" w:color="CFF0FC"/>
            </w:tcBorders>
          </w:tcPr>
          <w:p>
            <w:pPr>
              <w:spacing w:after="0"/>
              <w:rPr>
                <w:sz w:val="20"/>
                <w:szCs w:val="20"/>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-822325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157"/>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240" w:type="dxa"/>
            <w:vAlign w:val="bottom"/>
          </w:tcPr>
          <w:p>
            <w:pPr>
              <w:spacing w:after="0"/>
              <w:rPr>
                <w:sz w:val="13"/>
                <w:szCs w:val="13"/>
                <w:color w:val="auto"/>
              </w:rPr>
            </w:pPr>
          </w:p>
        </w:tc>
        <w:tc>
          <w:tcPr>
            <w:tcW w:w="2440" w:type="dxa"/>
            <w:vAlign w:val="bottom"/>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Base Rate</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SOFR Rate</w:t>
            </w:r>
          </w:p>
        </w:tc>
        <w:tc>
          <w:tcPr>
            <w:tcW w:w="17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Rate Expiration Date</w:t>
            </w:r>
          </w:p>
        </w:tc>
      </w:tr>
      <w:tr>
        <w:trPr>
          <w:trHeight w:val="318"/>
        </w:trPr>
        <w:tc>
          <w:tcPr>
            <w:tcW w:w="3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r>
      <w:tr>
        <w:trPr>
          <w:trHeight w:val="162"/>
        </w:trPr>
        <w:tc>
          <w:tcPr>
            <w:tcW w:w="3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20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16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2.60 %</w:t>
            </w:r>
          </w:p>
        </w:tc>
        <w:tc>
          <w:tcPr>
            <w:tcW w:w="5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5.08 %</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2/1/2025</w:t>
            </w:r>
          </w:p>
        </w:tc>
      </w:tr>
      <w:tr>
        <w:trPr>
          <w:trHeight w:val="156"/>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-136525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a split of $87.5 million worth of term loan and $37.5 million of revolver.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secured term loan facility in the amount of $325 million (the "New Term Loan" and, together with the New Revolving Facility, the "New Credit Facilities"). The New Credit Facilities were to be used to refinance and replace the credit facilities under the Credit Agreement and for general corporate purposes, including acquisitions.</w:t>
      </w:r>
    </w:p>
    <w:p>
      <w:pPr>
        <w:spacing w:after="0" w:line="19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New Revolver Facility and one, three, or six months for the New Term Loan, which the Company elected a six month SOFR rate on the New Term Loan.</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Principal for the New Term Loan is contractually repaid at a rate of 1.25% on the New Term Loan quarterly effective December 31, 2025. The New Revolving Credit Facility has no contractual principal repayments until maturity, which is August 1, 2028 for both facilities. The New Credit Facilities are guaranteed by the Company's subsidiaries, subject to customary exceptions, and are secured by liens on substantially all assets of the Company, P10 Intermediate and the Company's guarantor subsidiaries, subject to customary exceptions.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As of September 30, 2024, P10 was in compliance with its financial and other covenants required under the facility. For the three and nine months ended September 30, 2024, $6.3 million and $17.5 million of interest expense was incurred, respectively. For the three and nine months ended September 30, 2023, $5.1 million and $15.0 million of interest expense was incurred, respectively.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2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99"/>
              </w:rPr>
              <w:t>Future principal maturities of debt as of September 30, 2024 are as follows: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4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4540" w:type="dxa"/>
            <w:vAlign w:val="bottom"/>
            <w:shd w:val="clear" w:color="auto" w:fill="CFF0FC"/>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2025</w:t>
            </w:r>
          </w:p>
        </w:tc>
        <w:tc>
          <w:tcPr>
            <w:tcW w:w="8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4540" w:type="dxa"/>
            <w:vAlign w:val="bottom"/>
            <w:shd w:val="clear" w:color="auto" w:fill="CFF0FC"/>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2026</w:t>
            </w:r>
          </w:p>
        </w:tc>
        <w:tc>
          <w:tcPr>
            <w:tcW w:w="8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2027</w:t>
            </w:r>
          </w:p>
        </w:tc>
        <w:tc>
          <w:tcPr>
            <w:tcW w:w="8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40" w:type="dxa"/>
            <w:vAlign w:val="bottom"/>
          </w:tcPr>
          <w:p>
            <w:pPr>
              <w:spacing w:after="0"/>
              <w:rPr>
                <w:sz w:val="21"/>
                <w:szCs w:val="21"/>
                <w:color w:val="auto"/>
              </w:rPr>
            </w:pPr>
          </w:p>
        </w:tc>
        <w:tc>
          <w:tcPr>
            <w:tcW w:w="4540" w:type="dxa"/>
            <w:vAlign w:val="bottom"/>
            <w:tcBorders>
              <w:bottom w:val="single" w:sz="8" w:color="CFF0FC"/>
            </w:tcBorders>
            <w:shd w:val="clear" w:color="auto" w:fill="CFF0FC"/>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2028</w:t>
            </w:r>
          </w:p>
        </w:tc>
        <w:tc>
          <w:tcPr>
            <w:tcW w:w="8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288,437</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$0.2 million in rent to 210 Capital, LLC for the three and nine months ended September 30, 2024, respectively, and $0.1 million and $0.2 million for the three and nine months ended September 30, 2023, respectively.</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September 30, 2024, the total accounts receivable from the Funds totaled $25.2 million, of which $9.1 million related to reimbursable expenses and $16.1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ECG provides advisory services relating to new projects undertaken by Enhanced PC under additional arrangements governed by the terms of the Advisory Agreement. In exchange for those services, which commenced on January 1, 2021, ECG receives advisory fees from Enhanced PC based on a declining fixed fee schedule, that is commensurate with the level of services being performed as the projects expire. The Company allocates a portion of the consideration received under this arrangement to a financing component when it determines that a significant financing component exists. As of September 30, 2024, certain of the Company's contracts with Enhanced PC contained a significant financing component, as a result of the Company's expectation that the period between services being provided and cash collection will exceed one year. Interest income related to the identified significant financing component was $12.5 thousand and $18.1 thousand for the three and nine months ended September 30, 2024, respectively. No significant financing components were identified for the three and nine months ended September 30, 2023. As of September 30, 2024, the total advisory fees are $115.1 million over ten years. These agreements are subject to customary termination provisions. Since inception, $74.8 million of the total $115.1 million advisory fees have been recognized as revenue. There was $40.3 million in remaining performance obligations related to these agreements, which will be recognized between July 1, 2024 and December 31, 2031. For the three and nine months ended September 30, 2024, advisory fees earned or recognized under these agreements were $4.4 million and $12.8 million, respectively, and $5.3 million and $15.5 million for the three and nine months ended September 30, 2023, respectively, and is reported in management and advisory fees on the Consolidated Statements of Operations. The Company invoices Enhanced PC quarterly in arrears and earns interest on balances not paid within 30 days. Revenues from interest were $0.3 million and $0.8 million for the three and nine months ended September 30, 2024, respectively, and $0.2 million and $0.5 million for the three and nine months ended September 30, 2023, respectively, which is included in management and advisory fees on the Consolidated Statements of Operations. As of September 30, 2024 and December 31, 2023, the associated receivable was $61.3 million and $48.5 million, respectively, and is included in due from related parties on the Consolidated Balance Sheets. Payment is expected to be collected as the permanent capital subsidiaries complete and liquidate multi-year projects covered under this agreement.</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$3.8 million and $10.2 million for the three and nine months ended September 30, 2024, respectively, and $3.1 million and $9.3 million for the three and nine months ended September 30, 2023, respectively, related to this agreement within compensation and benefits on the Consolidated Statements of Operations. As of September 30, 2024 and December 31, 2023, the associated accrual was $1.7 million and $2.1 million, respectively, and is included in due to related parties on the Consolidated Balance Sheets.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$6.2 million and $10.5 million for the three and nine months ended September 30, 2024, respectively, and $1.6 million and $6.6 million for the three and nine months ended September 30, 2023, respectively, which is included in management and advisory fees on the Consolidated Statements of Operations.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6, 2022, certain funds managed by the Company purchased 4,646,840 shares of Crossroads common stock at $10.76 per share,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are directors of Crossroads and have recused themselves from any decisions related to Crossroads or CPF. The Company recognizes an annual fee from the funds of $20 thousand of which $5 thousand and $15 thousand has been recognized for the three and nine months ended September 30, 2024, respectively, which is included in management and advisory fees on the Consolidated Statements of Operations. The Company recognized $5 thousand and $15 thousand for the three and nine months ended September 30, 2023, respectively.</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$1.1 million and $3.2 million for the three and nine months ended September 30, 2024, respectively, and $1.0 million and $2.9 million for the three and nine months ended September 30, 2023, respectively.</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September 30, 2024:</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nine months ended September 30, 2024 for operating lease</w:t>
            </w:r>
          </w:p>
        </w:tc>
        <w:tc>
          <w:tcPr>
            <w:tcW w:w="42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44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September 30, 2024 are as follows:</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vMerge w:val="restart"/>
          </w:tcPr>
          <w:p>
            <w:pPr>
              <w:spacing w:after="0"/>
              <w:rPr>
                <w:sz w:val="21"/>
                <w:szCs w:val="21"/>
                <w:color w:val="auto"/>
              </w:rPr>
            </w:pPr>
          </w:p>
        </w:tc>
        <w:tc>
          <w:tcPr>
            <w:tcW w:w="5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40" w:type="dxa"/>
            <w:vAlign w:val="bottom"/>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420" w:type="dxa"/>
            <w:vAlign w:val="bottom"/>
            <w:shd w:val="clear" w:color="auto" w:fill="CFF0FC"/>
          </w:tcPr>
          <w:p>
            <w:pPr>
              <w:spacing w:after="0"/>
              <w:rPr>
                <w:sz w:val="20"/>
                <w:szCs w:val="20"/>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40" w:type="dxa"/>
            <w:vAlign w:val="bottom"/>
          </w:tcPr>
          <w:p>
            <w:pPr>
              <w:spacing w:after="0"/>
              <w:rPr>
                <w:sz w:val="24"/>
                <w:szCs w:val="24"/>
                <w:color w:val="auto"/>
              </w:rPr>
            </w:pPr>
          </w:p>
        </w:tc>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top w:val="single" w:sz="8" w:color="auto"/>
              <w:bottom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-2013585</wp:posOffset>
            </wp:positionV>
            <wp:extent cx="427736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September 30, 2024, the Company has determined that only the first two EBITDA hurdles are probable of being achieved. For the three and nine months ended September 30, 2024, $3.1 million and $9.2 million of expense, respectively, was recognized and for the three and nine months ended September 30, 2023, $6.0 million and $17.9 million was recognized, respectively, which is included in compensation and benefits in the Consolidated Statements of Operations. As of September 30, 2024 and December 31, 2023, the balance was $35.4 million and $26.2 million, respectively, which is included in accrued compensation and benefits in the Consolidated Balance Sheets. No payments have been made on the earnout.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nine months ended September 30, 2024, the Company recognized $0.5 million and $1.5 million of expense, respectively, and for the three and nine months ended September 30, 2023, $0.5 million and $1.5 million was recognized, respectively, which is included in compensation and benefits on the Consolidated Statements of Operations. As of September 30, 2024 and December 31, 2023, the balance was $3.9 million and $2.4 million, respectively, and is included in accrued compensation and benefits in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The agreements require ECG to share in certain revenues earned with the third parties and also include an option for the third parties to sell back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revenue share to ECG at a set multiple. Additionally, ECG holds the option to buy back 50% of the revenue share at a set multiple. Both options are not exercisable until a certain period of time has lapsed per the agreements.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term of the revenue share agreements. As of September 30, 2024, the Company has determined that the put options are probable of being exercised and have accrued estimated contingent liabilities and contingent payments to customers. As of September 30, 2024 and December 31, 2023, the associated liabilities were $16.2 million and $16.2 million, respectively, and are included in accrued contingent liabilities on the Consolidated Balance Sheets. The associated contingent payments to customers assets were $12.8 million and $14.0 million as of September 30, 2024 and December 31, 2023, respectively. The Company recognized $0.4 million and $1.1 million of amortization of contingent payments to customers for the three and nine months ended September 30, 2024, respectively, and $0.4 million and $1.1 million of amortization of contingent payments to customers for the three and nine months ended September 30, 2023, respectively, which is included in management and advisory fees on the Consolidated Statements of Operations. The Company will reassess each period and recognize all changes as if they occurred at inception.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the Chief Operating Officer</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William "Fritz" Souder, the Company's Chief Operating Officer ("COO"), retired from P10 in May of 2024. Associated with his retirement, the COO received $1.2 million of severance payments. As of September 30, 2024 and December 31, 2023, the Company has $0 and $1.2 million of severance payable related to the retirement, which is included in accrued compensation and benefits in the Consolidated Balance Sheets. The severance expense was accrued in the fourth quarter of 2023 and has no impact on the Consolidated Statements of Operations for the three and nine months ended September 30, 2024 and for the three and nine months ended September 30, 2023. The severance payment was made in May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16, 2024, the Company ("Buyer") entered ino an equity purchase agreement (the "Purchase Agreement") with Qualitas Equity Funds SGEIC, S.A. ("Qualitas Funds"), Qualitas Funds Holdco, S.L. ("Seller"), Sergio Garcia Huertas and Eric Todd Halverson, pursuant to which, subject to the satisfaction or waiver of specified conditions, Buyer would acquire all of the issued and outstanding equity interests of Qualitas Funds (the "Transaction").</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consideration payable to complete the transaction consists of $42.3 million in cash and 2,068,794 shares of the Company's Class A Common Stock. Of this amount of Class A Common Stock, 1,669,990 shares will be delivered at closing, with 398,804 shares being subject to a five-year holdback to cover certain indemnification obligations of the Seller during the holdback period. The number of shares to be delivered was calculated based on the daily volume weighted averages of the Class A common Stock for the 20 consecutive trading days ending on September 11, 2024 which was $10.03 per share.</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Up to an additional €31.7 million in consideration (an Earn-Out Payment") may be payable based on the run-rate net revenue as of December 31, 2027 from new funds for Qualitas Funds raised after closing. Any Earn-Out Payment will be paid in a mix of cash and Class A Common Stock at Seller's election, with no more than 65% payable in cash.</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Transaction is expected to close in the first quarter of 2025, subject to customary closing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is not available for the Company to fully determine the full year estimated impact of an item of income or tax adjustment, the Company calculates the tax impact of such item discretely.</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Based on these methodologies, the Company’s effective income tax rate was 48.49% and 32.52% for the three and nine months ended September 30, 2024, respectively. The Company's effective income tax rate was -25.90% and 30.24% for the three and nine months ended September 30, 2023, respectively. The effective tax rate differs from the federal statutory rate of 21% due to executive compensation subject to Section 162(m) limitation, capitalization of the post-letter of intent transaction costs of the stock acquisition, state taxes, and a discrete period recognition of windfall tax adjustments related to options exercised year-to-date.</w:t>
      </w:r>
    </w:p>
    <w:p>
      <w:pPr>
        <w:spacing w:after="0" w:line="21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2024, the Company has recorded a $12.8 million valuation allowance against deferred tax assets, primarily related to a note impairment. There was no change to the valuation allowance during the nine months ended September 30, 2024.</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On June 14, 2024, at the Annual Meeting of Stockholders, the shareholders authorized an increase of 11,000,000 shares that may be issued under the Plan, resulting in a total of 29,300,000 shares available for grant under the Plan and the 2018 Plan. As of September 30, 2024, there are 10,409,508 shares available for grant under the Plan.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nine months ended September 30, 2024 is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3100" w:type="dxa"/>
            <w:vAlign w:val="bottom"/>
          </w:tcPr>
          <w:p>
            <w:pPr>
              <w:spacing w:after="0"/>
              <w:rPr>
                <w:sz w:val="15"/>
                <w:szCs w:val="15"/>
                <w:color w:val="auto"/>
              </w:rPr>
            </w:pPr>
          </w:p>
        </w:tc>
        <w:tc>
          <w:tcPr>
            <w:tcW w:w="17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14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7"/>
        </w:trPr>
        <w:tc>
          <w:tcPr>
            <w:tcW w:w="3100" w:type="dxa"/>
            <w:vAlign w:val="bottom"/>
          </w:tcPr>
          <w:p>
            <w:pPr>
              <w:spacing w:after="0"/>
              <w:rPr>
                <w:sz w:val="16"/>
                <w:szCs w:val="16"/>
                <w:color w:val="auto"/>
              </w:rPr>
            </w:pPr>
          </w:p>
        </w:tc>
        <w:tc>
          <w:tcPr>
            <w:tcW w:w="17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(whole dollars)</w:t>
            </w:r>
          </w:p>
        </w:tc>
      </w:tr>
      <w:tr>
        <w:trPr>
          <w:trHeight w:val="250"/>
        </w:trPr>
        <w:tc>
          <w:tcPr>
            <w:tcW w:w="3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12,715,381</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30,872,113</w:t>
            </w:r>
          </w:p>
        </w:tc>
        <w:tc>
          <w:tcPr>
            <w:tcW w:w="100" w:type="dxa"/>
            <w:vAlign w:val="bottom"/>
            <w:shd w:val="clear" w:color="auto" w:fill="CFF0FC"/>
          </w:tcPr>
          <w:p>
            <w:pPr>
              <w:spacing w:after="0"/>
              <w:rPr>
                <w:sz w:val="22"/>
                <w:szCs w:val="22"/>
                <w:color w:val="auto"/>
              </w:rPr>
            </w:pPr>
          </w:p>
        </w:tc>
      </w:tr>
      <w:tr>
        <w:trPr>
          <w:trHeight w:val="250"/>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2,536,717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(607,405 )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(1,207,827 )</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13,436,866</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Borders>
              <w:bottom w:val="single" w:sz="8" w:color="CFF0FC"/>
            </w:tcBorders>
            <w:shd w:val="clear" w:color="auto" w:fill="CFF0FC"/>
          </w:tcPr>
          <w:p>
            <w:pPr>
              <w:spacing w:after="0"/>
              <w:rPr>
                <w:sz w:val="24"/>
                <w:szCs w:val="24"/>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33,514,672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2,081,677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12,140,396</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-205105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-187960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-205105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-187960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-205105</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$1.8 million and $7.1 million for the three and nine months ended September 30, 2024, respectively, and $1.9 million and $5.3 million for the three and nine months ended September 30, 2023, respectively. Unrecognized stock-based compensation expense related to outstanding unvested stock options as of September 30, 2024 was $11.6 million and is expected to be recognized over a weighted average period of 2.83 years. Any future forfeitures will impact this amount.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in calculating the fair value of stock options granted during the nine months ended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were as follows:</w:t>
      </w:r>
    </w:p>
    <w:p>
      <w:pPr>
        <w:spacing w:after="0" w:line="228"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87"/>
        </w:trPr>
        <w:tc>
          <w:tcPr>
            <w:tcW w:w="522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37.50 %</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38.33 %</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4.23 %</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-299720</wp:posOffset>
            </wp:positionV>
            <wp:extent cx="484314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43145" cy="154305"/>
                    </a:xfrm>
                    <a:prstGeom prst="rect">
                      <a:avLst/>
                    </a:prstGeom>
                    <a:noFill/>
                  </pic:spPr>
                </pic:pic>
              </a:graphicData>
            </a:graphic>
          </wp:anchor>
        </w:drawing>
      </w:r>
    </w:p>
    <w:p>
      <w:pPr>
        <w:spacing w:after="0" w:line="19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awards ("RSAs") to certain non-employee directors. Holders of RSAs have no voting rights and accrue dividends until vesting with payment being made once they vest. All of the shares currently vest one year from the grant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40" w:type="dxa"/>
            <w:vAlign w:val="bottom"/>
          </w:tcPr>
          <w:p>
            <w:pPr>
              <w:spacing w:after="0"/>
              <w:rPr>
                <w:sz w:val="16"/>
                <w:szCs w:val="16"/>
                <w:color w:val="auto"/>
              </w:rPr>
            </w:pPr>
          </w:p>
        </w:tc>
        <w:tc>
          <w:tcPr>
            <w:tcW w:w="1860" w:type="dxa"/>
            <w:vAlign w:val="bottom"/>
            <w:tcBorders>
              <w:bottom w:val="single" w:sz="8" w:color="auto"/>
            </w:tcBorders>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100" w:type="dxa"/>
            <w:vAlign w:val="bottom"/>
          </w:tcPr>
          <w:p>
            <w:pPr>
              <w:spacing w:after="0"/>
              <w:rPr>
                <w:sz w:val="16"/>
                <w:szCs w:val="16"/>
                <w:color w:val="auto"/>
              </w:rPr>
            </w:pPr>
          </w:p>
        </w:tc>
      </w:tr>
      <w:tr>
        <w:trPr>
          <w:trHeight w:val="236"/>
        </w:trPr>
        <w:tc>
          <w:tcPr>
            <w:tcW w:w="7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3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47"/>
        </w:trPr>
        <w:tc>
          <w:tcPr>
            <w:tcW w:w="7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(32,722 )</w:t>
            </w: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8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3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74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5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-864870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-847725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units ("RSUs") to certain employees. Holders of RSUs have no voting rights but generally are eligible to receive dividends or other distributions paid with respect to any RSUs that have not vested. Most of the shares currently vest one year from the grant date excluding the Hark, Bonaccord, and Executive Market Units, which are discussed in more detail below.</w:t>
      </w:r>
    </w:p>
    <w:p>
      <w:pPr>
        <w:spacing w:after="0" w:line="176"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value of $17.5 million of units may vest at each future achievement of performance metrics. As of September 30, 2024, certain performance metrics have been met and specific employees have earned $11.3 million in value, which $6.6 million was issued in shares and $4.7 million was issued in cash. The Company evaluates whether it is probable that the Bonaccord Units will vest and applies the tranche method to determine the amount of expense to recognize during the period. Future vested tranches will be settled in cash. An expense of $3.1 million and $3.2 million has been recorded for the three and nine months ended September 30, 2024, respectively, and $0.4 million and $5.6 million for the three and nine months ended September 30, 2023 on the Consolidated Statements of Operations. As of September 30, 2024, the Company deemed $16.1 million probable and $0.3 million is unrecognized expense.</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An expense of $0 has been recorded for the three and nine months ended September 30, 2024, and $0 and $0.3 million for the three and nine months ended September 30, 2023, respectively, on the Consolidated Statements of Operations.</w:t>
      </w:r>
    </w:p>
    <w:p>
      <w:pPr>
        <w:spacing w:after="0" w:line="183"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w:t>
      </w:r>
    </w:p>
    <w:p>
      <w:pPr>
        <w:spacing w:after="0" w:line="5" w:lineRule="exact"/>
        <w:rPr>
          <w:sz w:val="20"/>
          <w:szCs w:val="20"/>
          <w:color w:val="auto"/>
        </w:rPr>
      </w:pPr>
    </w:p>
    <w:p>
      <w:pPr>
        <w:ind w:firstLine="8"/>
        <w:spacing w:after="0" w:line="253"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$4.0 million has been issued. For the three and nine months ended September 30, 2024, $1.8 million and $3.0 million of stock compensation expense, respectively, was recognized on the Consolidated Statements of Operations. No stock compensation expense for these units was incurred for the three and nine months ended September 30, 2023. The unrecognized expense associated with the Executive Transition Units was $0.5 million as of September 30, 2024.</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September 30, 2024, none of the Executive Market Units have vested. For the three and nine months ended September 30, 2024, $0.6 million and $2.0 million of stock compensation expense was recognized on the Consolidated Statements of Operations. No stock compensation expense for these units was incurred for the three and nine months ended September 30, 2023. The unrecognized expense associated with the Executive Market Units was $8.3 million as of September 30, 2024.</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286" w:lineRule="exact"/>
        <w:rPr>
          <w:sz w:val="20"/>
          <w:szCs w:val="20"/>
          <w:color w:val="auto"/>
        </w:rPr>
      </w:pPr>
    </w:p>
    <w:tbl>
      <w:tblPr>
        <w:tblLayout w:type="fixed"/>
        <w:tblInd w:w="182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23, 2023</w:t>
            </w:r>
          </w:p>
        </w:tc>
        <w:tc>
          <w:tcPr>
            <w:tcW w:w="0" w:type="dxa"/>
            <w:vAlign w:val="bottom"/>
          </w:tcPr>
          <w:p>
            <w:pPr>
              <w:spacing w:after="0"/>
              <w:rPr>
                <w:sz w:val="1"/>
                <w:szCs w:val="1"/>
                <w:color w:val="auto"/>
              </w:rPr>
            </w:pPr>
          </w:p>
        </w:tc>
      </w:tr>
      <w:tr>
        <w:trPr>
          <w:trHeight w:val="23"/>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00" w:type="dxa"/>
            <w:vAlign w:val="bottom"/>
            <w:vMerge w:val="continue"/>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 Executive Transition Units that have not vested and are recorded as a liability, and Bonaccord or Hark Units that were issued outside of the Plan, that have not vested and are recorded as a liability or vested and settled in cash.</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540" w:type="dxa"/>
            <w:vAlign w:val="bottom"/>
          </w:tcPr>
          <w:p>
            <w:pPr>
              <w:spacing w:after="0"/>
              <w:rPr>
                <w:sz w:val="16"/>
                <w:szCs w:val="16"/>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r>
      <w:tr>
        <w:trPr>
          <w:trHeight w:val="232"/>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1,418,094</w:t>
            </w:r>
          </w:p>
        </w:tc>
        <w:tc>
          <w:tcPr>
            <w:tcW w:w="3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1,241,344</w:t>
            </w:r>
          </w:p>
        </w:tc>
        <w:tc>
          <w:tcPr>
            <w:tcW w:w="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(750,714 )</w:t>
            </w:r>
          </w:p>
        </w:tc>
        <w:tc>
          <w:tcPr>
            <w:tcW w:w="3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(3,819 )</w:t>
            </w:r>
          </w:p>
        </w:tc>
        <w:tc>
          <w:tcPr>
            <w:tcW w:w="30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21"/>
                <w:szCs w:val="21"/>
                <w:color w:val="auto"/>
              </w:rPr>
            </w:pPr>
          </w:p>
        </w:tc>
      </w:tr>
      <w:tr>
        <w:trPr>
          <w:trHeight w:val="236"/>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7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1,904,905</w:t>
            </w:r>
          </w:p>
        </w:tc>
        <w:tc>
          <w:tcPr>
            <w:tcW w:w="3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top w:val="single" w:sz="8" w:color="CFF0FC"/>
            </w:tcBorders>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nine months ended September 30, 2024,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22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6"/>
                <w:szCs w:val="16"/>
                <w:color w:val="auto"/>
              </w:rPr>
            </w:pPr>
          </w:p>
        </w:tc>
        <w:tc>
          <w:tcPr>
            <w:tcW w:w="22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72"/>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Numerator for basic calculation—Net income/(loss)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basic calculation—Net income/(loss)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(8,416 )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(6,048 )</w:t>
            </w: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income/(loss) attributable to noncontrolling interests in P10</w:t>
            </w:r>
          </w:p>
        </w:tc>
        <w:tc>
          <w:tcPr>
            <w:tcW w:w="26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(73 )</w:t>
            </w:r>
          </w:p>
        </w:tc>
        <w:tc>
          <w:tcPr>
            <w:tcW w:w="28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(334 )</w:t>
            </w: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Intermediate</w:t>
            </w:r>
          </w:p>
        </w:tc>
        <w:tc>
          <w:tcPr>
            <w:tcW w:w="26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Numerator for earnings/(loss) per share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earnings/(loss) per share assuming dilution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(8,750 )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(5,879 )</w:t>
            </w:r>
          </w:p>
        </w:tc>
        <w:tc>
          <w:tcPr>
            <w:tcW w:w="0" w:type="dxa"/>
            <w:vAlign w:val="bottom"/>
          </w:tcPr>
          <w:p>
            <w:pPr>
              <w:spacing w:after="0"/>
              <w:rPr>
                <w:sz w:val="1"/>
                <w:szCs w:val="1"/>
                <w:color w:val="auto"/>
              </w:rPr>
            </w:pPr>
          </w:p>
        </w:tc>
      </w:tr>
      <w:tr>
        <w:trPr>
          <w:trHeight w:val="219"/>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Denominator for basic calculation—Weighted-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average shares outstanding, basic attributable to P10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112,954</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earnings/(loss)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Earnings/(loss) per Class A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Earnings/(loss) per Class A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Earnings/(loss) per Class B share—basic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Earnings/(loss) per Class B share—diluted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-2025650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-2025650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-2025650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-2025650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-1691005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-1691005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-1691005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-1691005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-799465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-799465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-799465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-799465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computations of diluted earnings per share on a weighted average basis would exclude 8.1 million and 10.1 million options for the three and nine months ended September 30, 2024, respectively, because the options were anti-dilutive. The computations of diluted earnings per share on a weighted average basis exclude 1.8 million and 3.2 million options for the three and nine months ended September 30, 2023, respectively, because the options were anti-dilutive.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has declared a quarterly cash dividend of $0.035 per share of Class A and Class B common stock, payable on December 20, 2024, to the holders of record as of the close of business on November 29,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Robert Alpert and C. Clark Webb resigned from the Company's Board of Directors, effective November 7, 2024.</w:t>
      </w:r>
    </w:p>
    <w:p>
      <w:pPr>
        <w:spacing w:after="0" w:line="223"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evaluated all material events or transactions that occurred after September 30, 2024, the Consolidated Balance Sheets date, through the date the Consolidated Financial Statements were issued, and determined there have been no additional events or transactions that would materially impact the Consolidated Financial Statements.</w:t>
      </w:r>
    </w:p>
    <w:p>
      <w:pPr>
        <w:spacing w:after="0" w:line="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2023, particularly in "Risk Factors" and the "Forward-Looking Information." Unless otherwise indicated, references in this Quarterly Report on Form 10-Q to fiscal 2024 and 2023 are to our fiscal years ended December 31, 2024 and 2023, respectively.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servicing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Effective June 14, 2024, Mr. Alpert resigned as Executive Chairman and the board of the Company appointed CEO and President Mr. Sarsfield to Chairman of the Board. In connection with Mr. Alpert's resignation as Executive Chairman, the Company and Mr. Alpert agreed to the early termination of Mr. Alpert's Transition Agreement. The associated expenses were recorded in compensation and benefits on the Consolidated Statements of Operations. Mr. Webb's Transition Agreement terminated in accordance with its terms on October 23, 2024.</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2024, our private market solutions were comprised of the following:</w:t>
      </w:r>
    </w:p>
    <w:p>
      <w:pPr>
        <w:spacing w:after="0" w:line="115" w:lineRule="exact"/>
        <w:rPr>
          <w:sz w:val="20"/>
          <w:szCs w:val="20"/>
          <w:color w:val="auto"/>
        </w:rPr>
      </w:pPr>
    </w:p>
    <w:p>
      <w:pPr>
        <w:ind w:left="1020" w:right="20" w:hanging="503"/>
        <w:spacing w:after="0" w:line="25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PES also makes minority equity investments in a diversified portfolio of mid-sized managers across private equity, private credit, real estate and real assets. The PES investment team, which is comprised of 43 investment professionals with an average of 26+ years of experience, has deep and long-standing investor and fund manager relationships in the middle and lower-middle market which it has cultivated over the past 20 years, including over 2,120+ investors, 285+ fund managers, 550+ private market funds and 5,100+ portfolio companies. We have 57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5,880 investment firms, 10,700 funds, 48,000 individual transactions, 32,000 private companies and 334,000 financial metrics. As of September 30, 2024, PES managed $13.4 billion of Fee-Paying Assets Under Management ("FPAUM").</w:t>
      </w:r>
    </w:p>
    <w:p>
      <w:pPr>
        <w:spacing w:after="0" w:line="83"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high-performing, access-constrained opportunities. The VCS investment team, which is comprised of 15 investment professionals with an average of 24+ years of experience, has deep</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020"/>
        <w:spacing w:after="0" w:line="256" w:lineRule="auto"/>
        <w:rPr>
          <w:sz w:val="20"/>
          <w:szCs w:val="20"/>
          <w:color w:val="auto"/>
        </w:rPr>
      </w:pPr>
      <w:r>
        <w:rPr>
          <w:rFonts w:ascii="Times New Roman" w:cs="Times New Roman" w:eastAsia="Times New Roman" w:hAnsi="Times New Roman"/>
          <w:sz w:val="18"/>
          <w:szCs w:val="18"/>
          <w:color w:val="auto"/>
        </w:rPr>
        <w:t>and long-standing investor and fund manager relationships in the venture market which it has cultivated over the past 14+ years, including over 1,900+ investors, 90+ fund managers, 95+ direct investments, 385+ private market funds and 13,100+ portfolio companies. We have 20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2024, VCS managed $6.4 billion of FPAUM.</w:t>
      </w:r>
    </w:p>
    <w:p>
      <w:pPr>
        <w:spacing w:after="0" w:line="77" w:lineRule="exact"/>
        <w:rPr>
          <w:sz w:val="20"/>
          <w:szCs w:val="20"/>
          <w:color w:val="auto"/>
        </w:rPr>
      </w:pPr>
    </w:p>
    <w:p>
      <w:pPr>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55 investment professionals with an average of 25+ years of experience, has deep and long-standing relationships in the private credit market which it has cultivated over the past 22 years, including 420+ investors across 50 active investment vehicles and 1,800+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655 credit opportunities annually. We currently maintain 80+ active sponsor relationships and have 120+ platform investments. Within PCS, the Company has investments that target renewable energy development and historic building renovation projects, as well as providing capital to small businesses that are women or minority owned or operating in underserved communities. These investments are differentiated in both the breadth of impact areas served, the type of capital deployed and the duration of the impact investing track record. From the impact investing inception in 1999 through September 30, 2024, inclusive of proprietary assets and assets managed by affiliates, Enhanced Capital has raised a total of $6.3 billion. Of the total AUM, impact assets represent $4.2 billion invested in over 950 projects and businesses across 40 states, Washington DC, and Puerto Rico and does not include investments made by non-impact affiliates. Investments in clean energy have generated an estimate of over 2,229 GWh of renewable energy from inception to December 31, 2023. As of September 30, 2024, PCS managed approximately $5.1 billion of FPAUM.</w:t>
      </w:r>
    </w:p>
    <w:p>
      <w:pPr>
        <w:spacing w:after="0" w:line="19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2022, the Board approved a program to repurchase up to $40.0 million of outstanding shares of our Class A and Class B common stock. Upon completion of purchases under the prior authorizations, on February 27, 2024, the Board of Directors authorized an additional $40.0 million for repurchases under the Stock Repurchase Program. On August 6, 2024, the Board of Directors authorized an additional $12.0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September 30, 2024, $78.1 million has been spent to buy back shares under this program.</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0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right="8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$13.7 billion of our FPAUM as of September 30, 2024.</w:t>
      </w:r>
    </w:p>
    <w:p>
      <w:pPr>
        <w:spacing w:after="0" w:line="76" w:lineRule="exact"/>
        <w:rPr>
          <w:rFonts w:ascii="Times New Roman" w:cs="Times New Roman" w:eastAsia="Times New Roman" w:hAnsi="Times New Roman"/>
          <w:sz w:val="18"/>
          <w:szCs w:val="18"/>
          <w:color w:val="auto"/>
        </w:rPr>
      </w:pPr>
    </w:p>
    <w:p>
      <w:pPr>
        <w:ind w:left="1020" w:right="660" w:hanging="503"/>
        <w:spacing w:after="0" w:line="28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5" w:name="page36"/>
    <w:bookmarkEnd w:id="35"/>
    <w:p>
      <w:pPr>
        <w:ind w:left="1020"/>
        <w:spacing w:after="0" w:line="254" w:lineRule="auto"/>
        <w:rPr>
          <w:sz w:val="20"/>
          <w:szCs w:val="20"/>
          <w:color w:val="auto"/>
        </w:rPr>
      </w:pPr>
      <w:r>
        <w:rPr>
          <w:rFonts w:ascii="Times New Roman" w:cs="Times New Roman" w:eastAsia="Times New Roman" w:hAnsi="Times New Roman"/>
          <w:sz w:val="18"/>
          <w:szCs w:val="18"/>
          <w:color w:val="auto"/>
        </w:rPr>
        <w:t>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$9.6 billion of our FPAUM as of September 30, 2024.</w:t>
      </w:r>
    </w:p>
    <w:p>
      <w:pPr>
        <w:spacing w:after="0" w:line="82" w:lineRule="exact"/>
        <w:rPr>
          <w:sz w:val="20"/>
          <w:szCs w:val="20"/>
          <w:color w:val="auto"/>
        </w:rPr>
      </w:pPr>
    </w:p>
    <w:p>
      <w:pPr>
        <w:ind w:left="1020" w:right="80" w:hanging="503"/>
        <w:spacing w:after="0" w:line="25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Secondaries. </w:t>
      </w:r>
      <w:r>
        <w:rPr>
          <w:rFonts w:ascii="Times New Roman" w:cs="Times New Roman" w:eastAsia="Times New Roman" w:hAnsi="Times New Roman"/>
          <w:sz w:val="18"/>
          <w:szCs w:val="18"/>
          <w:color w:val="auto"/>
        </w:rPr>
        <w:t>Secondaries refer to investments in existing private markets funds through the acquisition of an existing interest in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September 30, 2024.</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 interest rates and the global economy outlook remaining uncertain, we continue to see investors turning towards alternative investments to achieve consistent and higher yields with our contractually guaranteed fee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right="20" w:hanging="503"/>
        <w:spacing w:after="0" w:line="269"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Accelerating demand for private markets solutions. </w:t>
      </w:r>
      <w:r>
        <w:rPr>
          <w:rFonts w:ascii="Times New Roman" w:cs="Times New Roman" w:eastAsia="Times New Roman" w:hAnsi="Times New Roman"/>
          <w:sz w:val="17"/>
          <w:szCs w:val="17"/>
          <w:color w:val="auto"/>
        </w:rPr>
        <w:t>Our ability to attract new capital is dependent on investor demand for private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1" w:lineRule="exact"/>
        <w:rPr>
          <w:rFonts w:ascii="Times New Roman" w:cs="Times New Roman" w:eastAsia="Times New Roman" w:hAnsi="Times New Roman"/>
          <w:sz w:val="17"/>
          <w:szCs w:val="17"/>
          <w:color w:val="auto"/>
        </w:rPr>
      </w:pPr>
    </w:p>
    <w:p>
      <w:pPr>
        <w:ind w:left="1020"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75" w:lineRule="exact"/>
        <w:rPr>
          <w:rFonts w:ascii="Times New Roman" w:cs="Times New Roman" w:eastAsia="Times New Roman" w:hAnsi="Times New Roman"/>
          <w:sz w:val="17"/>
          <w:szCs w:val="17"/>
          <w:color w:val="auto"/>
        </w:rPr>
      </w:pPr>
    </w:p>
    <w:p>
      <w:pPr>
        <w:ind w:left="1020" w:right="60" w:hanging="503"/>
        <w:spacing w:after="0" w:line="25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503" w:right="60"/>
        <w:spacing w:after="0" w:line="282" w:lineRule="auto"/>
        <w:rPr>
          <w:sz w:val="20"/>
          <w:szCs w:val="20"/>
          <w:color w:val="auto"/>
        </w:rPr>
      </w:pPr>
      <w:r>
        <w:rPr>
          <w:rFonts w:ascii="Times New Roman" w:cs="Times New Roman" w:eastAsia="Times New Roman" w:hAnsi="Times New Roman"/>
          <w:sz w:val="18"/>
          <w:szCs w:val="18"/>
          <w:color w:val="auto"/>
        </w:rPr>
        <w:t>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52" w:lineRule="exact"/>
        <w:rPr>
          <w:sz w:val="20"/>
          <w:szCs w:val="20"/>
          <w:color w:val="auto"/>
        </w:rPr>
      </w:pPr>
    </w:p>
    <w:p>
      <w:pPr>
        <w:ind w:left="503" w:right="80" w:hanging="503"/>
        <w:spacing w:after="0" w:line="253"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 geographic reach and grow private markets network effect. </w:t>
      </w:r>
      <w:r>
        <w:rPr>
          <w:rFonts w:ascii="Times New Roman" w:cs="Times New Roman" w:eastAsia="Times New Roman" w:hAnsi="Times New Roman"/>
          <w:sz w:val="18"/>
          <w:szCs w:val="18"/>
          <w:color w:val="auto"/>
        </w:rPr>
        <w:t>Our ability to continue growing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81" w:lineRule="exact"/>
        <w:rPr>
          <w:rFonts w:ascii="Times New Roman" w:cs="Times New Roman" w:eastAsia="Times New Roman" w:hAnsi="Times New Roman"/>
          <w:sz w:val="18"/>
          <w:szCs w:val="18"/>
          <w:color w:val="auto"/>
        </w:rPr>
      </w:pPr>
    </w:p>
    <w:p>
      <w:pPr>
        <w:ind w:left="503" w:right="14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regulatory requirements and political uncertainty. </w:t>
      </w:r>
      <w:r>
        <w:rPr>
          <w:rFonts w:ascii="Times New Roman" w:cs="Times New Roman" w:eastAsia="Times New Roman" w:hAnsi="Times New Roman"/>
          <w:sz w:val="18"/>
          <w:szCs w:val="18"/>
          <w:color w:val="auto"/>
        </w:rPr>
        <w:t>The complex regulatory and tax environment could restrict our operations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spacing w:after="0" w:line="74"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equity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503" w:right="40" w:hanging="503"/>
        <w:spacing w:after="0" w:line="25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503" w:hanging="503"/>
        <w:spacing w:after="0" w:line="261"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w:t>
      </w:r>
    </w:p>
    <w:p>
      <w:pPr>
        <w:spacing w:after="0" w:line="74"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37" w:name="page38"/>
    <w:bookmarkEnd w:id="37"/>
    <w:p>
      <w:pPr>
        <w:ind w:left="1020" w:right="640"/>
        <w:spacing w:after="0" w:line="282" w:lineRule="auto"/>
        <w:rPr>
          <w:sz w:val="20"/>
          <w:szCs w:val="20"/>
          <w:color w:val="auto"/>
        </w:rPr>
      </w:pPr>
      <w:r>
        <w:rPr>
          <w:rFonts w:ascii="Times New Roman" w:cs="Times New Roman" w:eastAsia="Times New Roman" w:hAnsi="Times New Roman"/>
          <w:sz w:val="18"/>
          <w:szCs w:val="18"/>
          <w:color w:val="auto"/>
        </w:rPr>
        <w:t>investors access to access-constrained investment opportunities, investors may favor our strategies as they make decisions on market exposure and allocation levels.</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Counter-cyclical strategies can thrive in a higher-rate environment. </w:t>
      </w:r>
      <w:r>
        <w:rPr>
          <w:rFonts w:ascii="Times New Roman" w:cs="Times New Roman" w:eastAsia="Times New Roman" w:hAnsi="Times New Roman"/>
          <w:sz w:val="18"/>
          <w:szCs w:val="18"/>
          <w:color w:val="auto"/>
        </w:rPr>
        <w:t>Some strategies are counter-cyclical in nature and can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We earn management and advisory fees based on a percentage of investors’ capital commitments in or, in select cases,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Both options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Interest expense, net includes interest paid and accrued on our outstanding debt, along with the amortization of deferred financing costs. Other income (loss) includes any income from unconsolidated subsidiaries, interest income earned from bank accounts across management companies, and any accrued expenses related to litigation and regulatory activity as necessary, which would be discussed in Note 13 of our Consolidated Financial Statements.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and nine months ended September 30, 2024 and September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For the nine months</w:t>
            </w:r>
          </w:p>
        </w:tc>
        <w:tc>
          <w:tcPr>
            <w:tcW w:w="940" w:type="dxa"/>
            <w:vAlign w:val="bottom"/>
          </w:tcPr>
          <w:p>
            <w:pPr>
              <w:spacing w:after="0"/>
              <w:rPr>
                <w:sz w:val="12"/>
                <w:szCs w:val="12"/>
                <w:color w:val="auto"/>
              </w:rPr>
            </w:pPr>
          </w:p>
        </w:tc>
      </w:tr>
      <w:tr>
        <w:trPr>
          <w:trHeight w:val="166"/>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ended September 30,</w:t>
            </w:r>
          </w:p>
        </w:tc>
        <w:tc>
          <w:tcPr>
            <w:tcW w:w="94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 Change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Change</w:t>
            </w:r>
          </w:p>
        </w:tc>
      </w:tr>
      <w:tr>
        <w:trPr>
          <w:trHeight w:val="156"/>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thousands)</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w:t>
            </w:r>
          </w:p>
        </w:tc>
        <w:tc>
          <w:tcPr>
            <w:tcW w:w="1020" w:type="dxa"/>
            <w:vAlign w:val="bottom"/>
            <w:gridSpan w:val="3"/>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82"/>
              </w:rPr>
              <w:t>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Management and advisory fees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72,595</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58,078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14,517</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206,192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176,322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29,870</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17%</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2,897</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124%</w:t>
            </w:r>
          </w:p>
        </w:tc>
      </w:tr>
      <w:tr>
        <w:trPr>
          <w:trHeight w:val="155"/>
        </w:trPr>
        <w:tc>
          <w:tcPr>
            <w:tcW w:w="3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74,243</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58,942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15,301</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211,434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178,667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32,767</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18%</w:t>
            </w:r>
          </w:p>
        </w:tc>
      </w:tr>
      <w:tr>
        <w:trPr>
          <w:trHeight w:val="162"/>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42,531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115,893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114,128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5,812</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62%</w:t>
            </w: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6,606</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19,680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15,209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4,471</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29%</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(390 )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w:t>
            </w:r>
          </w:p>
        </w:tc>
      </w:tr>
      <w:tr>
        <w:trPr>
          <w:trHeight w:val="162"/>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(882 )</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19,312</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(2,581 )</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(12)%</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103%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93%</w:t>
            </w:r>
          </w:p>
        </w:tc>
      </w:tr>
      <w:tr>
        <w:trPr>
          <w:trHeight w:val="156"/>
        </w:trPr>
        <w:tc>
          <w:tcPr>
            <w:tcW w:w="31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65,417</w:t>
            </w:r>
          </w:p>
        </w:tc>
        <w:tc>
          <w:tcPr>
            <w:tcW w:w="2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58,559</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6,858</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173,670</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163,089</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10,581</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2"/>
              </w:rPr>
              <w:t>6%</w:t>
            </w:r>
          </w:p>
        </w:tc>
      </w:tr>
      <w:tr>
        <w:trPr>
          <w:trHeight w:val="315"/>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8,443</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2,204%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37,764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142%</w:t>
            </w:r>
          </w:p>
        </w:tc>
      </w:tr>
      <w:tr>
        <w:trPr>
          <w:trHeight w:val="164"/>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323"/>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(6,692 )</w:t>
            </w:r>
          </w:p>
        </w:tc>
        <w:tc>
          <w:tcPr>
            <w:tcW w:w="2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(5,482 )</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(1,210 )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(18,583 )</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(16,080 )</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(2,503 )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16%</w:t>
            </w:r>
          </w:p>
        </w:tc>
      </w:tr>
      <w:tr>
        <w:trPr>
          <w:trHeight w:val="163"/>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income/(loss)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(1,851 )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(2,570 )</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4,086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r>
        <w:trPr>
          <w:trHeight w:val="156"/>
        </w:trPr>
        <w:tc>
          <w:tcPr>
            <w:tcW w:w="31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(6,238 )</w:t>
            </w:r>
          </w:p>
        </w:tc>
        <w:tc>
          <w:tcPr>
            <w:tcW w:w="2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(7,333 )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(17,067 )</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(18,650 )</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w:t>
            </w:r>
          </w:p>
        </w:tc>
      </w:tr>
      <w:tr>
        <w:trPr>
          <w:trHeight w:val="20"/>
        </w:trPr>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6"/>
        </w:trPr>
        <w:tc>
          <w:tcPr>
            <w:tcW w:w="3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income/(losses) before income taxes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2,588</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(6,950 )</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9,538</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20,697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(3,072 )</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23,769</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r>
      <w:tr>
        <w:trPr>
          <w:trHeight w:val="162"/>
        </w:trPr>
        <w:tc>
          <w:tcPr>
            <w:tcW w:w="31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(1,255 )</w:t>
            </w:r>
          </w:p>
        </w:tc>
        <w:tc>
          <w:tcPr>
            <w:tcW w:w="2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(1,800 )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(6,731 )</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(2,807 )</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(3,924 )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140%</w:t>
            </w:r>
          </w:p>
        </w:tc>
      </w:tr>
      <w:tr>
        <w:trPr>
          <w:trHeight w:val="20"/>
        </w:trPr>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5"/>
        </w:trPr>
        <w:tc>
          <w:tcPr>
            <w:tcW w:w="31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INCOME/(LOSS)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1,333</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(8,750 )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10,083</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N/A</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13,966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center"/>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(5,879 )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19,845</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N/A</w:t>
            </w: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-1190625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-1190625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-1190625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-1190625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-1190625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-462280</wp:posOffset>
            </wp:positionV>
            <wp:extent cx="768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-462280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-462280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-462280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-462280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-462280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-7620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total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September 30, 2024 and September 30, 2023. For the three months ended September 30, 2024 compared to the three months ended September 30, 2023, revenues increased by $15.3 million or 26% due to organic FPAUM growth across Bonaccord, Enhanced, RCP, and WTI.</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$14.5 million, or 25%, to $72.6 million for the three months ended September 30, 2024 as compared to the three months ended September 30, 2023 due primarily to organic FPAUM growth generating revenues of $14.7 million at Bonaccord, Enhanced, RCP and WTI. Catch-up fees for the three months ended September 30, 2024 were $6.2 million of the $72.6 million in management and advisory fees associated with the fund closings at Bonaccord and RCP.</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$0.8 million or 91% to $1.6 million for the three months ended September 30, 2024 as compared to the three months ended September 30, 2023 driven by $0.6 million increase in ancillary elements of our business. Additionally, an increase of $0.2 million of interest income in other revenue at RCP.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nine months ended September 30, 2024 and September 30, 2023. For the nine months ended September 30, 2024 compared to the nine months ended September 30, 2023, revenues increased by $32.8 million or 18% primarily due to organic FPAUM growth across Bonaccord, Enhanced, RCP, WTI, and TrueBridge.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$29.9 million, or 17%, to $206.2 million for the nine months ended September 30, 2024 as compared to the nine months ended September 30, 2023 due to organic FPAUM growth at Bonaccord, Enhanced, WTI, and TrueBridge of $30.2 million offset slightly by a decrease of $0.7 million in management fees at Five Points. Catch-up fees for the nine months ended September 30, 2024 were $20.0 million associated with the fund closings at Bonaccord, TrueBridge and RCP.</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0" w:name="page41"/>
    <w:bookmarkEnd w:id="40"/>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revenues increased by $2.9 million or 124% to $5.2 million for the nine months ended September 30, 2024 as compared to the nine months ended September 30, 2023 primarily driven by $2.0 million of recognized carried interest income from an uncommon pre-acquisition legacy managed fund in other revenue and an increase of $0.6 million of interest income in other revenue at RCP.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7"/>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r>
      <w:tr>
        <w:trPr>
          <w:trHeight w:val="237"/>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20"/>
                <w:szCs w:val="20"/>
                <w:color w:val="auto"/>
              </w:rPr>
            </w:pPr>
          </w:p>
        </w:tc>
        <w:tc>
          <w:tcPr>
            <w:tcW w:w="170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42,175</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29 %</w:t>
            </w: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expense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(882 )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(2,581 )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4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103 %</w:t>
            </w: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93 %</w:t>
            </w:r>
          </w:p>
        </w:tc>
      </w:tr>
      <w:tr>
        <w:trPr>
          <w:trHeight w:val="226"/>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65,417</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173,670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10,581</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r>
      <w:tr>
        <w:trPr>
          <w:trHeight w:val="20"/>
        </w:trPr>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-1054100</wp:posOffset>
            </wp:positionV>
            <wp:extent cx="713232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45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5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$6.9 million, or 12%, to $65.4 million for the three months ended September 30, 2024 compared to the three months ended September 30, 2023. This increase was primarily due to an increase in professional fees as well as general, administrative, and other expenses.</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was relatively unchanged for the three months ended September 30, 2024 compared to the three months ended September 30, 2023. There was a decrease in severance expense of $2.3 million and a decrease in stock compensation of $1.3 million primarily driven by a decrease in management stock compensation expense acceleration related to the executive transition that occurred in October 2023 offset by an increase in the remeasurement for the fair value of the Bonaccord Units related to the acquisition of Bonaccord. The Bonaccord Units, which are recognized using the tranche method, had an increase in expense for the three months ended September 30, 2024 compared to the three months ended September 30, 2023. These decreases were offset by a $1.8 million increase in profit and revenue share expense at Bonaccord and $1.3 million increase related to increases in headcount and associated benefits across the Company as well as merit-based salary raises to retain and motivate talent across the Company.</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increased by $5.8 million, or 173%, to $9.2 million. The primary increase in professional fees for the three months ended September 30, 2024 compared to the three months ended September 30, 2023 is primarily driven by an increase in professional and legal fees associated with the Company's debt refinancing as well as the Company's transitions related to turnover at the management level, office locations, policies, as well as normal course of business such as filings and due diligence for acquisitions.</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$1.3 million, or 24%, to $6.6 million, due primarily to $0.5 million increase of placement agent fees at Hark, $0.4 million increase in marketing efforts, as well as $0.4 million ongoing enhancements to infrastructure, technology, and security across the Company.</w:t>
      </w:r>
    </w:p>
    <w:p>
      <w:pPr>
        <w:spacing w:after="0" w:line="176"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Amortization of intangibles decreased by $0.9 million, or 12%, to $6.4 million, for the three months ended September 30, 2024 as compared to the three months ended September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by $10.6 million, or 6%, to $173.7 million for the nine months ended September 30, 2024 compared to the nine months ended September 30, 2023. This increase was primarily due to increases in compensation and benefits, general, administrative and other expense, professional fees, and strategic alliance expense offset slightly by a decrease in amortization of intangibles.</w:t>
      </w:r>
    </w:p>
    <w:p>
      <w:pPr>
        <w:spacing w:after="0" w:line="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9" w:right="239" w:bottom="1440" w:gutter="0" w:footer="0" w:header="0"/>
        </w:sectPr>
      </w:pPr>
    </w:p>
    <w:bookmarkStart w:id="41" w:name="page42"/>
    <w:bookmarkEnd w:id="41"/>
    <w:p>
      <w:pPr>
        <w:ind w:firstLine="509"/>
        <w:spacing w:after="0" w:line="253" w:lineRule="auto"/>
        <w:rPr>
          <w:sz w:val="20"/>
          <w:szCs w:val="20"/>
          <w:color w:val="auto"/>
        </w:rPr>
      </w:pPr>
      <w:r>
        <w:rPr>
          <w:rFonts w:ascii="Times New Roman" w:cs="Times New Roman" w:eastAsia="Times New Roman" w:hAnsi="Times New Roman"/>
          <w:sz w:val="18"/>
          <w:szCs w:val="18"/>
          <w:color w:val="auto"/>
        </w:rPr>
        <w:t>Compensation and benefits expense increased by $1.8 million, or 2%, to $115.9 million, for the nine months ended September 30, 2024 compared to the nine months ended September 30, 2023. The increase was driven by $15.9 million of increases in headcount and associated benefits across the Company as well as merit-based salary raises to retain and motivate talent across the Company. This increase was offset by change of estimate for timing of achieving the earnout payment related to the acquisition of WTI, which prospectively adjusted recognition of the expense and resulted in $8.6 million decrease for the nine months ended September 30, 2024 compared to the nine months ended September 30, 2023. Additionally, there was a decrease in severance expense of $3.3 million and a decrease in stock compensation of $3.1 million, of which $2.1 million decrease relates to remeasurement for the fair value of the Bonaccord Units and Hark Units related to the acquisition of Bonaccord and Hark and a decrease of $1.0 million related to management stock award accelerations in 2023 related to the Executive Transition in October 2023. In 2023, the Hark Units were fully earned and recognized, therefore, there was no correlating expense in 2024 associated with the Hark Units. Moreover, the Bonaccord Units, which are recognized using the tranche method, had a decrease in expense for the nine months ended September 30, 2024 compared to the nine months ended September 30, 2023.</w:t>
      </w:r>
    </w:p>
    <w:p>
      <w:pPr>
        <w:spacing w:after="0" w:line="19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Professional fees increased by $6.3 million, or 62%, to $16.5 million. The primary driver for the increase in professional fees for the nine months ended September 30, 2024 compared to the nine months ended September 30, 2023 is an increase of $5.0 million in professional and legal expenses associated with the Company's debt refinancing and the Company's transitions related to turnover at the management level, office locations, policies, as well as normal course of business such as filings and due diligence for acquisitions. Additionally, a $1.1 million increase related to audit, tax, and compliance services provided to the Company.</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$4.5 million, or 29%, to $19.7 million, due to $1.1 million increase of placement agent fees, $0.3 million increase of rent, $0.9 million increase in marketing efforts, $0.6 million increase in conferences, travel, and entertainment expenses, and $1.1 million increase for ongoing enhancements to infrastructure, technology, and security across the Company.</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Contingent consideration expense decreased by $0.4 million, to $0.2 million, for the nine months ended September 30, 2024 as compared to the nine months ended September 30, 2023. This was driven by remeasurement of contingent consideration payable in connection with the acquisitions of Hark and Bonaccord. The Hark contingent consideration was fully earned and paid in 2023 and the Bonaccord contingent consideration is fully earned as of September 30, 2024 and has a remaining fair value is $4.3 million as of September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intangibles decreased by $2.6 million, or 12%, to $19.3 million, for the nine months ended September 30, 2024 as compared to the nine months ended September 30, 2023. This is due to decreases at ECG, RCP, and TrueBridge. The decrease at ECG is driven by unique syndication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Other expenses decreased by $1.1 million, or (15)%, to $6.2 million for the three months ended September 30, 2024 compared to the three months ended September 30, 2023. This decrease was driven by $3.1 million in other income/(losses) related to legal settlements incurred in the three months ended September 30, 2023 compared to no legal settlements incurred in the three months ended September 30, 2024. This was offset by an increase in interest expense of $2.0 million on the credit facility due to higher SOFR rates and a larger outstanding debt balance in the three months ended September 30,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expenses decreased by $1.6 million, or 8%, to $17.1 million for the nine months ended September 30, 2024 compared to the nine months ended September 30, 2023. This decrease was driven by $2.3 million in other income/(losses) related to legal settlements incurred in the nine months ended September 30, 2023 compared to no legal settlements incurred in the nine months ended September 30, 2024 and $1.7 million increase in other income driven by interest earned for money market accounts and income from unconsolidated subsidiaries. This was offset by an increase in interest expense of $2.5 million due to higher SOFR rates and a larger average outstanding debt balance for the nine months ended September 30, 2024 compared to the nine months ended September 30, 2023.</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September 30, 2024 and September 30, 2023</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decreased by $0.5 million to $1.3 million for the three months ended September 30, 2024 compared to the expense of $1.8 million for the three months ended September 30, 2023. The decrease was primarily due to discrete period recognition of windfall tax adjustments related to options exercised and RSU vesting during the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2024 and September 30, 2023</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increased by $3.9 million to $6.7 million for the nine months ended September 30, 2024 compared to an expense of $2.8 million for the nine months ended September 30, 2023. The increase was primarily due to additional income during the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90"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5"/>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5"/>
                <w:szCs w:val="15"/>
                <w:color w:val="auto"/>
              </w:rPr>
            </w:pPr>
          </w:p>
        </w:tc>
        <w:tc>
          <w:tcPr>
            <w:tcW w:w="25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7"/>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69"/>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4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shd w:val="clear" w:color="auto" w:fill="CFF0FC"/>
          </w:tcPr>
          <w:p>
            <w:pPr>
              <w:spacing w:after="0"/>
              <w:rPr>
                <w:sz w:val="21"/>
                <w:szCs w:val="21"/>
                <w:color w:val="auto"/>
              </w:rPr>
            </w:pPr>
          </w:p>
        </w:tc>
      </w:tr>
      <w:tr>
        <w:trPr>
          <w:trHeight w:val="23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Pr>
          <w:p>
            <w:pPr>
              <w:spacing w:after="0"/>
              <w:rPr>
                <w:sz w:val="21"/>
                <w:szCs w:val="21"/>
                <w:color w:val="auto"/>
              </w:rPr>
            </w:pPr>
          </w:p>
        </w:tc>
      </w:tr>
      <w:tr>
        <w:trPr>
          <w:trHeight w:val="243"/>
        </w:trPr>
        <w:tc>
          <w:tcPr>
            <w:tcW w:w="360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shd w:val="clear" w:color="auto" w:fill="CFF0FC"/>
          </w:tcPr>
          <w:p>
            <w:pPr>
              <w:spacing w:after="0"/>
              <w:rPr>
                <w:sz w:val="21"/>
                <w:szCs w:val="21"/>
                <w:color w:val="auto"/>
              </w:rPr>
            </w:pPr>
          </w:p>
        </w:tc>
      </w:tr>
      <w:tr>
        <w:trPr>
          <w:trHeight w:val="243"/>
        </w:trPr>
        <w:tc>
          <w:tcPr>
            <w:tcW w:w="360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Net Asset Value Change </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3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3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(277 )</w:t>
            </w: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(439 )</w:t>
            </w: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(321 )</w:t>
            </w:r>
          </w:p>
        </w:tc>
      </w:tr>
      <w:tr>
        <w:trPr>
          <w:trHeight w:val="243"/>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(778 )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37"/>
        </w:trPr>
        <w:tc>
          <w:tcPr>
            <w:tcW w:w="3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2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80" w:type="dxa"/>
            <w:vAlign w:val="bottom"/>
            <w:tcBorders>
              <w:top w:val="single" w:sz="8" w:color="CFF0FC"/>
            </w:tcBorders>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-187960</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-187960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9" w:lineRule="exact"/>
        <w:rPr>
          <w:rFonts w:ascii="Times New Roman" w:cs="Times New Roman" w:eastAsia="Times New Roman" w:hAnsi="Times New Roman"/>
          <w:sz w:val="18"/>
          <w:szCs w:val="18"/>
          <w:color w:val="auto"/>
        </w:rPr>
      </w:pPr>
    </w:p>
    <w:p>
      <w:pPr>
        <w:ind w:left="520" w:right="30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change consists primarily of the impact of market value appreciation (depreciation) from funds that earn fees on a net asset value basis.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September 30, 2024</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FPAUM increased by $1.1 million to $24.9 million for the three months ended September 30, 2024, due primarily to an increase in capital raised from our private equity and venture capital solutions being offset by scheduled fee stepdowns. FPAUM increased by $1.7 billion, or 7.2%, to $24.9 billion for the nine months ended September 30, 2024,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use Fee-Related Revenue ("FRR"), Fee-Related Earnings ("FRE"), Adjusted Net Income ("ANI"), as well as Adjusted EBITDA (Earnings Before Interest, Taxes, Depreciation and Amortization) to provide additional measures of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ind w:right="140"/>
        <w:spacing w:after="0" w:line="258" w:lineRule="auto"/>
        <w:rPr>
          <w:sz w:val="20"/>
          <w:szCs w:val="20"/>
          <w:color w:val="auto"/>
        </w:rPr>
      </w:pPr>
      <w:r>
        <w:rPr>
          <w:rFonts w:ascii="Times New Roman" w:cs="Times New Roman" w:eastAsia="Times New Roman" w:hAnsi="Times New Roman"/>
          <w:sz w:val="18"/>
          <w:szCs w:val="18"/>
          <w:color w:val="auto"/>
        </w:rPr>
        <w:t>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incentive fees. FRE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Adjusted EBITDA, we adjust our GAAP net (loss)/income for the following items:</w:t>
      </w:r>
    </w:p>
    <w:p>
      <w:pPr>
        <w:spacing w:after="0" w:line="117" w:lineRule="exact"/>
        <w:rPr>
          <w:sz w:val="20"/>
          <w:szCs w:val="20"/>
          <w:color w:val="auto"/>
        </w:rPr>
      </w:pPr>
    </w:p>
    <w:p>
      <w:pPr>
        <w:ind w:left="1020" w:right="5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debt refinancing completed in August 2024;</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cash income taxes paid during the three months ended September 30, 2024 and September 30, 2023 as well as during the nine months ended September 30, 2024 and September 30, 2023 differ significantly from the net income tax expense, which is primarily comprised of deferred tax expense as described in the results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(8,750 )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(5,879 )</w:t>
            </w:r>
          </w:p>
        </w:tc>
      </w:tr>
      <w:tr>
        <w:trPr>
          <w:trHeight w:val="241"/>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Non-recurring expenses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acquisitions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stock based compensation - CEO transition</w:t>
            </w:r>
          </w:p>
        </w:tc>
        <w:tc>
          <w:tcPr>
            <w:tcW w:w="32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Earn out related compensation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Pr>
          <w:p>
            <w:pPr>
              <w:spacing w:after="0"/>
              <w:rPr>
                <w:sz w:val="20"/>
                <w:szCs w:val="20"/>
                <w:color w:val="auto"/>
              </w:rPr>
            </w:pPr>
          </w:p>
        </w:tc>
      </w:tr>
      <w:tr>
        <w:trPr>
          <w:trHeight w:val="241"/>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interest expense, net</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(4,189 )</w:t>
            </w: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(5,048 )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(15,231 )</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(15,051 )</w:t>
            </w: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(245 )</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(1,437 )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(1,332 )</w:t>
            </w:r>
          </w:p>
        </w:tc>
      </w:tr>
      <w:tr>
        <w:trPr>
          <w:trHeight w:val="278"/>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84,908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58,942</w:t>
            </w:r>
          </w:p>
        </w:tc>
        <w:tc>
          <w:tcPr>
            <w:tcW w:w="2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178,667</w:t>
            </w:r>
          </w:p>
        </w:tc>
        <w:tc>
          <w:tcPr>
            <w:tcW w:w="100" w:type="dxa"/>
            <w:vAlign w:val="bottom"/>
          </w:tcPr>
          <w:p>
            <w:pPr>
              <w:spacing w:after="0"/>
              <w:rPr>
                <w:sz w:val="24"/>
                <w:szCs w:val="24"/>
                <w:color w:val="auto"/>
              </w:rPr>
            </w:pPr>
          </w:p>
        </w:tc>
      </w:tr>
      <w:tr>
        <w:trPr>
          <w:trHeight w:val="250"/>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Non-Fee Related Revenue</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(1,202 )</w:t>
            </w:r>
          </w:p>
        </w:tc>
        <w:tc>
          <w:tcPr>
            <w:tcW w:w="3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(5,192 )</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(3,604 )</w:t>
            </w:r>
          </w:p>
        </w:tc>
      </w:tr>
      <w:tr>
        <w:trPr>
          <w:trHeight w:val="27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57,740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206,242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24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92,865</w:t>
            </w:r>
          </w:p>
        </w:tc>
        <w:tc>
          <w:tcPr>
            <w:tcW w:w="100" w:type="dxa"/>
            <w:vAlign w:val="bottom"/>
          </w:tcPr>
          <w:p>
            <w:pPr>
              <w:spacing w:after="0"/>
              <w:rPr>
                <w:sz w:val="24"/>
                <w:szCs w:val="24"/>
                <w:color w:val="auto"/>
              </w:rPr>
            </w:pPr>
          </w:p>
        </w:tc>
      </w:tr>
      <w:tr>
        <w:trPr>
          <w:trHeight w:val="250"/>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Non-Fee Related Income</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(94 )</w:t>
            </w:r>
          </w:p>
        </w:tc>
        <w:tc>
          <w:tcPr>
            <w:tcW w:w="3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(2,182 )</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(410 )</w:t>
            </w:r>
          </w:p>
        </w:tc>
      </w:tr>
      <w:tr>
        <w:trPr>
          <w:trHeight w:val="27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1"/>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-3128010</wp:posOffset>
            </wp:positionV>
            <wp:extent cx="768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-3110865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-3128010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-3110865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-3128010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-3110865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-2476500</wp:posOffset>
            </wp:positionV>
            <wp:extent cx="768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-2459355</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-2459355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-2459355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-1670685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-1653540</wp:posOffset>
            </wp:positionV>
            <wp:extent cx="768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-1670685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-1653540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-1670685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-1653540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-864870</wp:posOffset>
            </wp:positionV>
            <wp:extent cx="768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-847725</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-864870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-847725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-864870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-847725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973"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63,268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32,057</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97%</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629,233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(19,312 )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857,033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834,074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22,959</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4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394,094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425,162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(31,068 )</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r>
    </w:tbl>
    <w:p>
      <w:pPr>
        <w:spacing w:after="0" w:line="20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Cash and cash equivalents increased from $32.1 million as of December 31, 2023 to $63.3 million as of September 30, 2024 primarily due to the Company's debt refinancing. There was a decrease in goodwill and intangible assets of $19.3 million due to amortization of intangibles during the nine months ended September 30, 2024. Remaining total assets increased in the same period by $11.7 million. The increase is driven by an increase in accounts receivable and due from related parties which is primarily due to ECG's Advisory Agreement with Enhanced PC and Crossroads. The increase in remaining total assets was offset by a decrease in deferred tax assets, net due to utilization of the net operating losses and a decrease in prepaid expenses and other assets, which is primarily due to Enhanced's sale of state tax credits during the nine months ended September 30, 2024. Debt obligations increased by $30.4 million which is driven by the Company's debt refinancing during the nine months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or issue new shares as consideration will be critical as we pursue additional business development opportunities and new acquisitions.</w:t>
      </w:r>
    </w:p>
    <w:p>
      <w:pPr>
        <w:spacing w:after="0" w:line="176"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On August 1, 2024, the Company entered into the Amended and Restated Credit Agreement, which provides for a new senior secured revolving credit facility in the amount of $175 million, with a $10 million sublimit for the issuance of letters of credit, and a new senior secured loan facility in the amount of $325 million. The New Credit Facilities are to be used to refinance and replace the credit facilities under the Credit Agreement and for general corporate purposes, including acquisitions.</w:t>
      </w:r>
    </w:p>
    <w:p>
      <w:pPr>
        <w:spacing w:after="0" w:line="19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The New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6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Term Loan with a balance of $325.0 million is incurring interest at a weighted average Adjusted Term SOFR Rate of 7.68%. As of September 30, 2024, there is no outstanding balance for the Revolver Facility. Refer to Note 11 of the Consolidated Financial Statements for further details provided on the debt and associated interest periods.</w:t>
      </w:r>
    </w:p>
    <w:p>
      <w:pPr>
        <w:spacing w:after="0" w:line="176"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P10 to maintain a minimum leverage ratio of less than or equal to 3.50. As of September 30, 2024, P10 was in compliance with its financial and other covenants required under the facility. The Company has incurred $17.5 million in interest expense for the nine months ended September 30,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the Nine Months Ended September 30,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nine months ended September 30, 2024 and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4"/>
                <w:szCs w:val="14"/>
                <w:color w:val="auto"/>
              </w:rPr>
            </w:pPr>
          </w:p>
        </w:tc>
        <w:tc>
          <w:tcPr>
            <w:tcW w:w="13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(3,358 )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(2,631 )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(38,689 )</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(52,354 )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Increase (Decrease) in cash, cash equivalents and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(7,274 )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38,485</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-299720</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-299720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-299720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increased by $27.5 million, or 60%, to $73.3 million for the nine months ended September 30, 2024 compared to the nine months ended September 30, 2023. For the nine months ended September 30, 2024 and 2023, our net cash provided by operating activities was driven primarily by receipts of management fees and advisory fees, partially offset by payment of operating expenses, which includes professional fees, compensation and benefits, as well as general, administrative and other expenses. Additionally, the nine months ended September 30, 2024 was impacted by cash received for the sale of tax credits while the nine months ended September 30, 2023 was impacted by repaying deposit liabilities to third parties related to pending tax credit projects.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increased by $2.6 million, or 362%, to $3.4 million, for the nine months ended September 30, 2024 as compared to the nine months ended September 30, 2023. This increase in cash used was primarily due to purchases of leasehold improvements, included in property and equipment during the nine months ended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 and September 30, 2023</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recorded a net $38.7 million for the nine months ended September 30, 2024 for cash used in financing activities, as compared to cash used in financing activities of $52.4 million for the nine months ended September 30, 2023. The change is driven by the cash provided by debt refinancing during the nine months ended September 30, 2024 compared to the nine months ended September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of our consolidated financial statements for further information.</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certain of its subsidiaries are VIEs, and that the Company is the primary beneficiary of the entities, because it has the power to direct activities of the entities that most significantly impact such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6 of our consolidated financial statements for more information on both consolidated and unconsolidated VIEs.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Management Fees Received in Advance</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Advisory Fees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spacing w:after="0" w:line="192" w:lineRule="exact"/>
        <w:rPr>
          <w:sz w:val="20"/>
          <w:szCs w:val="20"/>
          <w:color w:val="auto"/>
        </w:rPr>
      </w:pPr>
    </w:p>
    <w:p>
      <w:pPr>
        <w:ind w:right="560" w:firstLine="509"/>
        <w:spacing w:after="0" w:line="312" w:lineRule="auto"/>
        <w:rPr>
          <w:sz w:val="20"/>
          <w:szCs w:val="20"/>
          <w:color w:val="auto"/>
        </w:rPr>
      </w:pPr>
      <w:r>
        <w:rPr>
          <w:rFonts w:ascii="Times New Roman" w:cs="Times New Roman" w:eastAsia="Times New Roman" w:hAnsi="Times New Roman"/>
          <w:sz w:val="17"/>
          <w:szCs w:val="17"/>
          <w:color w:val="auto"/>
        </w:rPr>
        <w:t>Advisory service fees are determined using fixed-rate fees and are recognized over time as the related services are completed. Other advisory services include transaction and management fees associated with managing the origination and ongoing compliance of certain investments.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 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3"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file various federal and state and local tax returns based on federal and state local consolidation and stand- alone tax rules as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we had $325.0 million in outstanding principal in Term Loans under our Term Loan and $0 under our Revolving Credit Facility. The annual interest rate on the Term Loan is based on SOFR, subject to a floor of</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9" w:name="page50"/>
    <w:bookmarkEnd w:id="49"/>
    <w:p>
      <w:pPr>
        <w:ind w:right="160"/>
        <w:spacing w:after="0" w:line="261" w:lineRule="auto"/>
        <w:rPr>
          <w:sz w:val="20"/>
          <w:szCs w:val="20"/>
          <w:color w:val="auto"/>
        </w:rPr>
      </w:pPr>
      <w:r>
        <w:rPr>
          <w:rFonts w:ascii="Times New Roman" w:cs="Times New Roman" w:eastAsia="Times New Roman" w:hAnsi="Times New Roman"/>
          <w:sz w:val="18"/>
          <w:szCs w:val="18"/>
          <w:color w:val="auto"/>
        </w:rPr>
        <w:t>0.10%, plus 2.50%. On September 30, 2024, the interest rate on these borrowings was 2.6% + SOFR. Despite the current interest rate environment displaying an interest rate cut by 50-basis points, the Company is still exposed to interest rate risk if there is a shift in the environment. We estimate that a 100-basis point increase in the interest rate would result in an approximately $3.2 million increase in interest expense related to the loan over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September 30, 2024 that have materially affected, or are reasonably likely to materially affect, our internal control over financial reporting.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September 30, 2024: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Total Number of Shares Purchased as</w:t>
            </w:r>
          </w:p>
        </w:tc>
        <w:tc>
          <w:tcPr>
            <w:tcW w:w="10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Calibri" w:cs="Calibri" w:eastAsia="Calibri" w:hAnsi="Calibri"/>
                <w:sz w:val="13"/>
                <w:szCs w:val="13"/>
                <w:b w:val="1"/>
                <w:bCs w:val="1"/>
                <w:color w:val="auto"/>
                <w:w w:val="95"/>
              </w:rPr>
              <w:t>Maximum 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80" w:type="dxa"/>
            <w:vAlign w:val="bottom"/>
          </w:tcPr>
          <w:p>
            <w:pPr>
              <w:jc w:val="right"/>
              <w:ind w:right="237"/>
              <w:spacing w:after="0" w:line="149" w:lineRule="exact"/>
              <w:rPr>
                <w:sz w:val="20"/>
                <w:szCs w:val="20"/>
                <w:color w:val="auto"/>
              </w:rPr>
            </w:pPr>
            <w:r>
              <w:rPr>
                <w:rFonts w:ascii="Calibri" w:cs="Calibri" w:eastAsia="Calibri" w:hAnsi="Calibri"/>
                <w:sz w:val="13"/>
                <w:szCs w:val="13"/>
                <w:b w:val="1"/>
                <w:bCs w:val="1"/>
                <w:color w:val="auto"/>
              </w:rPr>
              <w:t>Total Number of 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ind w:right="77"/>
              <w:spacing w:after="0" w:line="149" w:lineRule="exact"/>
              <w:rPr>
                <w:sz w:val="20"/>
                <w:szCs w:val="20"/>
                <w:color w:val="auto"/>
              </w:rPr>
            </w:pPr>
            <w:r>
              <w:rPr>
                <w:rFonts w:ascii="Calibri" w:cs="Calibri" w:eastAsia="Calibri" w:hAnsi="Calibri"/>
                <w:sz w:val="13"/>
                <w:szCs w:val="13"/>
                <w:b w:val="1"/>
                <w:bCs w:val="1"/>
                <w:color w:val="auto"/>
                <w:w w:val="94"/>
              </w:rPr>
              <w:t>Weighted Average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7"/>
              </w:rPr>
              <w:t>Part of Publicly Announced Plan or</w:t>
            </w:r>
          </w:p>
        </w:tc>
        <w:tc>
          <w:tcPr>
            <w:tcW w:w="100" w:type="dxa"/>
            <w:vAlign w:val="bottom"/>
          </w:tcPr>
          <w:p>
            <w:pPr>
              <w:spacing w:after="0"/>
              <w:rPr>
                <w:sz w:val="12"/>
                <w:szCs w:val="12"/>
                <w:color w:val="auto"/>
              </w:rPr>
            </w:pPr>
          </w:p>
        </w:tc>
        <w:tc>
          <w:tcPr>
            <w:tcW w:w="2120" w:type="dxa"/>
            <w:vAlign w:val="bottom"/>
            <w:gridSpan w:val="3"/>
          </w:tcPr>
          <w:p>
            <w:pPr>
              <w:jc w:val="center"/>
              <w:ind w:right="140"/>
              <w:spacing w:after="0" w:line="149" w:lineRule="exact"/>
              <w:rPr>
                <w:sz w:val="20"/>
                <w:szCs w:val="20"/>
                <w:color w:val="auto"/>
              </w:rPr>
            </w:pPr>
            <w:r>
              <w:rPr>
                <w:rFonts w:ascii="Calibri" w:cs="Calibri" w:eastAsia="Calibri" w:hAnsi="Calibri"/>
                <w:sz w:val="13"/>
                <w:szCs w:val="13"/>
                <w:b w:val="1"/>
                <w:bCs w:val="1"/>
                <w:color w:val="auto"/>
                <w:w w:val="95"/>
              </w:rPr>
              <w:t>of Shares that May Yet Be Purchased</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Calibri" w:cs="Calibri" w:eastAsia="Calibri" w:hAnsi="Calibri"/>
                <w:sz w:val="13"/>
                <w:szCs w:val="13"/>
                <w:b w:val="1"/>
                <w:bCs w:val="1"/>
                <w:color w:val="auto"/>
              </w:rPr>
              <w:t>Period</w:t>
            </w:r>
          </w:p>
        </w:tc>
        <w:tc>
          <w:tcPr>
            <w:tcW w:w="1780" w:type="dxa"/>
            <w:vAlign w:val="bottom"/>
          </w:tcPr>
          <w:p>
            <w:pPr>
              <w:jc w:val="right"/>
              <w:ind w:right="557"/>
              <w:spacing w:after="0" w:line="149" w:lineRule="exact"/>
              <w:rPr>
                <w:sz w:val="20"/>
                <w:szCs w:val="20"/>
                <w:color w:val="auto"/>
              </w:rPr>
            </w:pPr>
            <w:r>
              <w:rPr>
                <w:rFonts w:ascii="Calibri" w:cs="Calibri" w:eastAsia="Calibri" w:hAnsi="Calibri"/>
                <w:sz w:val="13"/>
                <w:szCs w:val="13"/>
                <w:b w:val="1"/>
                <w:bCs w:val="1"/>
                <w:color w:val="auto"/>
              </w:rPr>
              <w:t>Purchased</w:t>
            </w:r>
          </w:p>
        </w:tc>
        <w:tc>
          <w:tcPr>
            <w:tcW w:w="120" w:type="dxa"/>
            <w:vAlign w:val="bottom"/>
          </w:tcPr>
          <w:p>
            <w:pPr>
              <w:spacing w:after="0"/>
              <w:rPr>
                <w:sz w:val="12"/>
                <w:szCs w:val="12"/>
                <w:color w:val="auto"/>
              </w:rPr>
            </w:pPr>
          </w:p>
        </w:tc>
        <w:tc>
          <w:tcPr>
            <w:tcW w:w="1180" w:type="dxa"/>
            <w:vAlign w:val="bottom"/>
            <w:gridSpan w:val="2"/>
          </w:tcPr>
          <w:p>
            <w:pPr>
              <w:jc w:val="right"/>
              <w:ind w:right="17"/>
              <w:spacing w:after="0" w:line="149" w:lineRule="exact"/>
              <w:rPr>
                <w:sz w:val="20"/>
                <w:szCs w:val="20"/>
                <w:color w:val="auto"/>
              </w:rPr>
            </w:pPr>
            <w:r>
              <w:rPr>
                <w:rFonts w:ascii="Calibri" w:cs="Calibri" w:eastAsia="Calibri" w:hAnsi="Calibri"/>
                <w:sz w:val="13"/>
                <w:szCs w:val="13"/>
                <w:b w:val="1"/>
                <w:bCs w:val="1"/>
                <w:color w:val="auto"/>
              </w:rPr>
              <w:t>Price Paid per Share</w:t>
            </w:r>
          </w:p>
        </w:tc>
        <w:tc>
          <w:tcPr>
            <w:tcW w:w="10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Calibri" w:cs="Calibri" w:eastAsia="Calibri" w:hAnsi="Calibri"/>
                <w:sz w:val="13"/>
                <w:szCs w:val="13"/>
                <w:b w:val="1"/>
                <w:bCs w:val="1"/>
                <w:color w:val="auto"/>
                <w:w w:val="96"/>
              </w:rPr>
              <w:t>Program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tcPr>
          <w:p>
            <w:pPr>
              <w:jc w:val="center"/>
              <w:ind w:right="220"/>
              <w:spacing w:after="0" w:line="149" w:lineRule="exact"/>
              <w:rPr>
                <w:sz w:val="20"/>
                <w:szCs w:val="20"/>
                <w:color w:val="auto"/>
              </w:rPr>
            </w:pPr>
            <w:r>
              <w:rPr>
                <w:rFonts w:ascii="Calibri" w:cs="Calibri" w:eastAsia="Calibri" w:hAnsi="Calibri"/>
                <w:sz w:val="13"/>
                <w:szCs w:val="13"/>
                <w:b w:val="1"/>
                <w:bCs w:val="1"/>
                <w:color w:val="auto"/>
                <w:w w:val="96"/>
              </w:rPr>
              <w:t>Under the Plans or Programs (1)</w:t>
            </w:r>
          </w:p>
        </w:tc>
        <w:tc>
          <w:tcPr>
            <w:tcW w:w="0" w:type="dxa"/>
            <w:vAlign w:val="bottom"/>
          </w:tcPr>
          <w:p>
            <w:pPr>
              <w:spacing w:after="0"/>
              <w:rPr>
                <w:sz w:val="1"/>
                <w:szCs w:val="1"/>
                <w:color w:val="auto"/>
              </w:rPr>
            </w:pPr>
          </w:p>
        </w:tc>
      </w:tr>
      <w:tr>
        <w:trPr>
          <w:trHeight w:val="44"/>
        </w:trPr>
        <w:tc>
          <w:tcPr>
            <w:tcW w:w="36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60" w:type="dxa"/>
            <w:vAlign w:val="bottom"/>
            <w:tcBorders>
              <w:bottom w:val="single" w:sz="8" w:color="CFF0FC"/>
            </w:tcBorders>
            <w:shd w:val="clear" w:color="auto" w:fill="CFF0FC"/>
          </w:tcPr>
          <w:p>
            <w:pPr>
              <w:ind w:left="20"/>
              <w:spacing w:after="0" w:line="152" w:lineRule="exact"/>
              <w:rPr>
                <w:sz w:val="20"/>
                <w:szCs w:val="20"/>
                <w:color w:val="auto"/>
              </w:rPr>
            </w:pPr>
            <w:r>
              <w:rPr>
                <w:rFonts w:ascii="Calibri" w:cs="Calibri" w:eastAsia="Calibri" w:hAnsi="Calibri"/>
                <w:sz w:val="13"/>
                <w:szCs w:val="13"/>
                <w:color w:val="auto"/>
              </w:rPr>
              <w:t>July 1 - 31, 2024</w:t>
            </w:r>
          </w:p>
        </w:tc>
        <w:tc>
          <w:tcPr>
            <w:tcW w:w="178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8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8,060,047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60" w:type="dxa"/>
            <w:vAlign w:val="bottom"/>
          </w:tcPr>
          <w:p>
            <w:pPr>
              <w:ind w:left="20"/>
              <w:spacing w:after="0" w:line="152" w:lineRule="exact"/>
              <w:rPr>
                <w:sz w:val="20"/>
                <w:szCs w:val="20"/>
                <w:color w:val="auto"/>
              </w:rPr>
            </w:pPr>
            <w:r>
              <w:rPr>
                <w:rFonts w:ascii="Calibri" w:cs="Calibri" w:eastAsia="Calibri" w:hAnsi="Calibri"/>
                <w:sz w:val="13"/>
                <w:szCs w:val="13"/>
                <w:color w:val="auto"/>
              </w:rPr>
              <w:t>August 1 - 31, 2024</w:t>
            </w:r>
          </w:p>
        </w:tc>
        <w:tc>
          <w:tcPr>
            <w:tcW w:w="1780" w:type="dxa"/>
            <w:vAlign w:val="bottom"/>
          </w:tcPr>
          <w:p>
            <w:pPr>
              <w:jc w:val="right"/>
              <w:spacing w:after="0" w:line="152" w:lineRule="exact"/>
              <w:rPr>
                <w:sz w:val="20"/>
                <w:szCs w:val="20"/>
                <w:color w:val="auto"/>
              </w:rPr>
            </w:pPr>
            <w:r>
              <w:rPr>
                <w:rFonts w:ascii="Calibri" w:cs="Calibri" w:eastAsia="Calibri" w:hAnsi="Calibri"/>
                <w:sz w:val="13"/>
                <w:szCs w:val="13"/>
                <w:color w:val="auto"/>
              </w:rPr>
              <w:t>609,300</w:t>
            </w:r>
          </w:p>
        </w:tc>
        <w:tc>
          <w:tcPr>
            <w:tcW w:w="20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100" w:type="dxa"/>
            <w:vAlign w:val="bottom"/>
          </w:tcPr>
          <w:p>
            <w:pPr>
              <w:jc w:val="right"/>
              <w:spacing w:after="0" w:line="152" w:lineRule="exact"/>
              <w:rPr>
                <w:sz w:val="20"/>
                <w:szCs w:val="20"/>
                <w:color w:val="auto"/>
              </w:rPr>
            </w:pPr>
            <w:r>
              <w:rPr>
                <w:rFonts w:ascii="Calibri" w:cs="Calibri" w:eastAsia="Calibri" w:hAnsi="Calibri"/>
                <w:sz w:val="13"/>
                <w:szCs w:val="13"/>
                <w:color w:val="auto"/>
              </w:rPr>
              <w:t>10.15</w:t>
            </w:r>
          </w:p>
        </w:tc>
        <w:tc>
          <w:tcPr>
            <w:tcW w:w="228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609,300</w:t>
            </w:r>
          </w:p>
        </w:tc>
        <w:tc>
          <w:tcPr>
            <w:tcW w:w="220" w:type="dxa"/>
            <w:vAlign w:val="bottom"/>
            <w:gridSpan w:val="2"/>
          </w:tcPr>
          <w:p>
            <w:pPr>
              <w:jc w:val="right"/>
              <w:spacing w:after="0" w:line="152" w:lineRule="exact"/>
              <w:rPr>
                <w:sz w:val="20"/>
                <w:szCs w:val="20"/>
                <w:color w:val="auto"/>
              </w:rPr>
            </w:pPr>
            <w:r>
              <w:rPr>
                <w:rFonts w:ascii="Calibri" w:cs="Calibri" w:eastAsia="Calibri" w:hAnsi="Calibri"/>
                <w:sz w:val="13"/>
                <w:szCs w:val="13"/>
                <w:color w:val="auto"/>
              </w:rPr>
              <w:t>$</w:t>
            </w:r>
          </w:p>
        </w:tc>
        <w:tc>
          <w:tcPr>
            <w:tcW w:w="1900" w:type="dxa"/>
            <w:vAlign w:val="bottom"/>
          </w:tcPr>
          <w:p>
            <w:pPr>
              <w:jc w:val="right"/>
              <w:spacing w:after="0" w:line="152" w:lineRule="exact"/>
              <w:rPr>
                <w:sz w:val="20"/>
                <w:szCs w:val="20"/>
                <w:color w:val="auto"/>
              </w:rPr>
            </w:pPr>
            <w:r>
              <w:rPr>
                <w:rFonts w:ascii="Calibri" w:cs="Calibri" w:eastAsia="Calibri" w:hAnsi="Calibri"/>
                <w:sz w:val="13"/>
                <w:szCs w:val="13"/>
                <w:color w:val="auto"/>
              </w:rPr>
              <w:t>13,872,482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66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3"/>
                <w:szCs w:val="13"/>
                <w:color w:val="auto"/>
              </w:rPr>
              <w:t>September 1 - 30, 2024</w:t>
            </w:r>
          </w:p>
        </w:tc>
        <w:tc>
          <w:tcPr>
            <w:tcW w:w="178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180" w:type="dxa"/>
            <w:vAlign w:val="bottom"/>
            <w:tcBorders>
              <w:bottom w:val="single" w:sz="8" w:color="auto"/>
            </w:tcBorders>
            <w:shd w:val="clear" w:color="auto" w:fill="CFF0FC"/>
          </w:tcPr>
          <w:p>
            <w:pPr>
              <w:jc w:val="right"/>
              <w:spacing w:after="0" w:line="152" w:lineRule="exact"/>
              <w:rPr>
                <w:sz w:val="20"/>
                <w:szCs w:val="20"/>
                <w:color w:val="auto"/>
              </w:rPr>
            </w:pPr>
            <w:r>
              <w:rPr>
                <w:rFonts w:ascii="Calibri" w:cs="Calibri" w:eastAsia="Calibri" w:hAnsi="Calibri"/>
                <w:sz w:val="13"/>
                <w:szCs w:val="13"/>
                <w:color w:val="auto"/>
              </w:rPr>
              <w:t>-</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3"/>
                <w:szCs w:val="13"/>
                <w:color w:val="auto"/>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3"/>
                <w:szCs w:val="13"/>
                <w:color w:val="auto"/>
              </w:rPr>
              <w:t>13,872,482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660" w:type="dxa"/>
            <w:vAlign w:val="bottom"/>
            <w:vMerge w:val="restart"/>
          </w:tcPr>
          <w:p>
            <w:pPr>
              <w:ind w:left="20"/>
              <w:spacing w:after="0"/>
              <w:rPr>
                <w:sz w:val="20"/>
                <w:szCs w:val="20"/>
                <w:color w:val="auto"/>
              </w:rPr>
            </w:pPr>
            <w:r>
              <w:rPr>
                <w:rFonts w:ascii="Calibri" w:cs="Calibri" w:eastAsia="Calibri" w:hAnsi="Calibri"/>
                <w:sz w:val="13"/>
                <w:szCs w:val="13"/>
                <w:b w:val="1"/>
                <w:bCs w:val="1"/>
                <w:color w:val="auto"/>
              </w:rPr>
              <w:t>Total</w:t>
            </w:r>
          </w:p>
        </w:tc>
        <w:tc>
          <w:tcPr>
            <w:tcW w:w="1780" w:type="dxa"/>
            <w:vAlign w:val="bottom"/>
          </w:tcPr>
          <w:p>
            <w:pPr>
              <w:jc w:val="right"/>
              <w:spacing w:after="0" w:line="151" w:lineRule="exact"/>
              <w:rPr>
                <w:sz w:val="20"/>
                <w:szCs w:val="20"/>
                <w:color w:val="auto"/>
              </w:rPr>
            </w:pPr>
            <w:r>
              <w:rPr>
                <w:rFonts w:ascii="Calibri" w:cs="Calibri" w:eastAsia="Calibri" w:hAnsi="Calibri"/>
                <w:sz w:val="13"/>
                <w:szCs w:val="13"/>
                <w:b w:val="1"/>
                <w:bCs w:val="1"/>
                <w:color w:val="auto"/>
              </w:rPr>
              <w:t>609,300</w:t>
            </w:r>
          </w:p>
        </w:tc>
        <w:tc>
          <w:tcPr>
            <w:tcW w:w="20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110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10.15</w:t>
            </w:r>
          </w:p>
        </w:tc>
        <w:tc>
          <w:tcPr>
            <w:tcW w:w="2280" w:type="dxa"/>
            <w:vAlign w:val="bottom"/>
            <w:gridSpan w:val="2"/>
          </w:tcPr>
          <w:p>
            <w:pPr>
              <w:jc w:val="right"/>
              <w:spacing w:after="0" w:line="151" w:lineRule="exact"/>
              <w:rPr>
                <w:sz w:val="20"/>
                <w:szCs w:val="20"/>
                <w:color w:val="auto"/>
              </w:rPr>
            </w:pPr>
            <w:r>
              <w:rPr>
                <w:rFonts w:ascii="Calibri" w:cs="Calibri" w:eastAsia="Calibri" w:hAnsi="Calibri"/>
                <w:sz w:val="13"/>
                <w:szCs w:val="13"/>
                <w:b w:val="1"/>
                <w:bCs w:val="1"/>
                <w:color w:val="auto"/>
              </w:rPr>
              <w:t>609,300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3660" w:type="dxa"/>
            <w:vAlign w:val="bottom"/>
            <w:vMerge w:val="continue"/>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-144780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54"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On February 27, 2024 the Board of Directors authorized an additional $40 million for repurchases under the Stock Repurchase Program, and on August 6, 2024, the Board of Directors authorized an additional $12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Restatement Agreement, dated as of August 1, 2024, attaching the Amended and Restated Credit Agreement, dated as of such date, among</w:t>
              </w:r>
            </w:hyperlink>
          </w:p>
        </w:tc>
        <w:tc>
          <w:tcPr>
            <w:tcW w:w="16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P10, Inc., P10 Intermediate Holdings LLC, the other guarantors party thereto, the lenders party thereto, and JPMorgan Chase Bank, N.A., as</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25">
              <w:r>
                <w:rPr>
                  <w:rFonts w:ascii="Times New Roman" w:cs="Times New Roman" w:eastAsia="Times New Roman" w:hAnsi="Times New Roman"/>
                  <w:sz w:val="18"/>
                  <w:szCs w:val="18"/>
                  <w:color w:val="0000FF"/>
                  <w:w w:val="99"/>
                </w:rPr>
                <w:t>administrative agent and collateral agent.</w:t>
              </w:r>
            </w:hyperlink>
          </w:p>
        </w:tc>
        <w:tc>
          <w:tcPr>
            <w:tcW w:w="20" w:type="dxa"/>
            <w:vAlign w:val="bottom"/>
            <w:tcBorders>
              <w:bottom w:val="single" w:sz="8" w:color="0000EE"/>
            </w:tcBorders>
          </w:tcPr>
          <w:p>
            <w:pPr>
              <w:spacing w:after="0"/>
              <w:rPr>
                <w:sz w:val="17"/>
                <w:szCs w:val="17"/>
                <w:color w:val="auto"/>
              </w:rPr>
            </w:pPr>
          </w:p>
        </w:tc>
        <w:tc>
          <w:tcPr>
            <w:tcW w:w="7220" w:type="dxa"/>
            <w:vAlign w:val="bottom"/>
            <w:gridSpan w:val="8"/>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6"/>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18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6"/>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10"/>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10"/>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57" w:lineRule="exact"/>
        <w:rPr>
          <w:sz w:val="20"/>
          <w:szCs w:val="20"/>
          <w:color w:val="auto"/>
        </w:rPr>
      </w:pPr>
    </w:p>
    <w:p>
      <w:pPr>
        <w:ind w:left="1040" w:hanging="1019"/>
        <w:spacing w:after="0"/>
        <w:tabs>
          <w:tab w:leader="none" w:pos="1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P10, Inc.</w:t>
      </w:r>
    </w:p>
    <w:p>
      <w:pPr>
        <w:spacing w:after="0" w:line="252" w:lineRule="exact"/>
        <w:rPr>
          <w:sz w:val="20"/>
          <w:szCs w:val="20"/>
          <w:color w:val="auto"/>
        </w:rPr>
      </w:pPr>
    </w:p>
    <w:p>
      <w:pPr>
        <w:ind w:left="20"/>
        <w:spacing w:after="0"/>
        <w:tabs>
          <w:tab w:leader="none" w:pos="5680" w:val="left"/>
          <w:tab w:leader="none" w:pos="782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3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 (Principal Executive</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34" w:lineRule="exact"/>
        <w:rPr>
          <w:sz w:val="20"/>
          <w:szCs w:val="20"/>
          <w:color w:val="auto"/>
        </w:rPr>
      </w:pPr>
    </w:p>
    <w:p>
      <w:pPr>
        <w:ind w:left="20"/>
        <w:spacing w:after="0"/>
        <w:tabs>
          <w:tab w:leader="none" w:pos="5680" w:val="left"/>
          <w:tab w:leader="none" w:pos="790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-125095</wp:posOffset>
            </wp:positionV>
            <wp:extent cx="32404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9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99"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P10,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P10,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ind w:left="20"/>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wp:posOffset>
            </wp:positionV>
            <wp:extent cx="330898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25" Type="http://schemas.openxmlformats.org/officeDocument/2006/relationships/hyperlink" Target="https://www.sec.gov/Archives/edgar/data/1841968/000095017024090344/p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2024-11-08T08:14:10Z</dcterms:created>
  <dcterms:modified xsi:type="dcterms:W3CDTF">2024-11-08T08:14:10Z</dcterms:modified>
</cp:coreProperties>
</file>