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3"/>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FORM 8-K</w:t>
      </w:r>
    </w:p>
    <w:p>
      <w:pPr>
        <w:spacing w:after="0" w:line="182"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CURRENT REPORT</w:t>
      </w:r>
    </w:p>
    <w:p>
      <w:pPr>
        <w:spacing w:after="0" w:line="6" w:lineRule="exact"/>
        <w:rPr>
          <w:sz w:val="24"/>
          <w:szCs w:val="24"/>
          <w:color w:val="auto"/>
        </w:rPr>
      </w:pPr>
    </w:p>
    <w:p>
      <w:pPr>
        <w:ind w:left="2106"/>
        <w:spacing w:after="0"/>
        <w:rPr>
          <w:sz w:val="20"/>
          <w:szCs w:val="20"/>
          <w:color w:val="auto"/>
        </w:rPr>
      </w:pPr>
      <w:r>
        <w:rPr>
          <w:rFonts w:ascii="Courier New" w:cs="Courier New" w:eastAsia="Courier New" w:hAnsi="Courier New"/>
          <w:sz w:val="15"/>
          <w:szCs w:val="15"/>
          <w:color w:val="auto"/>
        </w:rPr>
        <w:t>PURSUANT TO SECTION 13 OR 15(d) OF</w:t>
      </w:r>
    </w:p>
    <w:p>
      <w:pPr>
        <w:spacing w:after="0" w:line="6" w:lineRule="exact"/>
        <w:rPr>
          <w:sz w:val="24"/>
          <w:szCs w:val="24"/>
          <w:color w:val="auto"/>
        </w:rPr>
      </w:pPr>
    </w:p>
    <w:p>
      <w:pPr>
        <w:ind w:left="2106"/>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Date of Report (Date of earliest event reported): February 1, 2006</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ACTIVE POWER, INC.</w:t>
      </w:r>
    </w:p>
    <w:p>
      <w:pPr>
        <w:spacing w:after="0" w:line="6"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2" w:lineRule="exact"/>
        <w:rPr>
          <w:sz w:val="24"/>
          <w:szCs w:val="24"/>
          <w:color w:val="auto"/>
        </w:rPr>
      </w:pPr>
    </w:p>
    <w:tbl>
      <w:tblPr>
        <w:tblLayout w:type="fixed"/>
        <w:tblInd w:w="86" w:type="dxa"/>
        <w:tblCellMar>
          <w:top w:w="0" w:type="dxa"/>
          <w:left w:w="0" w:type="dxa"/>
          <w:bottom w:w="0" w:type="dxa"/>
          <w:right w:w="0" w:type="dxa"/>
        </w:tblCellMar>
      </w:tblPr>
      <w:tr>
        <w:trPr>
          <w:trHeight w:val="171"/>
        </w:trPr>
        <w:tc>
          <w:tcPr>
            <w:tcW w:w="4320" w:type="dxa"/>
            <w:vAlign w:val="bottom"/>
          </w:tcPr>
          <w:p>
            <w:pPr>
              <w:ind w:left="3220"/>
              <w:spacing w:after="0"/>
              <w:rPr>
                <w:sz w:val="20"/>
                <w:szCs w:val="20"/>
                <w:color w:val="auto"/>
              </w:rPr>
            </w:pPr>
            <w:r>
              <w:rPr>
                <w:rFonts w:ascii="Courier New" w:cs="Courier New" w:eastAsia="Courier New" w:hAnsi="Courier New"/>
                <w:sz w:val="15"/>
                <w:szCs w:val="15"/>
                <w:color w:val="auto"/>
              </w:rPr>
              <w:t>000-30939</w:t>
            </w:r>
          </w:p>
        </w:tc>
        <w:tc>
          <w:tcPr>
            <w:tcW w:w="2000" w:type="dxa"/>
            <w:vAlign w:val="bottom"/>
          </w:tcPr>
          <w:p>
            <w:pPr>
              <w:spacing w:after="0"/>
              <w:rPr>
                <w:sz w:val="14"/>
                <w:szCs w:val="14"/>
                <w:color w:val="auto"/>
              </w:rPr>
            </w:pPr>
          </w:p>
        </w:tc>
      </w:tr>
      <w:tr>
        <w:trPr>
          <w:trHeight w:val="176"/>
        </w:trPr>
        <w:tc>
          <w:tcPr>
            <w:tcW w:w="6320" w:type="dxa"/>
            <w:vAlign w:val="bottom"/>
            <w:gridSpan w:val="2"/>
          </w:tcPr>
          <w:p>
            <w:pPr>
              <w:ind w:left="2480"/>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gridSpan w:val="2"/>
          </w:tcPr>
          <w:p>
            <w:pPr>
              <w:ind w:left="2480"/>
              <w:spacing w:after="0"/>
              <w:rPr>
                <w:sz w:val="20"/>
                <w:szCs w:val="20"/>
                <w:color w:val="auto"/>
              </w:rPr>
            </w:pPr>
            <w:r>
              <w:rPr>
                <w:rFonts w:ascii="Courier New" w:cs="Courier New" w:eastAsia="Courier New" w:hAnsi="Courier New"/>
                <w:sz w:val="15"/>
                <w:szCs w:val="15"/>
                <w:color w:val="auto"/>
              </w:rPr>
              <w:t>(Commission File Number)</w:t>
            </w:r>
          </w:p>
        </w:tc>
      </w:tr>
      <w:tr>
        <w:trPr>
          <w:trHeight w:val="352"/>
        </w:trPr>
        <w:tc>
          <w:tcPr>
            <w:tcW w:w="432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Delaware</w:t>
            </w: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74-2961657</w:t>
            </w:r>
          </w:p>
        </w:tc>
      </w:tr>
      <w:tr>
        <w:trPr>
          <w:trHeight w:val="176"/>
        </w:trPr>
        <w:tc>
          <w:tcPr>
            <w:tcW w:w="432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320" w:type="dxa"/>
            <w:vAlign w:val="bottom"/>
          </w:tcPr>
          <w:p>
            <w:pPr>
              <w:ind w:left="1100"/>
              <w:spacing w:after="0"/>
              <w:rPr>
                <w:sz w:val="20"/>
                <w:szCs w:val="20"/>
                <w:color w:val="auto"/>
              </w:rPr>
            </w:pPr>
            <w:r>
              <w:rPr>
                <w:rFonts w:ascii="Courier New" w:cs="Courier New" w:eastAsia="Courier New" w:hAnsi="Courier New"/>
                <w:sz w:val="15"/>
                <w:szCs w:val="15"/>
                <w:color w:val="auto"/>
              </w:rPr>
              <w:t>(State of Other</w:t>
            </w:r>
          </w:p>
        </w:tc>
        <w:tc>
          <w:tcPr>
            <w:tcW w:w="20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4320" w:type="dxa"/>
            <w:vAlign w:val="bottom"/>
          </w:tcPr>
          <w:p>
            <w:pPr>
              <w:jc w:val="center"/>
              <w:ind w:right="744"/>
              <w:spacing w:after="0"/>
              <w:rPr>
                <w:sz w:val="20"/>
                <w:szCs w:val="20"/>
                <w:color w:val="auto"/>
              </w:rPr>
            </w:pPr>
            <w:r>
              <w:rPr>
                <w:rFonts w:ascii="Courier New" w:cs="Courier New" w:eastAsia="Courier New" w:hAnsi="Courier New"/>
                <w:sz w:val="15"/>
                <w:szCs w:val="15"/>
                <w:color w:val="auto"/>
              </w:rPr>
              <w:t>Jurisdiction of Incorporation)</w:t>
            </w:r>
          </w:p>
        </w:tc>
        <w:tc>
          <w:tcPr>
            <w:tcW w:w="200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Identification No.)</w:t>
            </w:r>
          </w:p>
        </w:tc>
      </w:tr>
      <w:tr>
        <w:trPr>
          <w:trHeight w:val="529"/>
        </w:trPr>
        <w:tc>
          <w:tcPr>
            <w:tcW w:w="4320" w:type="dxa"/>
            <w:vAlign w:val="bottom"/>
          </w:tcPr>
          <w:p>
            <w:pPr>
              <w:spacing w:after="0"/>
              <w:rPr>
                <w:sz w:val="20"/>
                <w:szCs w:val="20"/>
                <w:color w:val="auto"/>
              </w:rPr>
            </w:pPr>
            <w:r>
              <w:rPr>
                <w:rFonts w:ascii="Courier New" w:cs="Courier New" w:eastAsia="Courier New" w:hAnsi="Courier New"/>
                <w:sz w:val="15"/>
                <w:szCs w:val="15"/>
                <w:color w:val="auto"/>
              </w:rPr>
              <w:t>2128 W. Braker Lane, BK12, Austin, Texas</w:t>
            </w:r>
          </w:p>
        </w:tc>
        <w:tc>
          <w:tcPr>
            <w:tcW w:w="2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78758</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(Zip Code)</w:t>
            </w:r>
          </w:p>
        </w:tc>
      </w:tr>
    </w:tbl>
    <w:p>
      <w:pPr>
        <w:spacing w:after="0" w:line="181"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(512) 836-6464</w:t>
      </w:r>
    </w:p>
    <w:p>
      <w:pPr>
        <w:spacing w:after="0" w:line="6" w:lineRule="exact"/>
        <w:rPr>
          <w:sz w:val="24"/>
          <w:szCs w:val="24"/>
          <w:color w:val="auto"/>
        </w:rPr>
      </w:pPr>
    </w:p>
    <w:p>
      <w:pPr>
        <w:ind w:left="12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N/A</w:t>
      </w:r>
    </w:p>
    <w:p>
      <w:pPr>
        <w:spacing w:after="0" w:line="6"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926"/>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82" w:lineRule="exact"/>
        <w:rPr>
          <w:sz w:val="24"/>
          <w:szCs w:val="24"/>
          <w:color w:val="auto"/>
        </w:rPr>
      </w:pPr>
    </w:p>
    <w:p>
      <w:pPr>
        <w:ind w:left="6" w:right="3539" w:firstLine="458"/>
        <w:spacing w:after="0" w:line="250" w:lineRule="auto"/>
        <w:rPr>
          <w:sz w:val="20"/>
          <w:szCs w:val="20"/>
          <w:color w:val="auto"/>
        </w:rPr>
      </w:pPr>
      <w:r>
        <w:rPr>
          <w:rFonts w:ascii="Courier New" w:cs="Courier New" w:eastAsia="Courier New" w:hAnsi="Courier New"/>
          <w:sz w:val="15"/>
          <w:szCs w:val="15"/>
          <w:color w:val="auto"/>
        </w:rPr>
        <w:t>Indicate by check mark whether the registrant is a shell company (as defined in Rule 12b-2 of the Exchange Act). [ ] Yes [X] No</w:t>
      </w:r>
    </w:p>
    <w:p>
      <w:pPr>
        <w:spacing w:after="0" w:line="175" w:lineRule="exact"/>
        <w:rPr>
          <w:sz w:val="24"/>
          <w:szCs w:val="24"/>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Check the appropriate box below if the Form 8-K filing is intended to simultaneously satisfy the filing obligation of the registration under any of the following provisions (see General Instruction A.2. below):</w:t>
      </w:r>
    </w:p>
    <w:p>
      <w:pPr>
        <w:spacing w:after="0" w:line="176" w:lineRule="exact"/>
        <w:rPr>
          <w:sz w:val="24"/>
          <w:szCs w:val="24"/>
          <w:color w:val="auto"/>
        </w:rPr>
      </w:pPr>
    </w:p>
    <w:p>
      <w:pPr>
        <w:ind w:left="466" w:right="3899" w:hanging="466"/>
        <w:spacing w:after="0" w:line="250" w:lineRule="auto"/>
        <w:tabs>
          <w:tab w:leader="none" w:pos="19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Written communications pursuant to Rule 425 under the Securities Act (17 CFR 230.425)</w:t>
      </w:r>
    </w:p>
    <w:p>
      <w:pPr>
        <w:spacing w:after="0" w:line="175" w:lineRule="exact"/>
        <w:rPr>
          <w:sz w:val="24"/>
          <w:szCs w:val="24"/>
          <w:color w:val="auto"/>
        </w:rPr>
      </w:pPr>
    </w:p>
    <w:p>
      <w:pPr>
        <w:ind w:left="466" w:right="4079" w:hanging="466"/>
        <w:spacing w:after="0" w:line="250" w:lineRule="auto"/>
        <w:tabs>
          <w:tab w:leader="none" w:pos="1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14a-12 under the Exchange Act (17 CFR 240.14a-12)</w:t>
      </w:r>
    </w:p>
    <w:p>
      <w:pPr>
        <w:spacing w:after="0" w:line="175" w:lineRule="exact"/>
        <w:rPr>
          <w:sz w:val="24"/>
          <w:szCs w:val="24"/>
          <w:color w:val="auto"/>
        </w:rPr>
      </w:pPr>
    </w:p>
    <w:p>
      <w:pPr>
        <w:ind w:left="466" w:right="3619" w:hanging="466"/>
        <w:spacing w:after="0" w:line="250" w:lineRule="auto"/>
        <w:tabs>
          <w:tab w:leader="none" w:pos="19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Pre-commencement communications pursuant to Rule 14d-2(b) under the Exchange Act (17 CFR 240.14d-2(b))</w:t>
      </w:r>
    </w:p>
    <w:p>
      <w:pPr>
        <w:spacing w:after="0" w:line="175" w:lineRule="exact"/>
        <w:rPr>
          <w:sz w:val="24"/>
          <w:szCs w:val="24"/>
          <w:color w:val="auto"/>
        </w:rPr>
      </w:pPr>
    </w:p>
    <w:p>
      <w:pPr>
        <w:ind w:left="466" w:right="3619" w:hanging="466"/>
        <w:spacing w:after="0" w:line="250" w:lineRule="auto"/>
        <w:tabs>
          <w:tab w:leader="none" w:pos="19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Pre-commencement communications pursuant to Rule 13e-4(c) under the Exchange Act (17 CFR 240.13e-4(c))</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6"/>
        <w:spacing w:after="0"/>
        <w:tabs>
          <w:tab w:leader="none" w:pos="1266" w:val="left"/>
        </w:tabs>
        <w:rPr>
          <w:sz w:val="20"/>
          <w:szCs w:val="20"/>
          <w:color w:val="auto"/>
        </w:rPr>
      </w:pPr>
      <w:r>
        <w:rPr>
          <w:rFonts w:ascii="Courier New" w:cs="Courier New" w:eastAsia="Courier New" w:hAnsi="Courier New"/>
          <w:sz w:val="15"/>
          <w:szCs w:val="15"/>
          <w:color w:val="auto"/>
        </w:rPr>
        <w:t>ITEM 2.02</w:t>
      </w:r>
      <w:r>
        <w:rPr>
          <w:sz w:val="20"/>
          <w:szCs w:val="20"/>
          <w:color w:val="auto"/>
        </w:rPr>
        <w:tab/>
      </w:r>
      <w:r>
        <w:rPr>
          <w:rFonts w:ascii="Courier New" w:cs="Courier New" w:eastAsia="Courier New" w:hAnsi="Courier New"/>
          <w:sz w:val="15"/>
          <w:szCs w:val="15"/>
          <w:color w:val="auto"/>
        </w:rPr>
        <w:t>RESULTS OF OPERATIONS AND FINANCIAL CONDITION.</w:t>
      </w:r>
    </w:p>
    <w:p>
      <w:pPr>
        <w:spacing w:after="0" w:line="182"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On February 1, 2006, Active Power, Inc. issued a press release reporting its results of operations for its fiscal quarter and year ended December 31, 2005. A copy of the press release is furnished herewith as Exhibit 99.1.</w:t>
      </w:r>
    </w:p>
    <w:p>
      <w:pPr>
        <w:spacing w:after="0" w:line="176" w:lineRule="exact"/>
        <w:rPr>
          <w:sz w:val="24"/>
          <w:szCs w:val="24"/>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75" w:lineRule="exact"/>
        <w:rPr>
          <w:sz w:val="24"/>
          <w:szCs w:val="24"/>
          <w:color w:val="auto"/>
        </w:rPr>
      </w:pPr>
    </w:p>
    <w:p>
      <w:pPr>
        <w:ind w:left="6"/>
        <w:spacing w:after="0"/>
        <w:tabs>
          <w:tab w:leader="none" w:pos="1266" w:val="left"/>
        </w:tabs>
        <w:rPr>
          <w:sz w:val="20"/>
          <w:szCs w:val="20"/>
          <w:color w:val="auto"/>
        </w:rPr>
      </w:pPr>
      <w:r>
        <w:rPr>
          <w:rFonts w:ascii="Courier New" w:cs="Courier New" w:eastAsia="Courier New" w:hAnsi="Courier New"/>
          <w:sz w:val="15"/>
          <w:szCs w:val="15"/>
          <w:color w:val="auto"/>
        </w:rPr>
        <w:t>ITEM 9.01.</w:t>
      </w:r>
      <w:r>
        <w:rPr>
          <w:sz w:val="20"/>
          <w:szCs w:val="20"/>
          <w:color w:val="auto"/>
        </w:rPr>
        <w:tab/>
      </w:r>
      <w:r>
        <w:rPr>
          <w:rFonts w:ascii="Courier New" w:cs="Courier New" w:eastAsia="Courier New" w:hAnsi="Courier New"/>
          <w:sz w:val="15"/>
          <w:szCs w:val="15"/>
          <w:color w:val="auto"/>
        </w:rPr>
        <w:t>EXHIBITS AND FINANCIAL STATEMENTS.</w:t>
      </w:r>
    </w:p>
    <w:p>
      <w:pPr>
        <w:spacing w:after="0" w:line="182" w:lineRule="exact"/>
        <w:rPr>
          <w:sz w:val="24"/>
          <w:szCs w:val="24"/>
          <w:color w:val="auto"/>
        </w:rPr>
      </w:pPr>
    </w:p>
    <w:p>
      <w:pPr>
        <w:ind w:left="466" w:hanging="466"/>
        <w:spacing w:after="0"/>
        <w:tabs>
          <w:tab w:leader="none" w:pos="4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99.1 Press Release dated February 1, 2006</w:t>
      </w:r>
    </w:p>
    <w:p>
      <w:pPr>
        <w:sectPr>
          <w:pgSz w:w="11900" w:h="16838" w:orient="portrait"/>
          <w:cols w:equalWidth="0" w:num="1">
            <w:col w:w="10225"/>
          </w:cols>
          <w:pgMar w:left="234" w:top="235" w:right="1440" w:bottom="916" w:gutter="0" w:footer="0" w:header="0"/>
        </w:sectPr>
      </w:pPr>
    </w:p>
    <w:bookmarkStart w:id="1" w:name="page2"/>
    <w:bookmarkEnd w:id="1"/>
    <w:p>
      <w:pPr>
        <w:jc w:val="center"/>
        <w:ind w:right="2819"/>
        <w:spacing w:after="0"/>
        <w:rPr>
          <w:sz w:val="20"/>
          <w:szCs w:val="20"/>
          <w:color w:val="auto"/>
        </w:rPr>
      </w:pPr>
      <w:r>
        <w:rPr>
          <w:rFonts w:ascii="Courier New" w:cs="Courier New" w:eastAsia="Courier New" w:hAnsi="Courier New"/>
          <w:sz w:val="15"/>
          <w:szCs w:val="15"/>
          <w:color w:val="auto"/>
        </w:rPr>
        <w:t>SIGNATURE</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ACTIVE POWER, INC.</w:t>
      </w:r>
    </w:p>
    <w:p>
      <w:pPr>
        <w:sectPr>
          <w:pgSz w:w="11900" w:h="16838" w:orient="portrait"/>
          <w:cols w:equalWidth="0" w:num="1">
            <w:col w:w="10219"/>
          </w:cols>
          <w:pgMar w:left="240" w:top="647" w:right="1440" w:bottom="144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2006</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F. Pinkerton III</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Joseph F. Pinkerton III</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Chairman of the Board and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3">
            <w:col w:w="540" w:space="180"/>
            <w:col w:w="2960" w:space="720"/>
            <w:col w:w="5819"/>
          </w:cols>
          <w:pgMar w:left="240" w:top="647" w:right="1440" w:bottom="1440" w:gutter="0" w:footer="0" w:header="0"/>
          <w:type w:val="continuous"/>
        </w:sectPr>
      </w:pPr>
    </w:p>
    <w:bookmarkStart w:id="2" w:name="page3"/>
    <w:bookmarkEnd w:id="2"/>
    <w:p>
      <w:pPr>
        <w:spacing w:after="0" w:line="35"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99.1</w:t>
      </w:r>
    </w:p>
    <w:p>
      <w:pPr>
        <w:spacing w:after="0" w:line="6"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PRESS RELEASE DATED FEBRUARY 1, 2006</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ACTIVE POWER ANNOUNCES FOURTH QUARTER RESULTS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AUSTIN, Texas (February 1, 2006) -- Active Power, Inc. (NASDAQ: ACPW) today announced results for its fourth quarter ended December 31, 2005. Revenue for the fourth quarter of fiscal 2005 was $5.2 million, up 9% from the same period last year and 14% from the previous quarter. Revenue for the year ended December 31, 2005 was $17.8 million, up 13% from the 2004 total of $15.8 million.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Net loss for the fourth quarter of 2005 was $6.8 million, or 14 cents per share, compared to a net loss of $5.1 million, or 12 cents per share, for the same period last year and a net loss of $5.2 million, or 11 cents per share in the third quarter of 2005. Net loss for the current quarter was affected by $2.1 million in charges for technology impairments related to license agreements signed in 2000 and 2001 for third party technologies that we have decided not to commercialize and by an increase in our provision for doubtful accounts relating to certain foreign customer receivables.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investments usage for the quarter was $6.4 million, as compared to</w:t>
      </w:r>
    </w:p>
    <w:p>
      <w:pPr>
        <w:spacing w:after="0" w:line="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$10.8 million for the same period last year and $6.8 million for the previous quarter. The fourth quarter's cash and investment usage was greater than expected due to lower than anticipated collections from certain foreign customers. Cash and investments at December 31, 2005 were $42.0 million.</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"We continue to see growth in our megawatt-class UPS business, with five systems shipping during the fourth quarter and the receipt of our largest megawatt-class UPS order to date earlier this week," said Joe Pinkerton, Chairman and CEO of Active Power. "We have also made significant progress on our newest product, CoolAir(TM) DC, with its public launch and the first sale during the quarter. Our company enters 2006 with the broadest offering of three-phase UPS and energy storage systems on the market. We are making significant investments in sales and marketing to increase our market penetration with these products. To that end, we promoted Jim Clishem to be our President and COO. Jim is focusing our sales teams by geography and has hired two industry veterans to run these groups."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Business Highlights:</w:t>
      </w:r>
    </w:p>
    <w:p>
      <w:pPr>
        <w:spacing w:after="0" w:line="182" w:lineRule="exact"/>
        <w:rPr>
          <w:sz w:val="20"/>
          <w:szCs w:val="20"/>
          <w:color w:val="auto"/>
        </w:rPr>
      </w:pPr>
    </w:p>
    <w:p>
      <w:pPr>
        <w:ind w:left="920" w:right="289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Announced this week the receipt of an 11 Megawatt UPS order from Caterpillar that will be used to protect a large datacenter in the United States. This order is our largest single megawatt-class UPS order received to date. We believe this order will be shipped over the first half of this year.</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Launched our new battery-free extended runtime product, CoolAir(TM) DC, at the 7 x 24 Exchange Fall Conference in November. We followed up this launch with the first sale of a CoolAir(TM) DC product in December. The sale followed a detailed evaluation process over several months in which a leading utility company tested the unit in a number of different applications.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0"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Completed the enlistment and training of manufacturer's representative firms that will sell our CoolAir(TM) DC product throughout North America. We now have over 25 representative firms engaged, trained and ready to sell our equipment.</w:t>
      </w:r>
    </w:p>
    <w:p>
      <w:pPr>
        <w:spacing w:after="0" w:line="175"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Shipped 1.8 MVA of UPS systems to protect the runway lights at the largest airport in Mexico, Aeropuerto Internacional de la Ciudad de Mexico. We shipped an additional 1 MVA of UPS equipment to an airport in the Middle East.</w:t>
      </w:r>
    </w:p>
    <w:p>
      <w:pPr>
        <w:spacing w:after="0" w:line="175" w:lineRule="exact"/>
        <w:rPr>
          <w:rFonts w:ascii="Courier New" w:cs="Courier New" w:eastAsia="Courier New" w:hAnsi="Courier New"/>
          <w:sz w:val="15"/>
          <w:szCs w:val="15"/>
          <w:color w:val="auto"/>
        </w:rPr>
      </w:pPr>
    </w:p>
    <w:p>
      <w:pPr>
        <w:ind w:left="920" w:right="317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an early adopter agreement with a multi-billion dollar corporation and UPS systems manufacturer to test and evaluate our CoolAir(TM) DC at one of its test facilities in Europe.</w:t>
      </w:r>
    </w:p>
    <w:p>
      <w:pPr>
        <w:spacing w:after="0" w:line="175"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Shipped multiple DC and UPS flywheel units to seven separate datacenter customers in Q4. We believe equipment sales will continue to increase with the resurgent growth of the datacenter market.</w:t>
      </w:r>
    </w:p>
    <w:p>
      <w:pPr>
        <w:spacing w:after="0" w:line="175" w:lineRule="exact"/>
        <w:rPr>
          <w:rFonts w:ascii="Courier New" w:cs="Courier New" w:eastAsia="Courier New" w:hAnsi="Courier New"/>
          <w:sz w:val="15"/>
          <w:szCs w:val="15"/>
          <w:color w:val="auto"/>
        </w:rPr>
      </w:pPr>
    </w:p>
    <w:p>
      <w:pPr>
        <w:ind w:left="920" w:right="3179" w:hanging="468"/>
        <w:spacing w:after="0" w:line="250"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our strong international presence with shipments to seven countries. International sales constituted 36% of revenue in Q4.</w:t>
      </w:r>
    </w:p>
    <w:p>
      <w:pPr>
        <w:spacing w:after="0" w:line="174"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the 2005 Award for Customer Development Leadership from Frost &amp; Sullivan, a leading backup power industry analyst.</w:t>
      </w:r>
    </w:p>
    <w:p>
      <w:pPr>
        <w:spacing w:after="0" w:line="174"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Announced the appointment of Jim Clishem as President and Chief Operating Officer of the Company. Mr. Clishem will run the day-to-day operations of the company, with a particular focus on sales, marketing and operating expense reduction.</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Announced Ian Bitterlin as the new Vice President of Sales for the European, Middle East, and African (EMEA) markets. Mr. Bitterlin brings a wealth of international UPS sales experience to Active Power. His appointment reinforces our strategy to dramatically grow our global power quality solutions business.</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Promoted industry veteran John Rodenhausen to be our Vice President of</w:t>
      </w:r>
    </w:p>
    <w:p>
      <w:pPr>
        <w:sectPr>
          <w:pgSz w:w="11900" w:h="16873" w:orient="portrait"/>
          <w:cols w:equalWidth="0" w:num="1">
            <w:col w:w="10219"/>
          </w:cols>
          <w:pgMar w:left="240" w:top="142" w:right="1440" w:bottom="0" w:gutter="0" w:footer="0" w:header="0"/>
        </w:sectPr>
      </w:pPr>
    </w:p>
    <w:bookmarkStart w:id="3" w:name="page4"/>
    <w:bookmarkEnd w:id="3"/>
    <w:p>
      <w:pPr>
        <w:ind w:left="920" w:right="2979"/>
        <w:spacing w:after="0" w:line="249" w:lineRule="auto"/>
        <w:rPr>
          <w:sz w:val="20"/>
          <w:szCs w:val="20"/>
          <w:color w:val="auto"/>
        </w:rPr>
      </w:pPr>
      <w:r>
        <w:rPr>
          <w:rFonts w:ascii="Courier New" w:cs="Courier New" w:eastAsia="Courier New" w:hAnsi="Courier New"/>
          <w:sz w:val="15"/>
          <w:szCs w:val="15"/>
          <w:color w:val="auto"/>
        </w:rPr>
        <w:t>Sales for the Americas. Mr. Rodenhausen had been serving as our Director of Static UPS Business, focusing primarily on the establishment of a North American manufacturer's representative sales channel selling our double conversion UPS line and new CoolAir(TM) DC product.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Active Power expects Q1 2006 revenue to be approximately $4.5 to $5.5 million, and Q1 earnings per share to be a loss of approximately 13 to 15 cents, which includes approximately 2 cents per share for stock compensation expenses pursuant to FAS 123R. We expect cash and investments usage in Q1 to be in the range of $5.0 to $6.0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CONFERENCE CALL:</w:t>
      </w:r>
    </w:p>
    <w:p>
      <w:pPr>
        <w:spacing w:after="0" w:line="182"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The Company will host a conference call today, Wednesday, February 1, at 11:00 a.m. Eastern Time, to further review the Company's fiscal Q4 results. A replay of the webcast will be available until February 15th. Investors may access the live broadcast and replay through our web site: www.activepower.com.</w:t>
      </w:r>
    </w:p>
    <w:p>
      <w:pPr>
        <w:sectPr>
          <w:pgSz w:w="11900" w:h="16838" w:orient="portrait"/>
          <w:cols w:equalWidth="0" w:num="1">
            <w:col w:w="10219"/>
          </w:cols>
          <w:pgMar w:left="240" w:top="14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ABOUT ACTIVE POWER:</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CleanSource(R), that provides a highly reliable, low-cost and non-toxic replacement for lead-acid batteries used in conventional power quality installations. Active Power has also recently developed a new battery-free extended runtime product line (CoolAir(TM)) based on its proprietary thermal and compressed air storage technology.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Caterpillar(R); competition; delays in research and development; dependence on sole or limited source suppliers; inability to increase product sales; inventory risks; dependence upon key personnel; inability to protect our intellectual property rights; potential future acquisitions; potential Sarbanes-Oxley Section 404 compliance issues;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8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Active Power and our Active Power logo and CleanSource are registered trademarks of Active Power, Inc. All other trademarks are the properties of their respective companies.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CONTACTS: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Chibib, Investors, 512.744.9453, mchibib@activepower.com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Derek Jones, Corporate Communications, 512.744.9210, djones@activepower.com</w:t>
      </w:r>
    </w:p>
    <w:p>
      <w:pPr>
        <w:sectPr>
          <w:pgSz w:w="11900" w:h="16838" w:orient="portrait"/>
          <w:cols w:equalWidth="0" w:num="1">
            <w:col w:w="10219"/>
          </w:cols>
          <w:pgMar w:left="240" w:top="647" w:right="1440" w:bottom="1440" w:gutter="0" w:footer="0" w:header="0"/>
        </w:sectPr>
      </w:pPr>
    </w:p>
    <w:bookmarkStart w:id="5" w:name="page6"/>
    <w:bookmarkEnd w:id="5"/>
    <w:p>
      <w:pPr>
        <w:jc w:val="center"/>
        <w:ind w:right="4200"/>
        <w:spacing w:after="0"/>
        <w:rPr>
          <w:sz w:val="20"/>
          <w:szCs w:val="20"/>
          <w:color w:val="auto"/>
        </w:rPr>
      </w:pPr>
      <w:r>
        <w:rPr>
          <w:rFonts w:ascii="Courier New" w:cs="Courier New" w:eastAsia="Courier New" w:hAnsi="Courier New"/>
          <w:sz w:val="15"/>
          <w:szCs w:val="15"/>
          <w:color w:val="auto"/>
        </w:rPr>
        <w:t>ACTIVE POWER, INC.</w:t>
      </w:r>
    </w:p>
    <w:p>
      <w:pPr>
        <w:spacing w:after="0" w:line="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CONDENSED STATEMENTS OF OPERATIONS</w:t>
      </w:r>
    </w:p>
    <w:p>
      <w:pPr>
        <w:spacing w:after="0" w:line="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(Thousands, except per share amounts)</w:t>
      </w:r>
    </w:p>
    <w:p>
      <w:pPr>
        <w:spacing w:after="0" w:line="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THREE MONTHS ENDED</w:t>
            </w:r>
          </w:p>
        </w:tc>
        <w:tc>
          <w:tcPr>
            <w:tcW w:w="280" w:type="dxa"/>
            <w:vAlign w:val="bottom"/>
          </w:tcPr>
          <w:p>
            <w:pPr>
              <w:spacing w:after="0"/>
              <w:rPr>
                <w:sz w:val="14"/>
                <w:szCs w:val="14"/>
                <w:color w:val="auto"/>
              </w:rPr>
            </w:pPr>
          </w:p>
        </w:tc>
        <w:tc>
          <w:tcPr>
            <w:tcW w:w="236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TWELVE MONTHS ENDED</w:t>
            </w:r>
          </w:p>
        </w:tc>
      </w:tr>
      <w:tr>
        <w:trPr>
          <w:trHeight w:val="176"/>
        </w:trPr>
        <w:tc>
          <w:tcPr>
            <w:tcW w:w="6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15"/>
                <w:szCs w:val="15"/>
                <w:color w:val="auto"/>
              </w:rPr>
            </w:pPr>
          </w:p>
        </w:tc>
      </w:tr>
      <w:tr>
        <w:trPr>
          <w:trHeight w:val="176"/>
        </w:trPr>
        <w:tc>
          <w:tcPr>
            <w:tcW w:w="6040" w:type="dxa"/>
            <w:vAlign w:val="bottom"/>
          </w:tcPr>
          <w:p>
            <w:pPr>
              <w:spacing w:after="0"/>
              <w:rPr>
                <w:sz w:val="15"/>
                <w:szCs w:val="15"/>
                <w:color w:val="auto"/>
              </w:rPr>
            </w:pPr>
          </w:p>
        </w:tc>
        <w:tc>
          <w:tcPr>
            <w:tcW w:w="284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2005</w:t>
            </w:r>
          </w:p>
        </w:tc>
        <w:tc>
          <w:tcPr>
            <w:tcW w:w="460" w:type="dxa"/>
            <w:vAlign w:val="bottom"/>
          </w:tcPr>
          <w:p>
            <w:pPr>
              <w:spacing w:after="0"/>
              <w:rPr>
                <w:sz w:val="15"/>
                <w:szCs w:val="15"/>
                <w:color w:val="auto"/>
              </w:rPr>
            </w:pPr>
          </w:p>
        </w:tc>
        <w:tc>
          <w:tcPr>
            <w:tcW w:w="9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2004</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2005</w:t>
            </w:r>
          </w:p>
        </w:tc>
        <w:tc>
          <w:tcPr>
            <w:tcW w:w="460" w:type="dxa"/>
            <w:vAlign w:val="bottom"/>
          </w:tcPr>
          <w:p>
            <w:pPr>
              <w:spacing w:after="0"/>
              <w:rPr>
                <w:sz w:val="15"/>
                <w:szCs w:val="15"/>
                <w:color w:val="auto"/>
              </w:rPr>
            </w:pPr>
          </w:p>
        </w:tc>
        <w:tc>
          <w:tcPr>
            <w:tcW w:w="80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4"/>
              </w:rPr>
              <w:t>2004</w:t>
            </w:r>
          </w:p>
        </w:tc>
      </w:tr>
      <w:tr>
        <w:trPr>
          <w:trHeight w:val="176"/>
        </w:trPr>
        <w:tc>
          <w:tcPr>
            <w:tcW w:w="60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04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4,786</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4,368</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15,854</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14,050</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Service and spares revenue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374</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1,934</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1,733</w:t>
            </w:r>
          </w:p>
        </w:tc>
      </w:tr>
      <w:tr>
        <w:trPr>
          <w:trHeight w:val="176"/>
        </w:trPr>
        <w:tc>
          <w:tcPr>
            <w:tcW w:w="60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Total revenue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5,160</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4,754</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17,788</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15,783</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Cost of product revenue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4,811</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4,152</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16,159</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16,130</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 and spares revenue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327</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473</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1,869</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1,900</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3,341</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2,520</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11,172</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9,837</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&amp; administrative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3,793</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2,979</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13,854</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11,559</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Litigation settlement expense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5,080</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w:t>
            </w:r>
          </w:p>
        </w:tc>
      </w:tr>
      <w:tr>
        <w:trPr>
          <w:trHeight w:val="176"/>
        </w:trPr>
        <w:tc>
          <w:tcPr>
            <w:tcW w:w="60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 expenses</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12,326</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10,124</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43,108</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44,540</w:t>
            </w:r>
          </w:p>
        </w:tc>
      </w:tr>
      <w:tr>
        <w:trPr>
          <w:trHeight w:val="176"/>
        </w:trPr>
        <w:tc>
          <w:tcPr>
            <w:tcW w:w="60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4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(7,166)</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(5,370)</w:t>
            </w:r>
          </w:p>
        </w:tc>
        <w:tc>
          <w:tcPr>
            <w:tcW w:w="2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(25,320)</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(28,757)</w:t>
            </w:r>
          </w:p>
        </w:tc>
      </w:tr>
      <w:tr>
        <w:trPr>
          <w:trHeight w:val="352"/>
        </w:trPr>
        <w:tc>
          <w:tcPr>
            <w:tcW w:w="60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2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420</w:t>
            </w:r>
          </w:p>
        </w:tc>
        <w:tc>
          <w:tcPr>
            <w:tcW w:w="4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234</w:t>
            </w:r>
          </w:p>
        </w:tc>
        <w:tc>
          <w:tcPr>
            <w:tcW w:w="28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1,632</w:t>
            </w:r>
          </w:p>
        </w:tc>
        <w:tc>
          <w:tcPr>
            <w:tcW w:w="46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1,066</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Gain due to change in market value of investment rights</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964</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(6,772)</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(5,133)</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(22,891)</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(27,780)</w:t>
            </w:r>
          </w:p>
        </w:tc>
      </w:tr>
      <w:tr>
        <w:trPr>
          <w:trHeight w:val="176"/>
        </w:trPr>
        <w:tc>
          <w:tcPr>
            <w:tcW w:w="60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040" w:type="dxa"/>
            <w:vAlign w:val="bottom"/>
          </w:tcPr>
          <w:p>
            <w:pPr>
              <w:spacing w:after="0"/>
              <w:rPr>
                <w:sz w:val="20"/>
                <w:szCs w:val="20"/>
                <w:color w:val="auto"/>
              </w:rPr>
            </w:pPr>
            <w:r>
              <w:rPr>
                <w:rFonts w:ascii="Courier New" w:cs="Courier New" w:eastAsia="Courier New" w:hAnsi="Courier New"/>
                <w:sz w:val="15"/>
                <w:szCs w:val="15"/>
                <w:color w:val="auto"/>
              </w:rPr>
              <w:t>Net loss per share, basic &amp; diluted</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(0.14)</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(0.12)</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(0.48)</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loss per share, basic &amp; diluted</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48,792</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42,677</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48,058</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42,471</w:t>
            </w:r>
          </w:p>
        </w:tc>
      </w:tr>
      <w:tr>
        <w:trPr>
          <w:trHeight w:val="352"/>
        </w:trPr>
        <w:tc>
          <w:tcPr>
            <w:tcW w:w="6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(6,772)</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(5,133)</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(22,891)</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(27,780)</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(loss) on investments in marketable securities</w:t>
            </w:r>
          </w:p>
        </w:tc>
        <w:tc>
          <w:tcPr>
            <w:tcW w:w="4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w:t>
            </w:r>
          </w:p>
        </w:tc>
        <w:tc>
          <w:tcPr>
            <w:tcW w:w="2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Realized loss on marketable securities</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w:t>
            </w:r>
          </w:p>
        </w:tc>
      </w:tr>
      <w:tr>
        <w:trPr>
          <w:trHeight w:val="176"/>
        </w:trPr>
        <w:tc>
          <w:tcPr>
            <w:tcW w:w="60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Comprehensive loss</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(6,778)</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(5,106)</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(22,897)</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(27,946)</w:t>
            </w:r>
          </w:p>
        </w:tc>
      </w:tr>
      <w:tr>
        <w:trPr>
          <w:trHeight w:val="176"/>
        </w:trPr>
        <w:tc>
          <w:tcPr>
            <w:tcW w:w="604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647" w:right="139" w:bottom="1440" w:gutter="0" w:footer="0" w:header="0"/>
        </w:sectPr>
      </w:pPr>
    </w:p>
    <w:bookmarkStart w:id="6" w:name="page7"/>
    <w:bookmarkEnd w:id="6"/>
    <w:p>
      <w:pPr>
        <w:jc w:val="center"/>
        <w:ind w:right="2899"/>
        <w:spacing w:after="0"/>
        <w:rPr>
          <w:sz w:val="20"/>
          <w:szCs w:val="20"/>
          <w:color w:val="auto"/>
        </w:rPr>
      </w:pPr>
      <w:r>
        <w:rPr>
          <w:rFonts w:ascii="Courier New" w:cs="Courier New" w:eastAsia="Courier New" w:hAnsi="Courier New"/>
          <w:sz w:val="15"/>
          <w:szCs w:val="15"/>
          <w:color w:val="auto"/>
        </w:rPr>
        <w:t>ACTIVE POWER, INC.</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CONDENSED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ind w:left="3200"/>
              <w:spacing w:after="0"/>
              <w:rPr>
                <w:sz w:val="20"/>
                <w:szCs w:val="20"/>
                <w:color w:val="auto"/>
              </w:rPr>
            </w:pPr>
            <w:r>
              <w:rPr>
                <w:rFonts w:ascii="Courier New" w:cs="Courier New" w:eastAsia="Courier New" w:hAnsi="Courier New"/>
                <w:sz w:val="15"/>
                <w:szCs w:val="15"/>
                <w:color w:val="auto"/>
              </w:rPr>
              <w:t>(Thousands)</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705"/>
        </w:trPr>
        <w:tc>
          <w:tcPr>
            <w:tcW w:w="498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r>
      <w:tr>
        <w:trPr>
          <w:trHeight w:val="176"/>
        </w:trPr>
        <w:tc>
          <w:tcPr>
            <w:tcW w:w="4980" w:type="dxa"/>
            <w:vAlign w:val="bottom"/>
          </w:tcPr>
          <w:p>
            <w:pPr>
              <w:spacing w:after="0"/>
              <w:rPr>
                <w:sz w:val="15"/>
                <w:szCs w:val="15"/>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1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7,590</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17,625</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Restricted cash</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116</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741</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 in marketable securities</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31,364</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21,308</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5,769</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4,143</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4,242</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3,966</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596</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1,028</w:t>
            </w:r>
          </w:p>
        </w:tc>
      </w:tr>
      <w:tr>
        <w:trPr>
          <w:trHeight w:val="176"/>
        </w:trPr>
        <w:tc>
          <w:tcPr>
            <w:tcW w:w="4980" w:type="dxa"/>
            <w:vAlign w:val="bottom"/>
          </w:tcPr>
          <w:p>
            <w:pPr>
              <w:spacing w:after="0"/>
              <w:rPr>
                <w:sz w:val="15"/>
                <w:szCs w:val="15"/>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49,677</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48,811</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7,530</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7,829</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725</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Long-term investments in marketable securities</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2,970</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6,001</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Deposits and other</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188</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820"/>
              <w:spacing w:after="0"/>
              <w:rPr>
                <w:sz w:val="20"/>
                <w:szCs w:val="20"/>
                <w:color w:val="auto"/>
              </w:rPr>
            </w:pPr>
            <w:r>
              <w:rPr>
                <w:rFonts w:ascii="Courier New" w:cs="Courier New" w:eastAsia="Courier New" w:hAnsi="Courier New"/>
                <w:sz w:val="15"/>
                <w:szCs w:val="15"/>
                <w:color w:val="auto"/>
              </w:rPr>
              <w:t>Total assets</w:t>
            </w:r>
          </w:p>
        </w:tc>
        <w:tc>
          <w:tcPr>
            <w:tcW w:w="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60,365</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63,366</w:t>
            </w:r>
          </w:p>
        </w:tc>
      </w:tr>
      <w:tr>
        <w:trPr>
          <w:trHeight w:val="176"/>
        </w:trPr>
        <w:tc>
          <w:tcPr>
            <w:tcW w:w="4980" w:type="dxa"/>
            <w:vAlign w:val="bottom"/>
          </w:tcPr>
          <w:p>
            <w:pPr>
              <w:spacing w:after="0"/>
              <w:rPr>
                <w:sz w:val="15"/>
                <w:szCs w:val="15"/>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2,264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1,649</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3,780</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3,410</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205</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w:t>
            </w:r>
          </w:p>
        </w:tc>
      </w:tr>
      <w:tr>
        <w:trPr>
          <w:trHeight w:val="176"/>
        </w:trPr>
        <w:tc>
          <w:tcPr>
            <w:tcW w:w="4980" w:type="dxa"/>
            <w:vAlign w:val="bottom"/>
          </w:tcPr>
          <w:p>
            <w:pPr>
              <w:spacing w:after="0"/>
              <w:rPr>
                <w:sz w:val="15"/>
                <w:szCs w:val="15"/>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6,249</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5,273</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Treasury stock</w:t>
            </w:r>
          </w:p>
        </w:tc>
        <w:tc>
          <w:tcPr>
            <w:tcW w:w="5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Deferred stock compensation</w:t>
            </w:r>
          </w:p>
        </w:tc>
        <w:tc>
          <w:tcPr>
            <w:tcW w:w="5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(293)</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235,147</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215,937</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5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(180,689)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(157,798)</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Other accumulated comprehensive income</w:t>
            </w:r>
          </w:p>
        </w:tc>
        <w:tc>
          <w:tcPr>
            <w:tcW w:w="5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6"/>
        </w:trPr>
        <w:tc>
          <w:tcPr>
            <w:tcW w:w="4980" w:type="dxa"/>
            <w:vAlign w:val="bottom"/>
          </w:tcPr>
          <w:p>
            <w:pPr>
              <w:spacing w:after="0"/>
              <w:rPr>
                <w:sz w:val="15"/>
                <w:szCs w:val="15"/>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820"/>
              <w:spacing w:after="0"/>
              <w:rPr>
                <w:sz w:val="20"/>
                <w:szCs w:val="20"/>
                <w:color w:val="auto"/>
              </w:rPr>
            </w:pPr>
            <w:r>
              <w:rPr>
                <w:rFonts w:ascii="Courier New" w:cs="Courier New" w:eastAsia="Courier New" w:hAnsi="Courier New"/>
                <w:sz w:val="15"/>
                <w:szCs w:val="15"/>
                <w:color w:val="auto"/>
              </w:rPr>
              <w:t>Total stockholders' equity</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54,116</w:t>
            </w:r>
          </w:p>
        </w:tc>
        <w:tc>
          <w:tcPr>
            <w:tcW w:w="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58,093</w:t>
            </w:r>
          </w:p>
        </w:tc>
      </w:tr>
      <w:tr>
        <w:trPr>
          <w:trHeight w:val="176"/>
        </w:trPr>
        <w:tc>
          <w:tcPr>
            <w:tcW w:w="4980" w:type="dxa"/>
            <w:vAlign w:val="bottom"/>
          </w:tcPr>
          <w:p>
            <w:pPr>
              <w:spacing w:after="0"/>
              <w:rPr>
                <w:sz w:val="15"/>
                <w:szCs w:val="15"/>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60,365</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63,366</w:t>
            </w:r>
          </w:p>
        </w:tc>
      </w:tr>
      <w:tr>
        <w:trPr>
          <w:trHeight w:val="176"/>
        </w:trPr>
        <w:tc>
          <w:tcPr>
            <w:tcW w:w="4980" w:type="dxa"/>
            <w:vAlign w:val="bottom"/>
          </w:tcPr>
          <w:p>
            <w:pPr>
              <w:spacing w:after="0"/>
              <w:rPr>
                <w:sz w:val="15"/>
                <w:szCs w:val="15"/>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19"/>
      </w:cols>
      <w:pgMar w:left="240" w:top="6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2019-12-14T17:58:46Z</dcterms:created>
  <dcterms:modified xsi:type="dcterms:W3CDTF">2019-12-14T17:58:46Z</dcterms:modified>
</cp:coreProperties>
</file>