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As filed with the Securities and Exchange Commission on April 30, 2004</w:t>
      </w:r>
    </w:p>
    <w:p>
      <w:pPr>
        <w:spacing w:after="0" w:line="15" w:lineRule="exact"/>
        <w:rPr>
          <w:sz w:val="24"/>
          <w:szCs w:val="24"/>
          <w:color w:val="auto"/>
        </w:rPr>
      </w:pPr>
    </w:p>
    <w:p>
      <w:pPr>
        <w:jc w:val="right"/>
        <w:ind w:right="5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116840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REGISTRATION STATEMENT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Under</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116840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p>
      <w:pPr>
        <w:ind w:left="246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74-2961657</w:t>
      </w:r>
    </w:p>
    <w:p>
      <w:pPr>
        <w:spacing w:after="0" w:line="12" w:lineRule="exact"/>
        <w:rPr>
          <w:sz w:val="24"/>
          <w:szCs w:val="24"/>
          <w:color w:val="auto"/>
        </w:rPr>
      </w:pPr>
    </w:p>
    <w:p>
      <w:pPr>
        <w:ind w:left="2040"/>
        <w:spacing w:after="0"/>
        <w:tabs>
          <w:tab w:leader="none" w:pos="7680" w:val="left"/>
        </w:tabs>
        <w:rPr>
          <w:sz w:val="20"/>
          <w:szCs w:val="20"/>
          <w:color w:val="auto"/>
        </w:rPr>
      </w:pPr>
      <w:r>
        <w:rPr>
          <w:rFonts w:ascii="Arial" w:cs="Arial" w:eastAsia="Arial" w:hAnsi="Arial"/>
          <w:sz w:val="14"/>
          <w:szCs w:val="14"/>
          <w:b w:val="1"/>
          <w:bCs w:val="1"/>
          <w:color w:val="auto"/>
        </w:rPr>
        <w:t>(State or other jurisdiction</w:t>
      </w:r>
      <w:r>
        <w:rPr>
          <w:sz w:val="20"/>
          <w:szCs w:val="20"/>
          <w:color w:val="auto"/>
        </w:rPr>
        <w:tab/>
      </w:r>
      <w:r>
        <w:rPr>
          <w:rFonts w:ascii="Arial" w:cs="Arial" w:eastAsia="Arial" w:hAnsi="Arial"/>
          <w:sz w:val="12"/>
          <w:szCs w:val="12"/>
          <w:b w:val="1"/>
          <w:bCs w:val="1"/>
          <w:color w:val="auto"/>
        </w:rPr>
        <w:t>(IRS Employer Identification No.)</w:t>
      </w:r>
    </w:p>
    <w:p>
      <w:pPr>
        <w:ind w:left="1860"/>
        <w:spacing w:after="0"/>
        <w:rPr>
          <w:sz w:val="20"/>
          <w:szCs w:val="20"/>
          <w:color w:val="auto"/>
        </w:rPr>
      </w:pPr>
      <w:r>
        <w:rPr>
          <w:rFonts w:ascii="Arial" w:cs="Arial" w:eastAsia="Arial" w:hAnsi="Arial"/>
          <w:sz w:val="14"/>
          <w:szCs w:val="14"/>
          <w:b w:val="1"/>
          <w:bCs w:val="1"/>
          <w:color w:val="auto"/>
        </w:rPr>
        <w:t>of incorporation or organization)</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2128 W. Braker Lane, B12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STOCK INCENTIVE PLAN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EMPLOYEE STOCK PURCHASE PLAN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Joseph F. Pinkerton, III</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2128 W. Braker Lane, B12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p>
      <w:pPr>
        <w:spacing w:after="0" w:line="200" w:lineRule="exact"/>
        <w:rPr>
          <w:sz w:val="24"/>
          <w:szCs w:val="24"/>
          <w:color w:val="auto"/>
        </w:rPr>
      </w:pPr>
    </w:p>
    <w:p>
      <w:pPr>
        <w:spacing w:after="0" w:line="337" w:lineRule="exact"/>
        <w:rPr>
          <w:sz w:val="24"/>
          <w:szCs w:val="24"/>
          <w:color w:val="auto"/>
        </w:rPr>
      </w:pPr>
    </w:p>
    <w:p>
      <w:pPr>
        <w:jc w:val="right"/>
        <w:ind w:right="920"/>
        <w:spacing w:after="0"/>
        <w:rPr>
          <w:sz w:val="20"/>
          <w:szCs w:val="20"/>
          <w:color w:val="auto"/>
        </w:rPr>
      </w:pPr>
      <w:r>
        <w:rPr>
          <w:rFonts w:ascii="Arial" w:cs="Arial" w:eastAsia="Arial" w:hAnsi="Arial"/>
          <w:sz w:val="14"/>
          <w:szCs w:val="14"/>
          <w:b w:val="1"/>
          <w:bCs w:val="1"/>
          <w:color w:val="auto"/>
        </w:rPr>
        <w:t>Title of Securities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68580</wp:posOffset>
            </wp:positionV>
            <wp:extent cx="1431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2" w:lineRule="exact"/>
        <w:rPr>
          <w:sz w:val="24"/>
          <w:szCs w:val="24"/>
          <w:color w:val="auto"/>
        </w:rPr>
      </w:pPr>
    </w:p>
    <w:p>
      <w:pPr>
        <w:ind w:right="1620"/>
        <w:spacing w:after="0" w:line="370" w:lineRule="auto"/>
        <w:rPr>
          <w:sz w:val="20"/>
          <w:szCs w:val="20"/>
          <w:color w:val="auto"/>
        </w:rPr>
      </w:pPr>
      <w:r>
        <w:rPr>
          <w:rFonts w:ascii="Arial" w:cs="Arial" w:eastAsia="Arial" w:hAnsi="Arial"/>
          <w:sz w:val="15"/>
          <w:szCs w:val="15"/>
          <w:u w:val="single" w:color="auto"/>
          <w:color w:val="auto"/>
        </w:rPr>
        <w:t xml:space="preserve">2000 Stock Incentive Plan </w:t>
      </w:r>
      <w:r>
        <w:rPr>
          <w:rFonts w:ascii="Arial" w:cs="Arial" w:eastAsia="Arial" w:hAnsi="Arial"/>
          <w:sz w:val="15"/>
          <w:szCs w:val="15"/>
          <w:color w:val="auto"/>
        </w:rPr>
        <w:t>Common Stock, $0.001 par value</w:t>
      </w:r>
    </w:p>
    <w:p>
      <w:pPr>
        <w:spacing w:after="0" w:line="22" w:lineRule="exact"/>
        <w:rPr>
          <w:sz w:val="24"/>
          <w:szCs w:val="24"/>
          <w:color w:val="auto"/>
        </w:rPr>
      </w:pPr>
    </w:p>
    <w:p>
      <w:pPr>
        <w:ind w:right="1380"/>
        <w:spacing w:after="0" w:line="370" w:lineRule="auto"/>
        <w:rPr>
          <w:sz w:val="20"/>
          <w:szCs w:val="20"/>
          <w:color w:val="auto"/>
        </w:rPr>
      </w:pPr>
      <w:r>
        <w:rPr>
          <w:rFonts w:ascii="Arial" w:cs="Arial" w:eastAsia="Arial" w:hAnsi="Arial"/>
          <w:sz w:val="15"/>
          <w:szCs w:val="15"/>
          <w:u w:val="single" w:color="auto"/>
          <w:color w:val="auto"/>
        </w:rPr>
        <w:t xml:space="preserve">2000 Employee Stock Purchase Plan </w:t>
      </w:r>
      <w:r>
        <w:rPr>
          <w:rFonts w:ascii="Arial" w:cs="Arial" w:eastAsia="Arial" w:hAnsi="Arial"/>
          <w:sz w:val="15"/>
          <w:szCs w:val="15"/>
          <w:color w:val="auto"/>
        </w:rPr>
        <w:t>Common Stock, $0.001 par value</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Aggregate Registration Fee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0"/>
              </w:rPr>
              <w:t>Proposed</w:t>
            </w:r>
          </w:p>
        </w:tc>
        <w:tc>
          <w:tcPr>
            <w:tcW w:w="7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13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Amount to be</w:t>
            </w:r>
          </w:p>
        </w:tc>
        <w:tc>
          <w:tcPr>
            <w:tcW w:w="5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7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 Aggregate</w:t>
            </w:r>
          </w:p>
        </w:tc>
        <w:tc>
          <w:tcPr>
            <w:tcW w:w="7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Registered(1)</w:t>
            </w:r>
          </w:p>
        </w:tc>
        <w:tc>
          <w:tcPr>
            <w:tcW w:w="5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Price per Share</w:t>
            </w:r>
          </w:p>
        </w:tc>
        <w:tc>
          <w:tcPr>
            <w:tcW w:w="7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7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95"/>
        </w:trPr>
        <w:tc>
          <w:tcPr>
            <w:tcW w:w="1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jc w:val="right"/>
              <w:spacing w:after="0"/>
              <w:rPr>
                <w:sz w:val="20"/>
                <w:szCs w:val="20"/>
                <w:color w:val="auto"/>
              </w:rPr>
            </w:pPr>
            <w:r>
              <w:rPr>
                <w:rFonts w:ascii="Arial" w:cs="Arial" w:eastAsia="Arial" w:hAnsi="Arial"/>
                <w:sz w:val="18"/>
                <w:szCs w:val="18"/>
                <w:color w:val="auto"/>
              </w:rPr>
              <w:t>842,451 shares</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3.23(2)</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92"/>
              <w:spacing w:after="0"/>
              <w:rPr>
                <w:sz w:val="20"/>
                <w:szCs w:val="20"/>
                <w:color w:val="auto"/>
              </w:rPr>
            </w:pPr>
            <w:r>
              <w:rPr>
                <w:rFonts w:ascii="Arial" w:cs="Arial" w:eastAsia="Arial" w:hAnsi="Arial"/>
                <w:sz w:val="18"/>
                <w:szCs w:val="18"/>
                <w:color w:val="auto"/>
                <w:w w:val="94"/>
              </w:rPr>
              <w:t>2,721,116.73(2)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344.77</w:t>
            </w:r>
          </w:p>
        </w:tc>
        <w:tc>
          <w:tcPr>
            <w:tcW w:w="0" w:type="dxa"/>
            <w:vAlign w:val="bottom"/>
          </w:tcPr>
          <w:p>
            <w:pPr>
              <w:spacing w:after="0"/>
              <w:rPr>
                <w:sz w:val="1"/>
                <w:szCs w:val="1"/>
                <w:color w:val="auto"/>
              </w:rPr>
            </w:pPr>
          </w:p>
        </w:tc>
      </w:tr>
      <w:tr>
        <w:trPr>
          <w:trHeight w:val="547"/>
        </w:trPr>
        <w:tc>
          <w:tcPr>
            <w:tcW w:w="1320" w:type="dxa"/>
            <w:vAlign w:val="bottom"/>
          </w:tcPr>
          <w:p>
            <w:pPr>
              <w:jc w:val="right"/>
              <w:spacing w:after="0"/>
              <w:rPr>
                <w:sz w:val="20"/>
                <w:szCs w:val="20"/>
                <w:color w:val="auto"/>
              </w:rPr>
            </w:pPr>
            <w:r>
              <w:rPr>
                <w:rFonts w:ascii="Arial" w:cs="Arial" w:eastAsia="Arial" w:hAnsi="Arial"/>
                <w:sz w:val="18"/>
                <w:szCs w:val="18"/>
                <w:color w:val="auto"/>
              </w:rPr>
              <w:t>210,612 shares</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3.23(2)</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92"/>
              <w:spacing w:after="0"/>
              <w:rPr>
                <w:sz w:val="20"/>
                <w:szCs w:val="20"/>
                <w:color w:val="auto"/>
              </w:rPr>
            </w:pPr>
            <w:r>
              <w:rPr>
                <w:rFonts w:ascii="Arial" w:cs="Arial" w:eastAsia="Arial" w:hAnsi="Arial"/>
                <w:sz w:val="18"/>
                <w:szCs w:val="18"/>
                <w:color w:val="auto"/>
              </w:rPr>
              <w:t>680,276.76(2)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22"/>
        </w:trPr>
        <w:tc>
          <w:tcPr>
            <w:tcW w:w="1320" w:type="dxa"/>
            <w:vAlign w:val="bottom"/>
          </w:tcPr>
          <w:p>
            <w:pPr>
              <w:jc w:val="right"/>
              <w:spacing w:after="0"/>
              <w:rPr>
                <w:sz w:val="20"/>
                <w:szCs w:val="20"/>
                <w:color w:val="auto"/>
              </w:rPr>
            </w:pPr>
            <w:r>
              <w:rPr>
                <w:rFonts w:ascii="Arial" w:cs="Arial" w:eastAsia="Arial" w:hAnsi="Arial"/>
                <w:sz w:val="18"/>
                <w:szCs w:val="18"/>
                <w:color w:val="auto"/>
                <w:w w:val="93"/>
              </w:rPr>
              <w:t>1,053,063 shares</w:t>
            </w: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3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vMerge w:val="restart"/>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430.97</w:t>
            </w:r>
          </w:p>
        </w:tc>
        <w:tc>
          <w:tcPr>
            <w:tcW w:w="0" w:type="dxa"/>
            <w:vAlign w:val="bottom"/>
          </w:tcPr>
          <w:p>
            <w:pPr>
              <w:spacing w:after="0"/>
              <w:rPr>
                <w:sz w:val="1"/>
                <w:szCs w:val="1"/>
                <w:color w:val="auto"/>
              </w:rPr>
            </w:pPr>
          </w:p>
        </w:tc>
      </w:tr>
      <w:tr>
        <w:trPr>
          <w:trHeight w:val="319"/>
        </w:trPr>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826135</wp:posOffset>
            </wp:positionH>
            <wp:positionV relativeFrom="paragraph">
              <wp:posOffset>-329565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-329565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135255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980" w:space="720"/>
            <w:col w:w="6720"/>
          </w:cols>
          <w:pgMar w:left="240" w:top="239" w:right="239" w:bottom="1440" w:gutter="0" w:footer="0" w:header="0"/>
          <w:type w:val="continuous"/>
        </w:sectPr>
      </w:pPr>
    </w:p>
    <w:p>
      <w:pPr>
        <w:spacing w:after="0" w:line="194" w:lineRule="exact"/>
        <w:rPr>
          <w:sz w:val="24"/>
          <w:szCs w:val="24"/>
          <w:color w:val="auto"/>
        </w:rPr>
      </w:pPr>
    </w:p>
    <w:p>
      <w:pPr>
        <w:ind w:left="460" w:right="18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shall also cover any additional shares of Common Stock which become issuable under the 2000 Stock Incentive Plan and the 2000 Employee Stock Purchase Plan by reason of any stock dividend, stock split, recapitalization or other similar transaction effected without the Registrant’s receipt of consideration which results in an increase in the number of the outstanding shares of Registrant’s Common Stock.</w:t>
      </w:r>
    </w:p>
    <w:p>
      <w:pPr>
        <w:spacing w:after="0" w:line="12" w:lineRule="exact"/>
        <w:rPr>
          <w:rFonts w:ascii="Arial" w:cs="Arial" w:eastAsia="Arial" w:hAnsi="Arial"/>
          <w:sz w:val="16"/>
          <w:szCs w:val="16"/>
          <w:color w:val="auto"/>
        </w:rPr>
      </w:pPr>
    </w:p>
    <w:p>
      <w:pPr>
        <w:ind w:left="460" w:right="6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this offering under Rule 457(h) of the Securities Act of 1933, as amended, on the basis of the average of the high and low selling prices per share of Registrant’s Common Stock on April 29, 2004, as reported by The NASDAQ National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General Instruction E to Form S-8, this Registration Statement on Form S-8 registers the offer and sale of an additional 1,053,063 shares of Common Stock of the Registrant for issuance under the 2000 Stock Incentive Plan and the 2000 Employee Stock Purchase Plan (together with the 2000 Stock Incentive Plan, the “Plans”). The contents of the prior Registration Statements relating to the Plans, File Nos. 333-43248, 333-56122 and 333-104725 are incorporated herein by reference.</w:t>
      </w:r>
    </w:p>
    <w:p>
      <w:pPr>
        <w:sectPr>
          <w:pgSz w:w="11900" w:h="16838" w:orient="portrait"/>
          <w:cols w:equalWidth="0" w:num="1">
            <w:col w:w="11320"/>
          </w:cols>
          <w:pgMar w:left="240" w:top="2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Active Power, Inc. (the “Registrant”) hereby incorporates by reference into this Registration Statement the following documents previously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(the “Commission”):</w:t>
      </w:r>
    </w:p>
    <w:p>
      <w:pPr>
        <w:spacing w:after="0" w:line="7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2003 filed with the Commission on February 19, 2004;</w:t>
      </w:r>
    </w:p>
    <w:p>
      <w:pPr>
        <w:spacing w:after="0" w:line="99"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“1934 Act”) since the end of the fiscal year covered by the Registrant’s Annual Report referred to in (a) above;</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are described the terms, rights and provisions applicable to the Registrant’s Common Stock;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are described the terms, rights and provisions applicable to the Registrant’s Preferred Share Purchase Rights.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reports and definitive proxy or information statements filed pursuant to Section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Indemnification of Directors and Officers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 145 of the Delaware General Corporation Law (the “DGCL”) provides, in effect, that any person made a party to any action by reason of the fact that he is or was a director, officer, employee or agent of the Registrant may and, in some cases, must be indemnified by the Registrant against, in the case of a non-derivative action, judgments, fines, amounts paid in settlement and reasonable expenses (including attorneys’ fees) incurred by him as a result of such action, and in the case of a derivative action, against expenses(including attorneys’ fees), if in either type of action he acted in good faith and in a manner he reasonably believed to be in or not opposed to the best interests of the Registrant. This indemnification does not apply, in a derivative action, to matters as to which it is adjudged that the director, officer, employee or agent is liable to the Registrant,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no reasonable cause to believe his conduct was unlawful.</w:t>
      </w:r>
    </w:p>
    <w:p>
      <w:pPr>
        <w:spacing w:after="0" w:line="10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Registrant’s certificate of incorporation provides that no director shall be liable to the Registrant or its stockholders for monetary damages for breach of fiduciary duty as a director to the fullest extent permitted by the DGCL. The Registrant’s bylaws require it to indemnify its directors and executive officers to the fullest extent permitted by Delaware law. The Registrant has entered into indemnification agreements with all of its directors and executive officers and has purchased directors’ and officers’ liability insurance.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3" w:name="page4"/>
    <w:bookmarkEnd w:id="3"/>
    <w:p>
      <w:pPr>
        <w:ind w:right="5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is made to the underwriting agreement filed as Exhibit 1.1 to Registrant’s Registration Statement No. 333-36946, pursuant to which the underwriters have agreed to indemnify the Registrant’s officers and directors against certain liabilities under the Securities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60325</wp:posOffset>
            </wp:positionV>
            <wp:extent cx="394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60325</wp:posOffset>
            </wp:positionV>
            <wp:extent cx="334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88" w:lineRule="exact"/>
        <w:rPr>
          <w:sz w:val="20"/>
          <w:szCs w:val="20"/>
          <w:color w:val="auto"/>
        </w:rPr>
      </w:pPr>
    </w:p>
    <w:p>
      <w:pPr>
        <w:ind w:left="1360" w:hanging="987"/>
        <w:spacing w:after="0" w:line="268"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Statements No. 000-30939 on Form 8-A which are incorporated herein by reference pursuant to Items 3(c) and (d).</w:t>
      </w:r>
    </w:p>
    <w:p>
      <w:pPr>
        <w:spacing w:after="0" w:line="37" w:lineRule="exact"/>
        <w:rPr>
          <w:sz w:val="20"/>
          <w:szCs w:val="20"/>
          <w:color w:val="auto"/>
        </w:rPr>
      </w:pPr>
    </w:p>
    <w:p>
      <w:pPr>
        <w:ind w:left="1360" w:hanging="987"/>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and Consent of Andrews Kurth LLP</w:t>
      </w:r>
    </w:p>
    <w:p>
      <w:pPr>
        <w:spacing w:after="0" w:line="77"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6700" w:type="dxa"/>
            <w:vAlign w:val="bottom"/>
            <w:gridSpan w:val="2"/>
          </w:tcPr>
          <w:p>
            <w:pPr>
              <w:ind w:left="300"/>
              <w:spacing w:after="0"/>
              <w:rPr>
                <w:sz w:val="20"/>
                <w:szCs w:val="20"/>
                <w:color w:val="auto"/>
              </w:rPr>
            </w:pPr>
            <w:r>
              <w:rPr>
                <w:rFonts w:ascii="Arial" w:cs="Arial" w:eastAsia="Arial" w:hAnsi="Arial"/>
                <w:sz w:val="18"/>
                <w:szCs w:val="18"/>
                <w:color w:val="auto"/>
              </w:rPr>
              <w:t>Consent of Ernst &amp; Young LLP, Independent Auditors.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6700" w:type="dxa"/>
            <w:vAlign w:val="bottom"/>
            <w:gridSpan w:val="2"/>
          </w:tcPr>
          <w:p>
            <w:pPr>
              <w:ind w:left="300"/>
              <w:spacing w:after="0"/>
              <w:rPr>
                <w:sz w:val="20"/>
                <w:szCs w:val="20"/>
                <w:color w:val="auto"/>
              </w:rPr>
            </w:pPr>
            <w:r>
              <w:rPr>
                <w:rFonts w:ascii="Arial" w:cs="Arial" w:eastAsia="Arial" w:hAnsi="Arial"/>
                <w:sz w:val="18"/>
                <w:szCs w:val="18"/>
                <w:color w:val="auto"/>
              </w:rPr>
              <w:t>Consent of Andrews Kurth LLP is contained in Exhibit 5.</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6700" w:type="dxa"/>
            <w:vAlign w:val="bottom"/>
            <w:gridSpan w:val="2"/>
          </w:tcPr>
          <w:p>
            <w:pPr>
              <w:ind w:left="300"/>
              <w:spacing w:after="0"/>
              <w:rPr>
                <w:sz w:val="20"/>
                <w:szCs w:val="20"/>
                <w:color w:val="auto"/>
              </w:rPr>
            </w:pPr>
            <w:r>
              <w:rPr>
                <w:rFonts w:ascii="Arial" w:cs="Arial" w:eastAsia="Arial" w:hAnsi="Arial"/>
                <w:sz w:val="18"/>
                <w:szCs w:val="18"/>
                <w:color w:val="auto"/>
                <w:w w:val="87"/>
              </w:rPr>
              <w:t>Power of Attorney. Reference is made to the Signature Page of this Registration Statement.</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2020" w:type="dxa"/>
            <w:vAlign w:val="bottom"/>
          </w:tcPr>
          <w:p>
            <w:pPr>
              <w:ind w:left="300"/>
              <w:spacing w:after="0"/>
              <w:rPr>
                <w:sz w:val="20"/>
                <w:szCs w:val="20"/>
                <w:color w:val="auto"/>
              </w:rPr>
            </w:pPr>
            <w:r>
              <w:rPr>
                <w:rFonts w:ascii="Arial" w:cs="Arial" w:eastAsia="Arial" w:hAnsi="Arial"/>
                <w:sz w:val="18"/>
                <w:szCs w:val="18"/>
                <w:color w:val="auto"/>
                <w:w w:val="89"/>
              </w:rPr>
              <w:t>Active Power, Inc. 2000</w:t>
            </w:r>
          </w:p>
        </w:tc>
        <w:tc>
          <w:tcPr>
            <w:tcW w:w="46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2020" w:type="dxa"/>
            <w:vAlign w:val="bottom"/>
          </w:tcPr>
          <w:p>
            <w:pPr>
              <w:ind w:left="300"/>
              <w:spacing w:after="0"/>
              <w:rPr>
                <w:sz w:val="20"/>
                <w:szCs w:val="20"/>
                <w:color w:val="auto"/>
              </w:rPr>
            </w:pPr>
            <w:r>
              <w:rPr>
                <w:rFonts w:ascii="Arial" w:cs="Arial" w:eastAsia="Arial" w:hAnsi="Arial"/>
                <w:sz w:val="18"/>
                <w:szCs w:val="18"/>
                <w:color w:val="auto"/>
                <w:w w:val="89"/>
              </w:rPr>
              <w:t>Active Power, Inc. 2000</w:t>
            </w:r>
          </w:p>
        </w:tc>
        <w:tc>
          <w:tcPr>
            <w:tcW w:w="46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bl>
    <w:p>
      <w:pPr>
        <w:spacing w:after="0" w:line="142" w:lineRule="exact"/>
        <w:rPr>
          <w:sz w:val="20"/>
          <w:szCs w:val="20"/>
          <w:color w:val="auto"/>
        </w:rPr>
      </w:pPr>
    </w:p>
    <w:p>
      <w:pPr>
        <w:ind w:right="320" w:firstLine="8"/>
        <w:spacing w:after="0" w:line="268"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pacing w:after="0" w:line="118" w:lineRule="exact"/>
        <w:rPr>
          <w:sz w:val="20"/>
          <w:szCs w:val="20"/>
          <w:color w:val="auto"/>
        </w:rPr>
      </w:pPr>
    </w:p>
    <w:p>
      <w:pPr>
        <w:ind w:right="180" w:firstLine="8"/>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 99.2 is incorporated herein by reference to Exhibit 99.2 to Registrant’s Registration Statement No. 333- 43248 on Form S-8 filed with the SEC on August 8, 2000.</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280" w:right="4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30th day of April, 2004.</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Chairman of the Board, President and Chief</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Executive Officer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PERSONS BY THESE PRESENTS: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That each person whose signature appears below constitutes and appoints Joseph F. Pinkerton, III, President and Chief Executive Officer, and David S. Gino, Chief Operating Officer and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14" w:lineRule="exact"/>
        <w:rPr>
          <w:sz w:val="20"/>
          <w:szCs w:val="20"/>
          <w:color w:val="auto"/>
        </w:rPr>
      </w:pPr>
    </w:p>
    <w:p>
      <w:pPr>
        <w:ind w:left="2080"/>
        <w:spacing w:after="0"/>
        <w:tabs>
          <w:tab w:leader="none" w:pos="6940" w:val="left"/>
          <w:tab w:leader="none" w:pos="10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68580</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68580</wp:posOffset>
            </wp:positionV>
            <wp:extent cx="214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68580</wp:posOffset>
            </wp:positionV>
            <wp:extent cx="197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 Joseph F. Pinkerton, III</w:t>
            </w:r>
          </w:p>
        </w:tc>
        <w:tc>
          <w:tcPr>
            <w:tcW w:w="4580" w:type="dxa"/>
            <w:vAlign w:val="bottom"/>
          </w:tcPr>
          <w:p>
            <w:pPr>
              <w:ind w:left="340"/>
              <w:spacing w:after="0"/>
              <w:rPr>
                <w:sz w:val="20"/>
                <w:szCs w:val="20"/>
                <w:color w:val="auto"/>
              </w:rPr>
            </w:pPr>
            <w:r>
              <w:rPr>
                <w:rFonts w:ascii="Arial" w:cs="Arial" w:eastAsia="Arial" w:hAnsi="Arial"/>
                <w:sz w:val="18"/>
                <w:szCs w:val="18"/>
                <w:color w:val="auto"/>
              </w:rPr>
              <w:t>Chairman of the Board, President, Chief Executive</w:t>
            </w:r>
          </w:p>
        </w:tc>
        <w:tc>
          <w:tcPr>
            <w:tcW w:w="1680" w:type="dxa"/>
            <w:vAlign w:val="bottom"/>
          </w:tcPr>
          <w:p>
            <w:pPr>
              <w:ind w:left="660"/>
              <w:spacing w:after="0"/>
              <w:rPr>
                <w:sz w:val="20"/>
                <w:szCs w:val="20"/>
                <w:color w:val="auto"/>
              </w:rPr>
            </w:pPr>
            <w:r>
              <w:rPr>
                <w:rFonts w:ascii="Arial" w:cs="Arial" w:eastAsia="Arial" w:hAnsi="Arial"/>
                <w:sz w:val="18"/>
                <w:szCs w:val="18"/>
                <w:color w:val="auto"/>
                <w:w w:val="89"/>
              </w:rPr>
              <w:t>April 30, 2004</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4580" w:type="dxa"/>
            <w:vAlign w:val="bottom"/>
            <w:vMerge w:val="restart"/>
          </w:tcPr>
          <w:p>
            <w:pPr>
              <w:ind w:left="340"/>
              <w:spacing w:after="0"/>
              <w:rPr>
                <w:sz w:val="20"/>
                <w:szCs w:val="20"/>
                <w:color w:val="auto"/>
              </w:rPr>
            </w:pPr>
            <w:r>
              <w:rPr>
                <w:rFonts w:ascii="Arial" w:cs="Arial" w:eastAsia="Arial" w:hAnsi="Arial"/>
                <w:sz w:val="18"/>
                <w:szCs w:val="18"/>
                <w:color w:val="auto"/>
              </w:rPr>
              <w:t>Officer and Director</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458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Joseph F. Pinkerton, III</w:t>
            </w:r>
          </w:p>
        </w:tc>
        <w:tc>
          <w:tcPr>
            <w:tcW w:w="458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700" w:type="dxa"/>
            <w:vAlign w:val="bottom"/>
          </w:tcPr>
          <w:p>
            <w:pPr>
              <w:spacing w:after="0"/>
              <w:rPr>
                <w:sz w:val="20"/>
                <w:szCs w:val="20"/>
                <w:color w:val="auto"/>
              </w:rPr>
            </w:pPr>
            <w:r>
              <w:rPr>
                <w:rFonts w:ascii="Arial" w:cs="Arial" w:eastAsia="Arial" w:hAnsi="Arial"/>
                <w:sz w:val="18"/>
                <w:szCs w:val="18"/>
                <w:color w:val="auto"/>
              </w:rPr>
              <w:t>/s/ David S. Gino</w:t>
            </w:r>
          </w:p>
        </w:tc>
        <w:tc>
          <w:tcPr>
            <w:tcW w:w="4580" w:type="dxa"/>
            <w:vAlign w:val="bottom"/>
          </w:tcPr>
          <w:p>
            <w:pPr>
              <w:ind w:left="340"/>
              <w:spacing w:after="0"/>
              <w:rPr>
                <w:sz w:val="20"/>
                <w:szCs w:val="20"/>
                <w:color w:val="auto"/>
              </w:rPr>
            </w:pPr>
            <w:r>
              <w:rPr>
                <w:rFonts w:ascii="Arial" w:cs="Arial" w:eastAsia="Arial" w:hAnsi="Arial"/>
                <w:sz w:val="18"/>
                <w:szCs w:val="18"/>
                <w:color w:val="auto"/>
              </w:rPr>
              <w:t>Chief Operating Officer and Chief</w:t>
            </w:r>
          </w:p>
        </w:tc>
        <w:tc>
          <w:tcPr>
            <w:tcW w:w="1680" w:type="dxa"/>
            <w:vAlign w:val="bottom"/>
          </w:tcPr>
          <w:p>
            <w:pPr>
              <w:ind w:left="660"/>
              <w:spacing w:after="0"/>
              <w:rPr>
                <w:sz w:val="20"/>
                <w:szCs w:val="20"/>
                <w:color w:val="auto"/>
              </w:rPr>
            </w:pPr>
            <w:r>
              <w:rPr>
                <w:rFonts w:ascii="Arial" w:cs="Arial" w:eastAsia="Arial" w:hAnsi="Arial"/>
                <w:sz w:val="18"/>
                <w:szCs w:val="18"/>
                <w:color w:val="auto"/>
                <w:w w:val="89"/>
              </w:rPr>
              <w:t>April 30, 2004</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4580" w:type="dxa"/>
            <w:vAlign w:val="bottom"/>
            <w:vMerge w:val="restart"/>
          </w:tcPr>
          <w:p>
            <w:pPr>
              <w:ind w:left="340"/>
              <w:spacing w:after="0"/>
              <w:rPr>
                <w:sz w:val="20"/>
                <w:szCs w:val="20"/>
                <w:color w:val="auto"/>
              </w:rPr>
            </w:pPr>
            <w:r>
              <w:rPr>
                <w:rFonts w:ascii="Arial" w:cs="Arial" w:eastAsia="Arial" w:hAnsi="Arial"/>
                <w:sz w:val="18"/>
                <w:szCs w:val="18"/>
                <w:color w:val="auto"/>
              </w:rPr>
              <w:t>Financial Officer</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458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David S. Gino</w:t>
            </w:r>
          </w:p>
        </w:tc>
        <w:tc>
          <w:tcPr>
            <w:tcW w:w="458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Ake Almgren</w:t>
            </w:r>
          </w:p>
        </w:tc>
        <w:tc>
          <w:tcPr>
            <w:tcW w:w="45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60"/>
              <w:spacing w:after="0"/>
              <w:rPr>
                <w:sz w:val="20"/>
                <w:szCs w:val="20"/>
                <w:color w:val="auto"/>
              </w:rPr>
            </w:pPr>
            <w:r>
              <w:rPr>
                <w:rFonts w:ascii="Arial" w:cs="Arial" w:eastAsia="Arial" w:hAnsi="Arial"/>
                <w:sz w:val="18"/>
                <w:szCs w:val="18"/>
                <w:color w:val="auto"/>
                <w:w w:val="89"/>
              </w:rPr>
              <w:t>April 30,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Ake Almgren</w:t>
            </w:r>
          </w:p>
        </w:tc>
        <w:tc>
          <w:tcPr>
            <w:tcW w:w="4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Richard E. Anderson</w:t>
            </w:r>
          </w:p>
        </w:tc>
        <w:tc>
          <w:tcPr>
            <w:tcW w:w="45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60"/>
              <w:spacing w:after="0"/>
              <w:rPr>
                <w:sz w:val="20"/>
                <w:szCs w:val="20"/>
                <w:color w:val="auto"/>
              </w:rPr>
            </w:pPr>
            <w:r>
              <w:rPr>
                <w:rFonts w:ascii="Arial" w:cs="Arial" w:eastAsia="Arial" w:hAnsi="Arial"/>
                <w:sz w:val="18"/>
                <w:szCs w:val="18"/>
                <w:color w:val="auto"/>
                <w:w w:val="89"/>
              </w:rPr>
              <w:t>April 30,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Richard E. Anderson</w:t>
            </w:r>
          </w:p>
        </w:tc>
        <w:tc>
          <w:tcPr>
            <w:tcW w:w="4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4580" w:type="dxa"/>
            <w:vAlign w:val="bottom"/>
          </w:tcPr>
          <w:p>
            <w:pPr>
              <w:ind w:left="880"/>
              <w:spacing w:after="0"/>
              <w:rPr>
                <w:sz w:val="20"/>
                <w:szCs w:val="20"/>
                <w:color w:val="auto"/>
              </w:rPr>
            </w:pPr>
            <w:r>
              <w:rPr>
                <w:rFonts w:ascii="Arial" w:cs="Arial" w:eastAsia="Arial" w:hAnsi="Arial"/>
                <w:sz w:val="18"/>
                <w:szCs w:val="18"/>
                <w:color w:val="auto"/>
              </w:rPr>
              <w:t>II-3</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/s/ Rodney S. Bond</w:t>
            </w:r>
          </w:p>
        </w:tc>
        <w:tc>
          <w:tcPr>
            <w:tcW w:w="3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040"/>
              <w:spacing w:after="0"/>
              <w:rPr>
                <w:sz w:val="20"/>
                <w:szCs w:val="20"/>
                <w:color w:val="auto"/>
              </w:rPr>
            </w:pPr>
            <w:r>
              <w:rPr>
                <w:rFonts w:ascii="Arial" w:cs="Arial" w:eastAsia="Arial" w:hAnsi="Arial"/>
                <w:sz w:val="18"/>
                <w:szCs w:val="18"/>
                <w:color w:val="auto"/>
                <w:w w:val="89"/>
              </w:rPr>
              <w:t>April 30, 2004</w:t>
            </w:r>
          </w:p>
        </w:tc>
      </w:tr>
      <w:tr>
        <w:trPr>
          <w:trHeight w:val="110"/>
        </w:trPr>
        <w:tc>
          <w:tcPr>
            <w:tcW w:w="47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3060" w:type="dxa"/>
            <w:vAlign w:val="bottom"/>
          </w:tcPr>
          <w:p>
            <w:pPr>
              <w:spacing w:after="0"/>
              <w:rPr>
                <w:sz w:val="9"/>
                <w:szCs w:val="9"/>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Rodney S. Bond</w:t>
            </w:r>
          </w:p>
        </w:tc>
        <w:tc>
          <w:tcPr>
            <w:tcW w:w="32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Jan H. Lindelow</w:t>
            </w:r>
          </w:p>
        </w:tc>
        <w:tc>
          <w:tcPr>
            <w:tcW w:w="3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040"/>
              <w:spacing w:after="0"/>
              <w:rPr>
                <w:sz w:val="20"/>
                <w:szCs w:val="20"/>
                <w:color w:val="auto"/>
              </w:rPr>
            </w:pPr>
            <w:r>
              <w:rPr>
                <w:rFonts w:ascii="Arial" w:cs="Arial" w:eastAsia="Arial" w:hAnsi="Arial"/>
                <w:sz w:val="18"/>
                <w:szCs w:val="18"/>
                <w:color w:val="auto"/>
                <w:w w:val="89"/>
              </w:rPr>
              <w:t>April 30, 2004</w:t>
            </w:r>
          </w:p>
        </w:tc>
      </w:tr>
      <w:tr>
        <w:trPr>
          <w:trHeight w:val="110"/>
        </w:trPr>
        <w:tc>
          <w:tcPr>
            <w:tcW w:w="47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3060" w:type="dxa"/>
            <w:vAlign w:val="bottom"/>
          </w:tcPr>
          <w:p>
            <w:pPr>
              <w:spacing w:after="0"/>
              <w:rPr>
                <w:sz w:val="9"/>
                <w:szCs w:val="9"/>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Jan H. Lindelow</w:t>
            </w:r>
          </w:p>
        </w:tc>
        <w:tc>
          <w:tcPr>
            <w:tcW w:w="32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Terrence L. Rock</w:t>
            </w:r>
          </w:p>
        </w:tc>
        <w:tc>
          <w:tcPr>
            <w:tcW w:w="3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040"/>
              <w:spacing w:after="0"/>
              <w:rPr>
                <w:sz w:val="20"/>
                <w:szCs w:val="20"/>
                <w:color w:val="auto"/>
              </w:rPr>
            </w:pPr>
            <w:r>
              <w:rPr>
                <w:rFonts w:ascii="Arial" w:cs="Arial" w:eastAsia="Arial" w:hAnsi="Arial"/>
                <w:sz w:val="18"/>
                <w:szCs w:val="18"/>
                <w:color w:val="auto"/>
                <w:w w:val="89"/>
              </w:rPr>
              <w:t>April 30, 2004</w:t>
            </w:r>
          </w:p>
        </w:tc>
      </w:tr>
      <w:tr>
        <w:trPr>
          <w:trHeight w:val="110"/>
        </w:trPr>
        <w:tc>
          <w:tcPr>
            <w:tcW w:w="47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3060" w:type="dxa"/>
            <w:vAlign w:val="bottom"/>
          </w:tcPr>
          <w:p>
            <w:pPr>
              <w:spacing w:after="0"/>
              <w:rPr>
                <w:sz w:val="9"/>
                <w:szCs w:val="9"/>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Terrence L. Rock</w:t>
            </w:r>
          </w:p>
        </w:tc>
        <w:tc>
          <w:tcPr>
            <w:tcW w:w="32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Benjamin L. Scott</w:t>
            </w:r>
          </w:p>
        </w:tc>
        <w:tc>
          <w:tcPr>
            <w:tcW w:w="3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040"/>
              <w:spacing w:after="0"/>
              <w:rPr>
                <w:sz w:val="20"/>
                <w:szCs w:val="20"/>
                <w:color w:val="auto"/>
              </w:rPr>
            </w:pPr>
            <w:r>
              <w:rPr>
                <w:rFonts w:ascii="Arial" w:cs="Arial" w:eastAsia="Arial" w:hAnsi="Arial"/>
                <w:sz w:val="18"/>
                <w:szCs w:val="18"/>
                <w:color w:val="auto"/>
                <w:w w:val="89"/>
              </w:rPr>
              <w:t>April 30, 2004</w:t>
            </w:r>
          </w:p>
        </w:tc>
      </w:tr>
      <w:tr>
        <w:trPr>
          <w:trHeight w:val="110"/>
        </w:trPr>
        <w:tc>
          <w:tcPr>
            <w:tcW w:w="47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3060" w:type="dxa"/>
            <w:vAlign w:val="bottom"/>
          </w:tcPr>
          <w:p>
            <w:pPr>
              <w:spacing w:after="0"/>
              <w:rPr>
                <w:sz w:val="9"/>
                <w:szCs w:val="9"/>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Benjamin L. Scott</w:t>
            </w:r>
          </w:p>
        </w:tc>
        <w:tc>
          <w:tcPr>
            <w:tcW w:w="32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27"/>
        </w:trPr>
        <w:tc>
          <w:tcPr>
            <w:tcW w:w="4700" w:type="dxa"/>
            <w:vAlign w:val="bottom"/>
          </w:tcPr>
          <w:p>
            <w:pPr>
              <w:spacing w:after="0"/>
              <w:rPr>
                <w:sz w:val="24"/>
                <w:szCs w:val="24"/>
                <w:color w:val="auto"/>
              </w:rPr>
            </w:pPr>
          </w:p>
        </w:tc>
        <w:tc>
          <w:tcPr>
            <w:tcW w:w="3200" w:type="dxa"/>
            <w:vAlign w:val="bottom"/>
          </w:tcPr>
          <w:p>
            <w:pPr>
              <w:ind w:left="880"/>
              <w:spacing w:after="0"/>
              <w:rPr>
                <w:sz w:val="20"/>
                <w:szCs w:val="20"/>
                <w:color w:val="auto"/>
              </w:rPr>
            </w:pPr>
            <w:r>
              <w:rPr>
                <w:rFonts w:ascii="Arial" w:cs="Arial" w:eastAsia="Arial" w:hAnsi="Arial"/>
                <w:sz w:val="18"/>
                <w:szCs w:val="18"/>
                <w:color w:val="auto"/>
              </w:rPr>
              <w:t>II-4</w:t>
            </w:r>
          </w:p>
        </w:tc>
        <w:tc>
          <w:tcPr>
            <w:tcW w:w="3060" w:type="dxa"/>
            <w:vAlign w:val="bottom"/>
          </w:tcPr>
          <w:p>
            <w:pPr>
              <w:spacing w:after="0"/>
              <w:rPr>
                <w:sz w:val="24"/>
                <w:szCs w:val="24"/>
                <w:color w:val="auto"/>
              </w:rPr>
            </w:pPr>
          </w:p>
        </w:tc>
      </w:tr>
    </w:tbl>
    <w:p>
      <w:pPr>
        <w:sectPr>
          <w:pgSz w:w="11900" w:h="16838" w:orient="portrait"/>
          <w:cols w:equalWidth="0" w:num="1">
            <w:col w:w="10960"/>
          </w:cols>
          <w:pgMar w:left="240" w:top="496" w:right="699" w:bottom="1440" w:gutter="0" w:footer="0" w:header="0"/>
        </w:sectPr>
      </w:pPr>
    </w:p>
    <w:bookmarkStart w:id="6" w:name="page7"/>
    <w:bookmarkEnd w:id="6"/>
    <w:p>
      <w:pPr>
        <w:jc w:val="center"/>
        <w:ind w:right="-1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ind w:left="252"/>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32"/>
        <w:spacing w:after="0"/>
        <w:tabs>
          <w:tab w:leader="none" w:pos="1352"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60325</wp:posOffset>
            </wp:positionV>
            <wp:extent cx="394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60325</wp:posOffset>
            </wp:positionV>
            <wp:extent cx="3346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88" w:lineRule="exact"/>
        <w:rPr>
          <w:sz w:val="20"/>
          <w:szCs w:val="20"/>
          <w:color w:val="auto"/>
        </w:rPr>
      </w:pPr>
    </w:p>
    <w:p>
      <w:pPr>
        <w:ind w:left="1372" w:hanging="1007"/>
        <w:spacing w:after="0" w:line="268" w:lineRule="auto"/>
        <w:tabs>
          <w:tab w:leader="none" w:pos="13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Statements No. 000-30939 on Form 8-A which are incorporated herein by reference pursuant to Items 3(c) and (d).</w:t>
      </w:r>
    </w:p>
    <w:p>
      <w:pPr>
        <w:spacing w:after="0" w:line="37" w:lineRule="exact"/>
        <w:rPr>
          <w:sz w:val="20"/>
          <w:szCs w:val="20"/>
          <w:color w:val="auto"/>
        </w:rPr>
      </w:pPr>
    </w:p>
    <w:p>
      <w:pPr>
        <w:ind w:left="1372" w:hanging="1007"/>
        <w:spacing w:after="0"/>
        <w:tabs>
          <w:tab w:leader="none" w:pos="1372"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and Consent of Andrews &amp; Kurth L.L.P.</w:t>
      </w:r>
    </w:p>
    <w:p>
      <w:pPr>
        <w:spacing w:after="0" w:line="77" w:lineRule="exact"/>
        <w:rPr>
          <w:sz w:val="20"/>
          <w:szCs w:val="20"/>
          <w:color w:val="auto"/>
        </w:rPr>
      </w:pPr>
    </w:p>
    <w:tbl>
      <w:tblPr>
        <w:tblLayout w:type="fixed"/>
        <w:tblInd w:w="372"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6660" w:type="dxa"/>
            <w:vAlign w:val="bottom"/>
            <w:gridSpan w:val="2"/>
          </w:tcPr>
          <w:p>
            <w:pPr>
              <w:ind w:left="260"/>
              <w:spacing w:after="0"/>
              <w:rPr>
                <w:sz w:val="20"/>
                <w:szCs w:val="20"/>
                <w:color w:val="auto"/>
              </w:rPr>
            </w:pPr>
            <w:r>
              <w:rPr>
                <w:rFonts w:ascii="Arial" w:cs="Arial" w:eastAsia="Arial" w:hAnsi="Arial"/>
                <w:sz w:val="18"/>
                <w:szCs w:val="18"/>
                <w:color w:val="auto"/>
              </w:rPr>
              <w:t>Consent of Ernst &amp; Young LLP, Independent Auditors.</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6660" w:type="dxa"/>
            <w:vAlign w:val="bottom"/>
            <w:gridSpan w:val="2"/>
          </w:tcPr>
          <w:p>
            <w:pPr>
              <w:ind w:left="260"/>
              <w:spacing w:after="0"/>
              <w:rPr>
                <w:sz w:val="20"/>
                <w:szCs w:val="20"/>
                <w:color w:val="auto"/>
              </w:rPr>
            </w:pPr>
            <w:r>
              <w:rPr>
                <w:rFonts w:ascii="Arial" w:cs="Arial" w:eastAsia="Arial" w:hAnsi="Arial"/>
                <w:sz w:val="18"/>
                <w:szCs w:val="18"/>
                <w:color w:val="auto"/>
              </w:rPr>
              <w:t>Consent of Andrews &amp; Kurth L.L.P. is contained in Exhibit 5.</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6660" w:type="dxa"/>
            <w:vAlign w:val="bottom"/>
            <w:gridSpan w:val="2"/>
          </w:tcPr>
          <w:p>
            <w:pPr>
              <w:ind w:left="260"/>
              <w:spacing w:after="0"/>
              <w:rPr>
                <w:sz w:val="20"/>
                <w:szCs w:val="20"/>
                <w:color w:val="auto"/>
              </w:rPr>
            </w:pPr>
            <w:r>
              <w:rPr>
                <w:rFonts w:ascii="Arial" w:cs="Arial" w:eastAsia="Arial" w:hAnsi="Arial"/>
                <w:sz w:val="18"/>
                <w:szCs w:val="18"/>
                <w:color w:val="auto"/>
                <w:w w:val="87"/>
              </w:rPr>
              <w:t>Power of Attorney. Reference is made to the Signature Page of this Registration Statement.</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2000" w:type="dxa"/>
            <w:vAlign w:val="bottom"/>
          </w:tcPr>
          <w:p>
            <w:pPr>
              <w:ind w:left="260"/>
              <w:spacing w:after="0"/>
              <w:rPr>
                <w:sz w:val="20"/>
                <w:szCs w:val="20"/>
                <w:color w:val="auto"/>
              </w:rPr>
            </w:pPr>
            <w:r>
              <w:rPr>
                <w:rFonts w:ascii="Arial" w:cs="Arial" w:eastAsia="Arial" w:hAnsi="Arial"/>
                <w:sz w:val="18"/>
                <w:szCs w:val="18"/>
                <w:color w:val="auto"/>
                <w:w w:val="90"/>
              </w:rPr>
              <w:t>Active Power, Inc. 2000</w:t>
            </w:r>
          </w:p>
        </w:tc>
        <w:tc>
          <w:tcPr>
            <w:tcW w:w="466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99.2**</w:t>
            </w:r>
          </w:p>
        </w:tc>
        <w:tc>
          <w:tcPr>
            <w:tcW w:w="2000" w:type="dxa"/>
            <w:vAlign w:val="bottom"/>
          </w:tcPr>
          <w:p>
            <w:pPr>
              <w:ind w:left="260"/>
              <w:spacing w:after="0"/>
              <w:rPr>
                <w:sz w:val="20"/>
                <w:szCs w:val="20"/>
                <w:color w:val="auto"/>
              </w:rPr>
            </w:pPr>
            <w:r>
              <w:rPr>
                <w:rFonts w:ascii="Arial" w:cs="Arial" w:eastAsia="Arial" w:hAnsi="Arial"/>
                <w:sz w:val="18"/>
                <w:szCs w:val="18"/>
                <w:color w:val="auto"/>
                <w:w w:val="90"/>
              </w:rPr>
              <w:t>Active Power, Inc. 2000</w:t>
            </w:r>
          </w:p>
        </w:tc>
        <w:tc>
          <w:tcPr>
            <w:tcW w:w="46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bl>
    <w:p>
      <w:pPr>
        <w:spacing w:after="0" w:line="142" w:lineRule="exact"/>
        <w:rPr>
          <w:sz w:val="20"/>
          <w:szCs w:val="20"/>
          <w:color w:val="auto"/>
        </w:rPr>
      </w:pPr>
    </w:p>
    <w:p>
      <w:pPr>
        <w:ind w:left="-8" w:right="340" w:firstLine="8"/>
        <w:spacing w:after="0" w:line="268" w:lineRule="auto"/>
        <w:tabs>
          <w:tab w:leader="none" w:pos="1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pacing w:after="0" w:line="118" w:lineRule="exact"/>
        <w:rPr>
          <w:sz w:val="20"/>
          <w:szCs w:val="20"/>
          <w:color w:val="auto"/>
        </w:rPr>
      </w:pPr>
    </w:p>
    <w:p>
      <w:pPr>
        <w:ind w:left="-8" w:right="240" w:firstLine="8"/>
        <w:spacing w:after="0" w:line="268" w:lineRule="auto"/>
        <w:tabs>
          <w:tab w:leader="none" w:pos="2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 99.2 is incorporated herein by reference to Exhibit 99.2 to Registrant’s Registration Statement No. 333-43248 on Form S-8 filed with the SEC on August 8, 2000.</w:t>
      </w:r>
    </w:p>
    <w:p>
      <w:pPr>
        <w:sectPr>
          <w:pgSz w:w="11900" w:h="16838" w:orient="portrait"/>
          <w:cols w:equalWidth="0" w:num="1">
            <w:col w:w="11232"/>
          </w:cols>
          <w:pgMar w:left="248" w:top="274"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S-8</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UNDER</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SECURITIES ACT OF 1933</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ACTIVE POWER, INC.</w:t>
      </w:r>
    </w:p>
    <w:p>
      <w:pPr>
        <w:sectPr>
          <w:pgSz w:w="11900" w:h="16838" w:orient="portrait"/>
          <w:cols w:equalWidth="0" w:num="1">
            <w:col w:w="9019"/>
          </w:cols>
          <w:pgMar w:left="1440" w:top="72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AND CONSENT OF ANDREWS &amp; KURTH L.L.P.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B12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78758</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Active Power, Inc.- Registration Statement on Form S-8 for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Offering of an Aggregate of 1,053,063 Shares of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have acted as counsel to Active Power, Inc., a Delaware Corporation (the “Company”), in connection with the registration on Form S-8 (the “Registration Statement”) under the Securities Act of 1933, as amended, of an additional 1,053,063 shares of Common Stock, which consists of (i) 842,451 shares of Common Stock under the Company’s 2000 Stock Incentive Plan (the “Incentive Plan”), and (ii) 210,612 shares of Common Stock under the Company’s 2000 Employee Stock Purchase Plan (the “Purchase Plan”). All of such additional shares are collectively referred to herein as the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8 of Form S-8 and Item 601(b)(5)(i) of Regulation S-K.</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reviewed the Company’s charter documents and the corporate proceedings taken by the Company in connection with the establishment and implementation of the Incentive Plan and the Purchase Plan. Based on such review, we are of the opinion that, if, as and when the Shares have been issued and sold (and the consideration therefor received) pursuant to the provisions of option agreements duly authorized under the Incentive Plan and in accordance with the Registration Statement, or in accordance with the stock purchase agreements under the Purchase Plan and in accordance with the Registration Statement, such Shares will be duly authorized, legally issued, fully paid and nonassessable.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letter as Exhibit 5 to the Registration Statement.</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Incentive Plan, the Purchase Plan, or the Shares.</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ANDREWS KURTH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ANDREWS KURTH LLP</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6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2000 Stock Incentive Plan and the 2000 Employee Stock Purchase Plan of Active Power, Inc. of our report dated January 16, 2004, with respect to the financial statements of Active Power, Inc. included in its Annual Report (Form 10-K) for the year ended December 31, 2003, filed with the Securities and Exchange Commission.</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28,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5"/>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5"/>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2019-12-14T16:15:06Z</dcterms:created>
  <dcterms:modified xsi:type="dcterms:W3CDTF">2019-12-14T16:15:06Z</dcterms:modified>
</cp:coreProperties>
</file>