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CLISHEM JIM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100"/>
        <w:spacing w:after="0" w:line="354" w:lineRule="auto"/>
        <w:rPr>
          <w:sz w:val="20"/>
          <w:szCs w:val="20"/>
          <w:color w:val="auto"/>
        </w:rPr>
      </w:pPr>
      <w:r>
        <w:rPr>
          <w:rFonts w:ascii="Arial" w:cs="Arial" w:eastAsia="Arial" w:hAnsi="Arial"/>
          <w:sz w:val="16"/>
          <w:szCs w:val="16"/>
          <w:color w:val="0000FF"/>
        </w:rPr>
        <w:t>C/O ACTIVE POWER INC. 2128 W BRAKER LN.,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02/28/2008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4"/>
        <w:spacing w:after="0"/>
        <w:rPr>
          <w:sz w:val="20"/>
          <w:szCs w:val="20"/>
          <w:color w:val="auto"/>
        </w:rPr>
      </w:pPr>
      <w:r>
        <w:rPr>
          <w:rFonts w:ascii="Arial" w:cs="Arial" w:eastAsia="Arial" w:hAnsi="Arial"/>
          <w:sz w:val="17"/>
          <w:szCs w:val="17"/>
          <w:color w:val="0000FF"/>
        </w:rPr>
        <w:t>President and CEO</w:t>
      </w:r>
    </w:p>
    <w:p>
      <w:pPr>
        <w:spacing w:after="0" w:line="413"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40" w:type="dxa"/>
            <w:vAlign w:val="bottom"/>
            <w:gridSpan w:val="7"/>
            <w:vMerge w:val="restart"/>
          </w:tcPr>
          <w:p>
            <w:pPr>
              <w:ind w:left="160"/>
              <w:spacing w:after="0" w:line="121"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300"/>
              <w:spacing w:after="0" w:line="12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840" w:type="dxa"/>
            <w:vAlign w:val="bottom"/>
            <w:gridSpan w:val="7"/>
            <w:vMerge w:val="continue"/>
          </w:tcPr>
          <w:p>
            <w:pPr>
              <w:spacing w:after="0" w:line="20" w:lineRule="exact"/>
              <w:rPr>
                <w:sz w:val="1"/>
                <w:szCs w:val="1"/>
                <w:color w:val="auto"/>
              </w:rPr>
            </w:pPr>
          </w:p>
        </w:tc>
        <w:tc>
          <w:tcPr>
            <w:tcW w:w="378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ind w:left="300"/>
              <w:spacing w:after="0"/>
              <w:rPr>
                <w:sz w:val="20"/>
                <w:szCs w:val="20"/>
                <w:color w:val="auto"/>
              </w:rPr>
            </w:pPr>
            <w:r>
              <w:rPr>
                <w:rFonts w:ascii="Arial" w:cs="Arial" w:eastAsia="Arial" w:hAnsi="Arial"/>
                <w:sz w:val="17"/>
                <w:szCs w:val="17"/>
                <w:color w:val="0000FF"/>
              </w:rPr>
              <w:t>03/03/2008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80" w:type="dxa"/>
            <w:vAlign w:val="bottom"/>
            <w:gridSpan w:val="9"/>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60"/>
              <w:spacing w:after="0" w:line="116"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168,800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168,800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1.88</w:t>
            </w:r>
          </w:p>
        </w:tc>
        <w:tc>
          <w:tcPr>
            <w:tcW w:w="1100" w:type="dxa"/>
            <w:vAlign w:val="bottom"/>
          </w:tcPr>
          <w:p>
            <w:pPr>
              <w:ind w:left="260"/>
              <w:spacing w:after="0" w:line="140" w:lineRule="exact"/>
              <w:rPr>
                <w:sz w:val="20"/>
                <w:szCs w:val="20"/>
                <w:color w:val="auto"/>
              </w:rPr>
            </w:pPr>
            <w:r>
              <w:rPr>
                <w:rFonts w:ascii="Arial" w:cs="Arial" w:eastAsia="Arial" w:hAnsi="Arial"/>
                <w:sz w:val="13"/>
                <w:szCs w:val="13"/>
                <w:color w:val="0000FF"/>
              </w:rPr>
              <w:t>02/28/2008</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02/28/2018</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168,800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derivative securities acquired, number of underlying shares and number of derivative securities beneficially owned following the reported transaction were each incorrectly reported as 168,750 in the original filing.</w:t>
      </w:r>
    </w:p>
    <w:p>
      <w:pPr>
        <w:spacing w:after="0" w:line="22" w:lineRule="exact"/>
        <w:rPr>
          <w:rFonts w:ascii="Arial" w:cs="Arial" w:eastAsia="Arial" w:hAnsi="Arial"/>
          <w:sz w:val="13"/>
          <w:szCs w:val="13"/>
          <w:color w:val="008000"/>
        </w:rPr>
      </w:pPr>
    </w:p>
    <w:p>
      <w:pPr>
        <w:ind w:left="40" w:right="5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25% of the option shares shall vest and become exercisable on 2/28/2008, and the balance shall vest and become exercisable in a series of twelve equal quarterly installments upon the completion of each additional quarter of service through 2/28/2012.</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5"/>
              </w:rPr>
              <w:t>/s/ John. K. Penver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03/05/2008</w:t>
            </w:r>
          </w:p>
        </w:tc>
        <w:tc>
          <w:tcPr>
            <w:tcW w:w="0" w:type="dxa"/>
            <w:vAlign w:val="bottom"/>
          </w:tcPr>
          <w:p>
            <w:pPr>
              <w:spacing w:after="0"/>
              <w:rPr>
                <w:sz w:val="1"/>
                <w:szCs w:val="1"/>
                <w:color w:val="auto"/>
              </w:rPr>
            </w:pPr>
          </w:p>
        </w:tc>
      </w:tr>
      <w:tr>
        <w:trPr>
          <w:trHeight w:val="85"/>
        </w:trPr>
        <w:tc>
          <w:tcPr>
            <w:tcW w:w="54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0"/>
              </w:rPr>
              <w:t>in-Fact)</w:t>
            </w:r>
          </w:p>
        </w:tc>
        <w:tc>
          <w:tcPr>
            <w:tcW w:w="15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40" w:type="dxa"/>
            <w:vAlign w:val="bottom"/>
            <w:tcBorders>
              <w:top w:val="single" w:sz="8" w:color="auto"/>
              <w:bottom w:val="single" w:sz="8" w:color="auto"/>
            </w:tcBorders>
            <w:vMerge w:val="continue"/>
          </w:tcPr>
          <w:p>
            <w:pPr>
              <w:spacing w:after="0"/>
              <w:rPr>
                <w:sz w:val="7"/>
                <w:szCs w:val="7"/>
                <w:color w:val="auto"/>
              </w:rPr>
            </w:pPr>
          </w:p>
        </w:tc>
        <w:tc>
          <w:tcPr>
            <w:tcW w:w="15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31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2019-12-17T13:58:20Z</dcterms:created>
  <dcterms:modified xsi:type="dcterms:W3CDTF">2019-12-17T13:58:20Z</dcterms:modified>
</cp:coreProperties>
</file>