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560" w:type="dxa"/>
            <w:vAlign w:val="bottom"/>
            <w:gridSpan w:val="9"/>
          </w:tcPr>
          <w:p>
            <w:pPr>
              <w:spacing w:after="0"/>
              <w:rPr>
                <w:sz w:val="20"/>
                <w:szCs w:val="20"/>
                <w:color w:val="auto"/>
              </w:rPr>
            </w:pPr>
            <w:r>
              <w:rPr>
                <w:rFonts w:ascii="Arial" w:cs="Arial" w:eastAsia="Arial" w:hAnsi="Arial"/>
                <w:sz w:val="22"/>
                <w:szCs w:val="22"/>
                <w:color w:val="auto"/>
              </w:rPr>
              <w:t>SEC Form 5</w:t>
            </w:r>
          </w:p>
        </w:tc>
        <w:tc>
          <w:tcPr>
            <w:tcW w:w="1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21"/>
          </w:tcPr>
          <w:p>
            <w:pPr>
              <w:jc w:val="center"/>
              <w:ind w:right="1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6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6"/>
            <w:vMerge w:val="restart"/>
          </w:tcPr>
          <w:p>
            <w:pPr>
              <w:jc w:val="center"/>
              <w:ind w:right="241"/>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9"/>
            <w:vMerge w:val="restart"/>
          </w:tcPr>
          <w:p>
            <w:pPr>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4"/>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21"/>
            <w:vMerge w:val="restart"/>
          </w:tcPr>
          <w:p>
            <w:pPr>
              <w:jc w:val="center"/>
              <w:ind w:right="10"/>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6420" w:type="dxa"/>
            <w:vAlign w:val="bottom"/>
            <w:gridSpan w:val="21"/>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21"/>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2"/>
                <w:szCs w:val="12"/>
                <w:color w:val="auto"/>
              </w:rPr>
              <w:t>Instruction 1(b).</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vMerge w:val="restart"/>
          </w:tcPr>
          <w:p>
            <w:pPr>
              <w:jc w:val="center"/>
              <w:ind w:right="241"/>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gridSpan w:val="18"/>
            <w:vMerge w:val="restart"/>
          </w:tcPr>
          <w:p>
            <w:pPr>
              <w:jc w:val="center"/>
              <w:ind w:left="58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80" w:type="dxa"/>
            <w:vAlign w:val="bottom"/>
            <w:gridSpan w:val="18"/>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7"/>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80" w:type="dxa"/>
            <w:vAlign w:val="bottom"/>
            <w:gridSpan w:val="18"/>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40" w:type="dxa"/>
            <w:vAlign w:val="bottom"/>
            <w:tcBorders>
              <w:bottom w:val="single" w:sz="8" w:color="2C2C2C"/>
            </w:tcBorders>
            <w:gridSpan w:val="11"/>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8"/>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restart"/>
          </w:tcPr>
          <w:p>
            <w:pPr>
              <w:spacing w:after="0" w:line="250" w:lineRule="exact"/>
              <w:rPr>
                <w:rFonts w:ascii="Arial" w:cs="Arial" w:eastAsia="Arial" w:hAnsi="Arial"/>
                <w:sz w:val="22"/>
                <w:szCs w:val="22"/>
                <w:color w:val="0000EE"/>
                <w:w w:val="87"/>
              </w:rPr>
            </w:pPr>
            <w:hyperlink r:id="rId8">
              <w:r>
                <w:rPr>
                  <w:rFonts w:ascii="Arial" w:cs="Arial" w:eastAsia="Arial" w:hAnsi="Arial"/>
                  <w:sz w:val="22"/>
                  <w:szCs w:val="22"/>
                  <w:color w:val="0000EE"/>
                  <w:w w:val="87"/>
                </w:rPr>
                <w:t>Penver John K</w:t>
              </w:r>
            </w:hyperlink>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Borders>
              <w:bottom w:val="single" w:sz="8" w:color="0000EE"/>
            </w:tcBorders>
            <w:gridSpan w:val="4"/>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4"/>
          </w:tcPr>
          <w:p>
            <w:pPr>
              <w:spacing w:after="0"/>
              <w:rPr>
                <w:sz w:val="4"/>
                <w:szCs w:val="4"/>
                <w:color w:val="auto"/>
              </w:rPr>
            </w:pPr>
          </w:p>
        </w:tc>
        <w:tc>
          <w:tcPr>
            <w:tcW w:w="1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00" w:type="dxa"/>
            <w:vAlign w:val="bottom"/>
          </w:tcPr>
          <w:p>
            <w:pPr>
              <w:spacing w:after="0"/>
              <w:rPr>
                <w:sz w:val="12"/>
                <w:szCs w:val="1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60" w:type="dxa"/>
            <w:vAlign w:val="bottom"/>
            <w:vMerge w:val="restart"/>
          </w:tcPr>
          <w:p>
            <w:pPr>
              <w:ind w:left="200"/>
              <w:spacing w:after="0" w:line="135" w:lineRule="exact"/>
              <w:rPr>
                <w:sz w:val="20"/>
                <w:szCs w:val="20"/>
                <w:color w:val="auto"/>
              </w:rPr>
            </w:pPr>
            <w:r>
              <w:rPr>
                <w:rFonts w:ascii="Arial" w:cs="Arial" w:eastAsia="Arial" w:hAnsi="Arial"/>
                <w:sz w:val="14"/>
                <w:szCs w:val="14"/>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(Last)</w:t>
            </w:r>
          </w:p>
        </w:tc>
        <w:tc>
          <w:tcPr>
            <w:tcW w:w="1860" w:type="dxa"/>
            <w:vAlign w:val="bottom"/>
            <w:gridSpan w:val="3"/>
            <w:vMerge w:val="restart"/>
          </w:tcPr>
          <w:p>
            <w:pPr>
              <w:ind w:left="620"/>
              <w:spacing w:after="0" w:line="149" w:lineRule="exact"/>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(Middle)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40" w:type="dxa"/>
            <w:vAlign w:val="bottom"/>
            <w:gridSpan w:val="14"/>
            <w:vMerge w:val="restart"/>
          </w:tcPr>
          <w:p>
            <w:pPr>
              <w:spacing w:after="0" w:line="149" w:lineRule="exact"/>
              <w:rPr>
                <w:sz w:val="20"/>
                <w:szCs w:val="20"/>
                <w:color w:val="auto"/>
              </w:rPr>
            </w:pPr>
            <w:r>
              <w:rPr>
                <w:rFonts w:ascii="Arial" w:cs="Arial" w:eastAsia="Arial" w:hAnsi="Arial"/>
                <w:sz w:val="14"/>
                <w:szCs w:val="14"/>
                <w:color w:val="auto"/>
              </w:rPr>
              <w:t>3. Statement for Issuer's Fiscal Year Ended (Month/Day/Year)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40" w:type="dxa"/>
            <w:vAlign w:val="bottom"/>
            <w:gridSpan w:val="1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7"/>
            <w:vMerge w:val="restart"/>
          </w:tcPr>
          <w:p>
            <w:pPr>
              <w:ind w:left="480"/>
              <w:spacing w:after="0"/>
              <w:rPr>
                <w:sz w:val="20"/>
                <w:szCs w:val="20"/>
                <w:color w:val="auto"/>
              </w:rPr>
            </w:pPr>
            <w:r>
              <w:rPr>
                <w:rFonts w:ascii="Arial" w:cs="Arial" w:eastAsia="Arial" w:hAnsi="Arial"/>
                <w:sz w:val="18"/>
                <w:szCs w:val="18"/>
                <w:color w:val="0000FF"/>
              </w:rPr>
              <w:t>Chief Financial Officer</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C/O ACTIVE POWER, INC.</w:t>
            </w:r>
          </w:p>
        </w:tc>
        <w:tc>
          <w:tcPr>
            <w:tcW w:w="1220" w:type="dxa"/>
            <w:vAlign w:val="bottom"/>
          </w:tcPr>
          <w:p>
            <w:pPr>
              <w:spacing w:after="0"/>
              <w:rPr>
                <w:sz w:val="19"/>
                <w:szCs w:val="19"/>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color w:val="0000FF"/>
                <w:w w:val="97"/>
              </w:rPr>
              <w:t>12/31/2012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7"/>
            <w:vMerge w:val="continue"/>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spacing w:after="0" w:line="198" w:lineRule="exact"/>
              <w:rPr>
                <w:sz w:val="20"/>
                <w:szCs w:val="20"/>
                <w:color w:val="auto"/>
              </w:rPr>
            </w:pPr>
            <w:r>
              <w:rPr>
                <w:rFonts w:ascii="Arial" w:cs="Arial" w:eastAsia="Arial" w:hAnsi="Arial"/>
                <w:sz w:val="18"/>
                <w:szCs w:val="18"/>
                <w:color w:val="0000FF"/>
                <w:w w:val="99"/>
              </w:rPr>
              <w:t>2128 W. BRAKER LANE, BK12</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jc w:val="center"/>
              <w:ind w:right="39"/>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380" w:type="dxa"/>
            <w:vAlign w:val="bottom"/>
          </w:tcPr>
          <w:p>
            <w:pPr>
              <w:spacing w:after="0"/>
              <w:rPr>
                <w:sz w:val="15"/>
                <w:szCs w:val="15"/>
                <w:color w:val="auto"/>
              </w:rPr>
            </w:pPr>
          </w:p>
        </w:tc>
        <w:tc>
          <w:tcPr>
            <w:tcW w:w="3540" w:type="dxa"/>
            <w:vAlign w:val="bottom"/>
            <w:gridSpan w:val="1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8"/>
                <w:szCs w:val="18"/>
                <w:color w:val="0000FF"/>
                <w:w w:val="96"/>
              </w:rPr>
              <w:t>AUSTIN</w:t>
            </w:r>
          </w:p>
        </w:tc>
        <w:tc>
          <w:tcPr>
            <w:tcW w:w="1860" w:type="dxa"/>
            <w:vAlign w:val="bottom"/>
            <w:gridSpan w:val="3"/>
            <w:vMerge w:val="restart"/>
          </w:tcPr>
          <w:p>
            <w:pPr>
              <w:ind w:left="620"/>
              <w:spacing w:after="0"/>
              <w:rPr>
                <w:sz w:val="20"/>
                <w:szCs w:val="20"/>
                <w:color w:val="auto"/>
              </w:rPr>
            </w:pPr>
            <w:r>
              <w:rPr>
                <w:rFonts w:ascii="Arial" w:cs="Arial" w:eastAsia="Arial" w:hAnsi="Arial"/>
                <w:sz w:val="18"/>
                <w:szCs w:val="18"/>
                <w:color w:val="0000FF"/>
              </w:rPr>
              <w:t>TX</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13"/>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w w:val="94"/>
              </w:rPr>
              <w:t>Person</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vMerge w:val="restart"/>
          </w:tcPr>
          <w:p>
            <w:pPr>
              <w:ind w:left="62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2"/>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1060" w:type="dxa"/>
            <w:vAlign w:val="bottom"/>
            <w:gridSpan w:val="7"/>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jc w:val="center"/>
              <w:ind w:left="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7"/>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1"/>
              <w:spacing w:after="0"/>
              <w:rPr>
                <w:sz w:val="20"/>
                <w:szCs w:val="20"/>
                <w:color w:val="auto"/>
              </w:rPr>
            </w:pPr>
            <w:r>
              <w:rPr>
                <w:rFonts w:ascii="Arial" w:cs="Arial" w:eastAsia="Arial" w:hAnsi="Arial"/>
                <w:sz w:val="18"/>
                <w:szCs w:val="18"/>
                <w:color w:val="0000FF"/>
              </w:rPr>
              <w:t>563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5"/>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0000FF"/>
                <w:w w:val="79"/>
              </w:rPr>
              <w:t>11,881</w:t>
            </w:r>
            <w:r>
              <w:rPr>
                <w:rFonts w:ascii="Arial" w:cs="Arial" w:eastAsia="Arial" w:hAnsi="Arial"/>
                <w:sz w:val="22"/>
                <w:szCs w:val="22"/>
                <w:color w:val="008000"/>
                <w:w w:val="79"/>
                <w:vertAlign w:val="superscript"/>
              </w:rPr>
              <w:t>(2)</w:t>
            </w: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72"/>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1"/>
              <w:spacing w:after="0"/>
              <w:rPr>
                <w:sz w:val="20"/>
                <w:szCs w:val="20"/>
                <w:color w:val="auto"/>
              </w:rPr>
            </w:pPr>
            <w:r>
              <w:rPr>
                <w:rFonts w:ascii="Arial" w:cs="Arial" w:eastAsia="Arial" w:hAnsi="Arial"/>
                <w:sz w:val="18"/>
                <w:szCs w:val="18"/>
                <w:color w:val="0000FF"/>
              </w:rPr>
              <w:t>148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3.85</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0000FF"/>
                <w:w w:val="79"/>
              </w:rPr>
              <w:t>11,733</w:t>
            </w:r>
            <w:r>
              <w:rPr>
                <w:rFonts w:ascii="Arial" w:cs="Arial" w:eastAsia="Arial" w:hAnsi="Arial"/>
                <w:sz w:val="22"/>
                <w:szCs w:val="22"/>
                <w:color w:val="008000"/>
                <w:w w:val="79"/>
                <w:vertAlign w:val="superscript"/>
              </w:rPr>
              <w:t>(2)</w:t>
            </w: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1"/>
              <w:spacing w:after="0" w:line="324" w:lineRule="exact"/>
              <w:rPr>
                <w:sz w:val="20"/>
                <w:szCs w:val="20"/>
                <w:color w:val="auto"/>
              </w:rPr>
            </w:pPr>
            <w:r>
              <w:rPr>
                <w:rFonts w:ascii="Arial" w:cs="Arial" w:eastAsia="Arial" w:hAnsi="Arial"/>
                <w:sz w:val="35"/>
                <w:szCs w:val="35"/>
                <w:color w:val="0000FF"/>
                <w:vertAlign w:val="subscript"/>
              </w:rPr>
              <w:t>563</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5"/>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ind w:left="240"/>
              <w:spacing w:after="0"/>
              <w:rPr>
                <w:sz w:val="20"/>
                <w:szCs w:val="20"/>
                <w:color w:val="auto"/>
              </w:rPr>
            </w:pPr>
            <w:r>
              <w:rPr>
                <w:rFonts w:ascii="Arial" w:cs="Arial" w:eastAsia="Arial" w:hAnsi="Arial"/>
                <w:sz w:val="18"/>
                <w:szCs w:val="18"/>
                <w:color w:val="0000FF"/>
              </w:rPr>
              <w:t>12,296</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6"/>
          </w:tcPr>
          <w:p>
            <w:pPr>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72"/>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1"/>
              <w:spacing w:after="0"/>
              <w:rPr>
                <w:sz w:val="20"/>
                <w:szCs w:val="20"/>
                <w:color w:val="auto"/>
              </w:rPr>
            </w:pPr>
            <w:r>
              <w:rPr>
                <w:rFonts w:ascii="Arial" w:cs="Arial" w:eastAsia="Arial" w:hAnsi="Arial"/>
                <w:sz w:val="18"/>
                <w:szCs w:val="18"/>
                <w:color w:val="0000FF"/>
              </w:rPr>
              <w:t>148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ind w:left="240"/>
              <w:spacing w:after="0"/>
              <w:rPr>
                <w:sz w:val="20"/>
                <w:szCs w:val="20"/>
                <w:color w:val="auto"/>
              </w:rPr>
            </w:pPr>
            <w:r>
              <w:rPr>
                <w:rFonts w:ascii="Arial" w:cs="Arial" w:eastAsia="Arial" w:hAnsi="Arial"/>
                <w:sz w:val="18"/>
                <w:szCs w:val="18"/>
                <w:color w:val="0000FF"/>
              </w:rPr>
              <w:t>12,148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2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8"/>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5"/>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1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8,437</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05/17/2012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563</w:t>
            </w:r>
            <w:r>
              <w:rPr>
                <w:rFonts w:ascii="Arial" w:cs="Arial" w:eastAsia="Arial" w:hAnsi="Arial"/>
                <w:sz w:val="11"/>
                <w:szCs w:val="11"/>
                <w:color w:val="008000"/>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27"/>
                <w:szCs w:val="27"/>
                <w:color w:val="0000FF"/>
                <w:vertAlign w:val="subscript"/>
              </w:rPr>
              <w:t>563</w:t>
            </w: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7,874</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08/17/2012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-7095490</wp:posOffset>
            </wp:positionV>
            <wp:extent cx="7322820" cy="7152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715200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upon the vesting of restricted stock units.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amounts included herein have been adjusted to reflect the reverse stock split of Active Power Inc.'s outstanding Common Stock at a reverse split ratio of five-for-one effective as of 5:00 p.m. EST on December 21,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With continued service, the restricted stock units, representing a right to receive a total of 9,000 shares, vest in a series of sixteen equal quarterly installments upon the completion of each quarter beginning in 5/17/2012. Vested shares are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John K. Penver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02/12/2013</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18924" TargetMode="External"/><Relationship Id="rId9"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2019-12-17T05:23:18Z</dcterms:created>
  <dcterms:modified xsi:type="dcterms:W3CDTF">2019-12-17T05:23:18Z</dcterms:modified>
</cp:coreProperties>
</file>