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SCOTT BENJAMIN L</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ACTIVE POWER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05/31/2012</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9"/>
              </w:rPr>
              <w:t>2128 W. BRAKER LANE, BK12</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w w:val="99"/>
              </w:rPr>
              <w:t>AUSTIN</w:t>
            </w:r>
          </w:p>
        </w:tc>
        <w:tc>
          <w:tcPr>
            <w:tcW w:w="840" w:type="dxa"/>
            <w:vAlign w:val="bottom"/>
          </w:tcPr>
          <w:p>
            <w:pPr>
              <w:ind w:left="600"/>
              <w:spacing w:after="0"/>
              <w:rPr>
                <w:sz w:val="20"/>
                <w:szCs w:val="20"/>
                <w:color w:val="auto"/>
              </w:rPr>
            </w:pPr>
            <w:r>
              <w:rPr>
                <w:rFonts w:ascii="Arial" w:cs="Arial" w:eastAsia="Arial" w:hAnsi="Arial"/>
                <w:sz w:val="18"/>
                <w:szCs w:val="18"/>
                <w:color w:val="0000FF"/>
                <w:w w:val="95"/>
              </w:rPr>
              <w:t>TX</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20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8"/>
          </w:tcPr>
          <w:p>
            <w:pPr>
              <w:jc w:val="center"/>
              <w:ind w:right="2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05/31/2012</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20,000</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80" w:type="dxa"/>
            <w:vAlign w:val="bottom"/>
            <w:gridSpan w:val="4"/>
            <w:vMerge w:val="restart"/>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0.8096</w:t>
            </w:r>
            <w:r>
              <w:rPr>
                <w:rFonts w:ascii="Arial" w:cs="Arial" w:eastAsia="Arial" w:hAnsi="Arial"/>
                <w:sz w:val="22"/>
                <w:szCs w:val="22"/>
                <w:color w:val="008000"/>
                <w:w w:val="91"/>
                <w:vertAlign w:val="superscript"/>
              </w:rPr>
              <w:t>(1)</w:t>
            </w:r>
          </w:p>
        </w:tc>
        <w:tc>
          <w:tcPr>
            <w:tcW w:w="122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1220" w:type="dxa"/>
            <w:vAlign w:val="bottom"/>
            <w:tcBorders>
              <w:top w:val="single" w:sz="8" w:color="2C2C2C"/>
            </w:tcBorders>
            <w:gridSpan w:val="2"/>
          </w:tcPr>
          <w:p>
            <w:pPr>
              <w:jc w:val="right"/>
              <w:ind w:right="279"/>
              <w:spacing w:after="0"/>
              <w:rPr>
                <w:sz w:val="20"/>
                <w:szCs w:val="20"/>
                <w:color w:val="auto"/>
              </w:rPr>
            </w:pPr>
            <w:r>
              <w:rPr>
                <w:rFonts w:ascii="Arial" w:cs="Arial" w:eastAsia="Arial" w:hAnsi="Arial"/>
                <w:sz w:val="18"/>
                <w:szCs w:val="18"/>
                <w:color w:val="0000FF"/>
              </w:rPr>
              <w:t>100,000</w:t>
            </w:r>
          </w:p>
        </w:tc>
        <w:tc>
          <w:tcPr>
            <w:tcW w:w="94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020" w:type="dxa"/>
            <w:vAlign w:val="bottom"/>
            <w:tcBorders>
              <w:bottom w:val="single" w:sz="8" w:color="2C2C2C"/>
            </w:tcBorders>
            <w:gridSpan w:val="4"/>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7"/>
          </w:tcPr>
          <w:p>
            <w:pPr>
              <w:jc w:val="center"/>
              <w:ind w:left="2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60" w:type="dxa"/>
            <w:vAlign w:val="bottom"/>
            <w:gridSpan w:val="15"/>
          </w:tcPr>
          <w:p>
            <w:pPr>
              <w:jc w:val="center"/>
              <w:ind w:left="2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$0.7855 to $0.809997, inclusive. The reporting person undertakes to provide to Active Power, Inc., any security holder of Active Power, Inc., or the staff of the Securities and Exchange Commission, upon request, full information regarding the number of shares sold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BGS Partners Ltd.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6"/>
              </w:rPr>
              <w:t>/s/ John K. Penver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06/01/2012</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27"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2019-12-17T05:22:22Z</dcterms:created>
  <dcterms:modified xsi:type="dcterms:W3CDTF">2019-12-17T05:22:22Z</dcterms:modified>
</cp:coreProperties>
</file>