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10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2005</w:t>
      </w:r>
    </w:p>
    <w:p>
      <w:pPr>
        <w:spacing w:after="0" w:line="15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1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278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83"/>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w w:val="86"/>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164465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-23495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74-2961657</w:t>
            </w:r>
          </w:p>
        </w:tc>
      </w:tr>
      <w:tr>
        <w:trPr>
          <w:trHeight w:val="149"/>
        </w:trPr>
        <w:tc>
          <w:tcPr>
            <w:tcW w:w="6860" w:type="dxa"/>
            <w:vAlign w:val="bottom"/>
          </w:tcPr>
          <w:p>
            <w:pPr>
              <w:jc w:val="center"/>
              <w:ind w:right="358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860" w:type="dxa"/>
            <w:vAlign w:val="bottom"/>
          </w:tcPr>
          <w:p>
            <w:pPr>
              <w:jc w:val="center"/>
              <w:ind w:left="1965"/>
              <w:spacing w:after="0"/>
              <w:rPr>
                <w:sz w:val="20"/>
                <w:szCs w:val="20"/>
                <w:color w:val="auto"/>
              </w:rPr>
            </w:pPr>
            <w:r>
              <w:rPr>
                <w:rFonts w:ascii="Arial" w:cs="Arial" w:eastAsia="Arial" w:hAnsi="Arial"/>
                <w:sz w:val="18"/>
                <w:szCs w:val="18"/>
                <w:b w:val="1"/>
                <w:bCs w:val="1"/>
                <w:color w:val="auto"/>
                <w:w w:val="89"/>
              </w:rPr>
              <w:t>(512) 836-6464</w:t>
            </w:r>
          </w:p>
        </w:tc>
        <w:tc>
          <w:tcPr>
            <w:tcW w:w="1100" w:type="dxa"/>
            <w:vAlign w:val="bottom"/>
          </w:tcPr>
          <w:p>
            <w:pPr>
              <w:spacing w:after="0"/>
              <w:rPr>
                <w:sz w:val="24"/>
                <w:szCs w:val="24"/>
                <w:color w:val="auto"/>
              </w:rPr>
            </w:pPr>
          </w:p>
        </w:tc>
      </w:tr>
      <w:tr>
        <w:trPr>
          <w:trHeight w:val="174"/>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446"/>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2" w:lineRule="exact"/>
        <w:rPr>
          <w:sz w:val="24"/>
          <w:szCs w:val="24"/>
          <w:color w:val="auto"/>
        </w:rPr>
      </w:pPr>
    </w:p>
    <w:p>
      <w:pPr>
        <w:ind w:left="460"/>
        <w:spacing w:after="0" w:line="207" w:lineRule="exact"/>
        <w:tabs>
          <w:tab w:leader="none" w:pos="8800" w:val="left"/>
        </w:tabs>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9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APPLICABLE ONLY TO CORPORATE ISSUERS:</w:t>
      </w:r>
    </w:p>
    <w:p>
      <w:pPr>
        <w:spacing w:after="0" w:line="158" w:lineRule="exact"/>
        <w:rPr>
          <w:sz w:val="24"/>
          <w:szCs w:val="24"/>
          <w:color w:val="auto"/>
        </w:rPr>
      </w:pPr>
    </w:p>
    <w:p>
      <w:pPr>
        <w:ind w:left="14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75" w:lineRule="exact"/>
        <w:rPr>
          <w:sz w:val="24"/>
          <w:szCs w:val="24"/>
          <w:color w:val="auto"/>
        </w:rPr>
      </w:pPr>
    </w:p>
    <w:p>
      <w:pPr>
        <w:ind w:left="1420"/>
        <w:spacing w:after="0"/>
        <w:rPr>
          <w:sz w:val="20"/>
          <w:szCs w:val="20"/>
          <w:color w:val="auto"/>
        </w:rPr>
      </w:pPr>
      <w:r>
        <w:rPr>
          <w:rFonts w:ascii="Arial" w:cs="Arial" w:eastAsia="Arial" w:hAnsi="Arial"/>
          <w:sz w:val="16"/>
          <w:szCs w:val="16"/>
          <w:b w:val="1"/>
          <w:bCs w:val="1"/>
          <w:color w:val="auto"/>
        </w:rPr>
        <w:t>The number of shares of common stock, par value of $0.001 per share, outstanding at July 25, 2005 was 48,599,250.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PART I - </w:t>
            </w:r>
            <w:hyperlink w:anchor="page3">
              <w:r>
                <w:rPr>
                  <w:rFonts w:ascii="Arial" w:cs="Arial" w:eastAsia="Arial" w:hAnsi="Arial"/>
                  <w:sz w:val="18"/>
                  <w:szCs w:val="18"/>
                  <w:color w:val="0000EE"/>
                </w:rPr>
                <w:t>FINANCIAL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Financial Statements.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11">
              <w:r>
                <w:rPr>
                  <w:rFonts w:ascii="Arial" w:cs="Arial" w:eastAsia="Arial" w:hAnsi="Arial"/>
                  <w:sz w:val="18"/>
                  <w:szCs w:val="18"/>
                  <w:color w:val="0000EE"/>
                </w:rPr>
                <w:t>Management's Discussion and Analysis of Financial Condition and Results of Operations.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30">
              <w:r>
                <w:rPr>
                  <w:rFonts w:ascii="Arial" w:cs="Arial" w:eastAsia="Arial" w:hAnsi="Arial"/>
                  <w:sz w:val="18"/>
                  <w:szCs w:val="18"/>
                  <w:color w:val="0000EE"/>
                </w:rPr>
                <w:t>Quantitative and Qualitative Disclosures about Market Risk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30">
              <w:r>
                <w:rPr>
                  <w:rFonts w:ascii="Arial" w:cs="Arial" w:eastAsia="Arial" w:hAnsi="Arial"/>
                  <w:sz w:val="18"/>
                  <w:szCs w:val="18"/>
                  <w:color w:val="0000EE"/>
                </w:rPr>
                <w:t>Controls and Procedures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PART II – </w:t>
            </w:r>
            <w:hyperlink w:anchor="page31">
              <w:r>
                <w:rPr>
                  <w:rFonts w:ascii="Arial" w:cs="Arial" w:eastAsia="Arial" w:hAnsi="Arial"/>
                  <w:sz w:val="18"/>
                  <w:szCs w:val="18"/>
                  <w:color w:val="0000EE"/>
                </w:rPr>
                <w:t>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1">
              <w:r>
                <w:rPr>
                  <w:rFonts w:ascii="Arial" w:cs="Arial" w:eastAsia="Arial" w:hAnsi="Arial"/>
                  <w:sz w:val="18"/>
                  <w:szCs w:val="18"/>
                  <w:color w:val="0000EE"/>
                </w:rPr>
                <w:t>Legal Proceedings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31">
              <w:r>
                <w:rPr>
                  <w:rFonts w:ascii="Arial" w:cs="Arial" w:eastAsia="Arial" w:hAnsi="Arial"/>
                  <w:sz w:val="18"/>
                  <w:szCs w:val="18"/>
                  <w:color w:val="0000EE"/>
                </w:rPr>
                <w:t>Unregistered Sales of Equity Securities and Use of Proceeds.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3.</w:t>
            </w:r>
          </w:p>
        </w:tc>
        <w:tc>
          <w:tcPr>
            <w:tcW w:w="4300" w:type="dxa"/>
            <w:vAlign w:val="bottom"/>
            <w:tcBorders>
              <w:top w:val="single" w:sz="8" w:color="0000EE"/>
            </w:tcBorders>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422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4.</w:t>
            </w:r>
          </w:p>
        </w:tc>
        <w:tc>
          <w:tcPr>
            <w:tcW w:w="8520" w:type="dxa"/>
            <w:vAlign w:val="bottom"/>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Submission of Matters to a Vote of Security Holders.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5.</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Other Information.</w:t>
              </w:r>
            </w:hyperlink>
          </w:p>
        </w:tc>
        <w:tc>
          <w:tcPr>
            <w:tcW w:w="2380" w:type="dxa"/>
            <w:vAlign w:val="bottom"/>
            <w:tcBorders>
              <w:top w:val="single" w:sz="8" w:color="0000EE"/>
            </w:tcBorders>
            <w:gridSpan w:val="5"/>
          </w:tcPr>
          <w:p>
            <w:pPr>
              <w:spacing w:after="0"/>
              <w:rPr>
                <w:sz w:val="24"/>
                <w:szCs w:val="24"/>
                <w:color w:val="auto"/>
              </w:rPr>
            </w:pPr>
          </w:p>
        </w:tc>
        <w:tc>
          <w:tcPr>
            <w:tcW w:w="4800" w:type="dxa"/>
            <w:vAlign w:val="bottom"/>
            <w:gridSpan w:val="4"/>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6.</w:t>
            </w:r>
          </w:p>
        </w:tc>
        <w:tc>
          <w:tcPr>
            <w:tcW w:w="852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83"/>
        </w:trPr>
        <w:tc>
          <w:tcPr>
            <w:tcW w:w="5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gridSpan w:val="2"/>
          </w:tcPr>
          <w:p>
            <w:pPr>
              <w:ind w:left="840"/>
              <w:spacing w:after="0"/>
              <w:rPr>
                <w:sz w:val="20"/>
                <w:szCs w:val="20"/>
                <w:color w:val="auto"/>
              </w:rPr>
            </w:pPr>
            <w:r>
              <w:rPr>
                <w:rFonts w:ascii="Arial" w:cs="Arial" w:eastAsia="Arial" w:hAnsi="Arial"/>
                <w:sz w:val="18"/>
                <w:szCs w:val="18"/>
                <w:color w:val="auto"/>
              </w:rPr>
              <w:t>i</w:t>
            </w:r>
          </w:p>
        </w:tc>
        <w:tc>
          <w:tcPr>
            <w:tcW w:w="2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June 30,</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2005</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300" w:type="dxa"/>
            <w:vAlign w:val="bottom"/>
          </w:tcPr>
          <w:p>
            <w:pPr>
              <w:spacing w:after="0"/>
              <w:rPr>
                <w:sz w:val="21"/>
                <w:szCs w:val="21"/>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(unaudited)</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3,187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7,301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4,971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234,421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(168,729)</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(157,798)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-2619375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-2619375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-2619375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-2619375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-2619375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-2619375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5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Cost of service and spares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3,575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0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20,592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(6,324)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(6,426)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(12,480)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Gain due to change in market value of investment rights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(5,604)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(6,093)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(10,931)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(11,717)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48,586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42,375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47,361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42,304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(5,604)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(6,093)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(10,931)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investments in marketable securities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(5,539)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(6,524)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(10,967)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(12,120)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-1367155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-1367155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-1367155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-1367155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-1367155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-1367155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-1367155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-1367155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-1367155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-1367155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-1367155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-1367155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47" w:lineRule="exact"/>
        <w:rPr>
          <w:sz w:val="20"/>
          <w:szCs w:val="20"/>
          <w:color w:val="auto"/>
        </w:rPr>
      </w:pPr>
    </w:p>
    <w:p>
      <w:pPr>
        <w:jc w:val="center"/>
        <w:ind w:left="9720"/>
        <w:spacing w:after="0"/>
        <w:rPr>
          <w:sz w:val="20"/>
          <w:szCs w:val="20"/>
          <w:color w:val="auto"/>
        </w:rPr>
      </w:pPr>
      <w:r>
        <w:rPr>
          <w:rFonts w:ascii="Arial" w:cs="Arial" w:eastAsia="Arial" w:hAnsi="Arial"/>
          <w:sz w:val="14"/>
          <w:szCs w:val="14"/>
          <w:b w:val="1"/>
          <w:bCs w:val="1"/>
          <w:color w:val="auto"/>
        </w:rPr>
        <w:t>Six Months</w:t>
      </w:r>
    </w:p>
    <w:p>
      <w:pPr>
        <w:spacing w:after="0" w:line="1" w:lineRule="exact"/>
        <w:rPr>
          <w:sz w:val="20"/>
          <w:szCs w:val="20"/>
          <w:color w:val="auto"/>
        </w:rPr>
      </w:pPr>
    </w:p>
    <w:p>
      <w:pPr>
        <w:jc w:val="center"/>
        <w:ind w:left="9720"/>
        <w:spacing w:after="0"/>
        <w:rPr>
          <w:sz w:val="20"/>
          <w:szCs w:val="20"/>
          <w:color w:val="auto"/>
        </w:rPr>
      </w:pPr>
      <w:r>
        <w:rPr>
          <w:rFonts w:ascii="Arial" w:cs="Arial" w:eastAsia="Arial" w:hAnsi="Arial"/>
          <w:sz w:val="14"/>
          <w:szCs w:val="14"/>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60325</wp:posOffset>
            </wp:positionV>
            <wp:extent cx="9950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 (10,931)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660" w:type="dxa"/>
            <w:vAlign w:val="bottom"/>
          </w:tcPr>
          <w:p>
            <w:pPr>
              <w:jc w:val="right"/>
              <w:spacing w:after="0"/>
              <w:rPr>
                <w:sz w:val="20"/>
                <w:szCs w:val="20"/>
                <w:color w:val="auto"/>
              </w:rPr>
            </w:pPr>
            <w:r>
              <w:rPr>
                <w:rFonts w:ascii="Arial" w:cs="Arial" w:eastAsia="Arial" w:hAnsi="Arial"/>
                <w:sz w:val="18"/>
                <w:szCs w:val="18"/>
                <w:color w:val="auto"/>
              </w:rPr>
              <w:t>931</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Accretion of premium / discount</w:t>
            </w: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market value of investments rights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Non-cash compensation expense</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Accounts receivable, net</w:t>
            </w:r>
          </w:p>
        </w:tc>
        <w:tc>
          <w:tcPr>
            <w:tcW w:w="660" w:type="dxa"/>
            <w:vAlign w:val="bottom"/>
          </w:tcPr>
          <w:p>
            <w:pPr>
              <w:jc w:val="right"/>
              <w:spacing w:after="0"/>
              <w:rPr>
                <w:sz w:val="20"/>
                <w:szCs w:val="20"/>
                <w:color w:val="auto"/>
              </w:rPr>
            </w:pPr>
            <w:r>
              <w:rPr>
                <w:rFonts w:ascii="Arial" w:cs="Arial" w:eastAsia="Arial" w:hAnsi="Arial"/>
                <w:sz w:val="18"/>
                <w:szCs w:val="18"/>
                <w:color w:val="auto"/>
              </w:rPr>
              <w:t>956</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1,561</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0" w:type="dxa"/>
            <w:vAlign w:val="bottom"/>
          </w:tcPr>
          <w:p>
            <w:pPr>
              <w:spacing w:after="0"/>
              <w:rPr>
                <w:sz w:val="1"/>
                <w:szCs w:val="1"/>
                <w:color w:val="auto"/>
              </w:rPr>
            </w:pPr>
          </w:p>
        </w:tc>
      </w:tr>
      <w:tr>
        <w:trPr>
          <w:trHeight w:val="322"/>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(22,102)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Sales/Maturities of investments</w:t>
            </w:r>
          </w:p>
        </w:tc>
        <w:tc>
          <w:tcPr>
            <w:tcW w:w="660" w:type="dxa"/>
            <w:vAlign w:val="bottom"/>
          </w:tcPr>
          <w:p>
            <w:pPr>
              <w:jc w:val="right"/>
              <w:spacing w:after="0"/>
              <w:rPr>
                <w:sz w:val="20"/>
                <w:szCs w:val="20"/>
                <w:color w:val="auto"/>
              </w:rPr>
            </w:pPr>
            <w:r>
              <w:rPr>
                <w:rFonts w:ascii="Arial" w:cs="Arial" w:eastAsia="Arial" w:hAnsi="Arial"/>
                <w:sz w:val="18"/>
                <w:szCs w:val="18"/>
                <w:color w:val="auto"/>
              </w:rPr>
              <w:t>14,603</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660" w:type="dxa"/>
            <w:vAlign w:val="bottom"/>
          </w:tcPr>
          <w:p>
            <w:pPr>
              <w:jc w:val="right"/>
              <w:spacing w:after="0"/>
              <w:rPr>
                <w:sz w:val="20"/>
                <w:szCs w:val="20"/>
                <w:color w:val="auto"/>
              </w:rPr>
            </w:pPr>
            <w:r>
              <w:rPr>
                <w:rFonts w:ascii="Arial" w:cs="Arial" w:eastAsia="Arial" w:hAnsi="Arial"/>
                <w:sz w:val="18"/>
                <w:szCs w:val="18"/>
                <w:color w:val="auto"/>
              </w:rPr>
              <w:t>17,625</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$ 20,291</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$ 30,916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30, 2005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Active Power, Inc. (“we”, “Active Power” or the “Company”) is a Delaware Corporation. We design, manufacture and market power quality products to provide consistent, reliable electric power required by today’s digital economy. We have commercialized a flywheel energy storage system that provides a highly reliable, low-cost and non-toxic replacement for lead-acid batteries used in conventional power quality installations. We have broadened our product offerings and expanded our available markets by developing additional power quality systems to address customer needs at both higher and lower power levels. During 2004 we developed a battery-free extended runtime technology that utilizes thermal and compressed air storage to provide backup power for minutes to hours depending on the application. We expect to bring this technology to market later this year. We sell our products globally through direct and Original Equipment Manufacturer (“OEM”) channels. Our current principal markets are the United States, Europe and Africa.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83"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The unaudited interim financial statements included herein have been prepared pursuant to the rules and regulations of the Securities and Exchange Commission (“SEC”) including the instructions to Form 10-Q and Article 10 of Regulation S-X. Accordingly, certain information and footnote disclosures normally included in financial statements prepared in accordance with U.S. generally accepted accounting principles have been condensed or omitted. The accompanying interim financial statements reflect all adjustments, consisting only of normal recurring adjustments, which in the opinion of management are necessary to fairly state our financial position, results of operations and cash flows for the periods presented.</w:t>
      </w:r>
    </w:p>
    <w:p>
      <w:pPr>
        <w:spacing w:after="0" w:line="102"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The condensed balance sheet information as of December 31, 2004 has been derived from the audited financial statements at that date and does not include all of the information and footnotes required by U.S. generally accepted accounting principles for complete financial statements. For further information, refer to the financial statements and footnotes thereto included in our annual report on Form 10-K for the year ended December 31, 2004.</w:t>
      </w:r>
    </w:p>
    <w:p>
      <w:pPr>
        <w:spacing w:after="0" w:line="93"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Operating results for the three and six-month periods ended June 30, 2005 are not necessarily indicative of the results that may be expected for the year ended December 31, 2005.</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Certain prior period amounts have been reclassified to conform to current period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state inventories at the lower of cost or market, using the first-in-first-out-method. Inventories consist of the following (in thousands):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June 30,</w:t>
            </w:r>
          </w:p>
        </w:tc>
        <w:tc>
          <w:tcPr>
            <w:tcW w:w="5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51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670" w:type="dxa"/>
            <w:vAlign w:val="bottom"/>
          </w:tcPr>
          <w:p>
            <w:pPr>
              <w:jc w:val="right"/>
              <w:ind w:right="197"/>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3,128</w:t>
            </w:r>
          </w:p>
        </w:tc>
        <w:tc>
          <w:tcPr>
            <w:tcW w:w="5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7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7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4600" w:type="dxa"/>
            <w:vAlign w:val="bottom"/>
            <w:vMerge w:val="restart"/>
          </w:tcPr>
          <w:p>
            <w:pPr>
              <w:jc w:val="right"/>
              <w:ind w:right="3136"/>
              <w:spacing w:after="0"/>
              <w:rPr>
                <w:sz w:val="20"/>
                <w:szCs w:val="20"/>
                <w:color w:val="auto"/>
              </w:rPr>
            </w:pPr>
            <w:r>
              <w:rPr>
                <w:rFonts w:ascii="Arial" w:cs="Arial" w:eastAsia="Arial" w:hAnsi="Arial"/>
                <w:sz w:val="18"/>
                <w:szCs w:val="18"/>
                <w:color w:val="auto"/>
              </w:rPr>
              <w:t>5</w:t>
            </w:r>
          </w:p>
        </w:tc>
        <w:tc>
          <w:tcPr>
            <w:tcW w:w="5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-325755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Accrued expenses consist of the following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June 30,</w:t>
            </w:r>
          </w:p>
        </w:tc>
        <w:tc>
          <w:tcPr>
            <w:tcW w:w="5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7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Warranty liability</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651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Professional fees</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Liability</w:t>
      </w:r>
    </w:p>
    <w:p>
      <w:pPr>
        <w:spacing w:after="0" w:line="77"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Active Power, whichever period is shorter. The warranty period for products sold to Caterpillar is 12 months from the date of shipment to the end-user. We provide for the estimated cost of product warranties at the time revenue is recognized and this accrual is contained in accrued expenses on the accompanying balance sheet.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60" w:type="dxa"/>
            <w:vAlign w:val="bottom"/>
            <w:gridSpan w:val="2"/>
          </w:tcPr>
          <w:p>
            <w:pPr>
              <w:spacing w:after="0"/>
              <w:rPr>
                <w:sz w:val="20"/>
                <w:szCs w:val="20"/>
                <w:color w:val="auto"/>
              </w:rPr>
            </w:pPr>
            <w:r>
              <w:rPr>
                <w:rFonts w:ascii="Arial" w:cs="Arial" w:eastAsia="Arial" w:hAnsi="Arial"/>
                <w:sz w:val="18"/>
                <w:szCs w:val="18"/>
                <w:color w:val="auto"/>
              </w:rPr>
              <w:t>Changes in our liability are presented in the following table (in thousands):</w:t>
            </w:r>
          </w:p>
        </w:tc>
        <w:tc>
          <w:tcPr>
            <w:tcW w:w="2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64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Warranty expense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Warranty charges incurred</w:t>
            </w:r>
          </w:p>
        </w:tc>
        <w:tc>
          <w:tcPr>
            <w:tcW w:w="2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2005</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Taxes</w:t>
      </w:r>
    </w:p>
    <w:p>
      <w:pPr>
        <w:spacing w:after="0" w:line="77"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During 2005 the Company completed a multi-year sales tax audit covering the period from January 2001 through April 2004. As a result of this audit, the Company recorded an additional state tax expense of $969,000, which has been recorded as part of selling, general and administrative expenses and as a current liability in the Company’s accompanying 2005 financial statements. Had this expense been recorded in each of the years giving rise to this liability, the Company’s reported net loss and net loss per share would not have materially changed, as illustrated in the following table (in thousands):</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Loss</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4"/>
          </w:tcPr>
          <w:p>
            <w:pPr>
              <w:ind w:left="380"/>
              <w:spacing w:after="0"/>
              <w:rPr>
                <w:sz w:val="20"/>
                <w:szCs w:val="20"/>
                <w:color w:val="auto"/>
              </w:rPr>
            </w:pPr>
            <w:r>
              <w:rPr>
                <w:rFonts w:ascii="Arial" w:cs="Arial" w:eastAsia="Arial" w:hAnsi="Arial"/>
                <w:sz w:val="14"/>
                <w:szCs w:val="14"/>
                <w:b w:val="1"/>
                <w:bCs w:val="1"/>
                <w:color w:val="auto"/>
                <w:w w:val="94"/>
              </w:rPr>
              <w:t>Net Loss Per Share</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960" w:type="dxa"/>
            <w:vAlign w:val="bottom"/>
            <w:gridSpan w:val="2"/>
          </w:tcPr>
          <w:p>
            <w:pPr>
              <w:spacing w:after="0"/>
              <w:rPr>
                <w:sz w:val="8"/>
                <w:szCs w:val="8"/>
                <w:color w:val="auto"/>
              </w:rPr>
            </w:pPr>
          </w:p>
        </w:tc>
        <w:tc>
          <w:tcPr>
            <w:tcW w:w="300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840" w:type="dxa"/>
            <w:vAlign w:val="bottom"/>
            <w:gridSpan w:val="4"/>
          </w:tcPr>
          <w:p>
            <w:pPr>
              <w:ind w:left="2980"/>
              <w:spacing w:after="0"/>
              <w:rPr>
                <w:sz w:val="20"/>
                <w:szCs w:val="20"/>
                <w:color w:val="auto"/>
              </w:rPr>
            </w:pPr>
            <w:r>
              <w:rPr>
                <w:rFonts w:ascii="Arial" w:cs="Arial" w:eastAsia="Arial" w:hAnsi="Arial"/>
                <w:sz w:val="14"/>
                <w:szCs w:val="14"/>
                <w:b w:val="1"/>
                <w:bCs w:val="1"/>
                <w:color w:val="auto"/>
              </w:rPr>
              <w:t>As Reported</w:t>
            </w:r>
          </w:p>
        </w:tc>
        <w:tc>
          <w:tcPr>
            <w:tcW w:w="1800" w:type="dxa"/>
            <w:vAlign w:val="bottom"/>
            <w:gridSpan w:val="4"/>
          </w:tcPr>
          <w:p>
            <w:pPr>
              <w:ind w:left="480"/>
              <w:spacing w:after="0"/>
              <w:rPr>
                <w:sz w:val="20"/>
                <w:szCs w:val="20"/>
                <w:color w:val="auto"/>
              </w:rPr>
            </w:pPr>
            <w:r>
              <w:rPr>
                <w:rFonts w:ascii="Arial" w:cs="Arial" w:eastAsia="Arial" w:hAnsi="Arial"/>
                <w:sz w:val="14"/>
                <w:szCs w:val="14"/>
                <w:b w:val="1"/>
                <w:bCs w:val="1"/>
                <w:color w:val="auto"/>
              </w:rPr>
              <w:t>With State Taxes</w:t>
            </w:r>
          </w:p>
        </w:tc>
        <w:tc>
          <w:tcPr>
            <w:tcW w:w="1340" w:type="dxa"/>
            <w:vAlign w:val="bottom"/>
            <w:gridSpan w:val="4"/>
          </w:tcPr>
          <w:p>
            <w:pPr>
              <w:ind w:left="280"/>
              <w:spacing w:after="0"/>
              <w:rPr>
                <w:sz w:val="20"/>
                <w:szCs w:val="20"/>
                <w:color w:val="auto"/>
              </w:rPr>
            </w:pPr>
            <w:r>
              <w:rPr>
                <w:rFonts w:ascii="Arial" w:cs="Arial" w:eastAsia="Arial" w:hAnsi="Arial"/>
                <w:sz w:val="14"/>
                <w:szCs w:val="14"/>
                <w:b w:val="1"/>
                <w:bCs w:val="1"/>
                <w:color w:val="auto"/>
              </w:rPr>
              <w:t>As Reported</w:t>
            </w:r>
          </w:p>
        </w:tc>
        <w:tc>
          <w:tcPr>
            <w:tcW w:w="1340" w:type="dxa"/>
            <w:vAlign w:val="bottom"/>
            <w:gridSpan w:val="4"/>
          </w:tcPr>
          <w:p>
            <w:pPr>
              <w:ind w:left="280"/>
              <w:spacing w:after="0"/>
              <w:rPr>
                <w:sz w:val="20"/>
                <w:szCs w:val="20"/>
                <w:color w:val="auto"/>
              </w:rPr>
            </w:pPr>
            <w:r>
              <w:rPr>
                <w:rFonts w:ascii="Arial" w:cs="Arial" w:eastAsia="Arial" w:hAnsi="Arial"/>
                <w:sz w:val="14"/>
                <w:szCs w:val="14"/>
                <w:b w:val="1"/>
                <w:bCs w:val="1"/>
                <w:color w:val="auto"/>
                <w:w w:val="92"/>
              </w:rPr>
              <w:t>With State Taxes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10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(27,780)</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(27,923)</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(0.65)</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2003</w:t>
            </w:r>
          </w:p>
        </w:tc>
        <w:tc>
          <w:tcPr>
            <w:tcW w:w="3100" w:type="dxa"/>
            <w:vAlign w:val="bottom"/>
            <w:gridSpan w:val="2"/>
          </w:tcPr>
          <w:p>
            <w:pPr>
              <w:ind w:left="29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(21,703)</w:t>
            </w:r>
          </w:p>
        </w:tc>
        <w:tc>
          <w:tcPr>
            <w:tcW w:w="7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(21,826)</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(0.52)</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310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(27,623)</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(27,867)</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(0.67)</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2001</w:t>
            </w:r>
          </w:p>
        </w:tc>
        <w:tc>
          <w:tcPr>
            <w:tcW w:w="3100" w:type="dxa"/>
            <w:vAlign w:val="bottom"/>
            <w:gridSpan w:val="2"/>
          </w:tcPr>
          <w:p>
            <w:pPr>
              <w:ind w:left="29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(27,962)</w:t>
            </w:r>
          </w:p>
        </w:tc>
        <w:tc>
          <w:tcPr>
            <w:tcW w:w="7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(28,354)</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(0.70)</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86"/>
              </w:rPr>
              <w:t>Three Months Ended</w:t>
            </w:r>
          </w:p>
        </w:tc>
        <w:tc>
          <w:tcPr>
            <w:tcW w:w="100" w:type="dxa"/>
            <w:vAlign w:val="bottom"/>
          </w:tcPr>
          <w:p>
            <w:pPr>
              <w:spacing w:after="0"/>
              <w:rPr>
                <w:sz w:val="14"/>
                <w:szCs w:val="14"/>
                <w:color w:val="auto"/>
              </w:rPr>
            </w:pPr>
          </w:p>
        </w:tc>
        <w:tc>
          <w:tcPr>
            <w:tcW w:w="15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80"/>
              <w:spacing w:after="0"/>
              <w:rPr>
                <w:sz w:val="20"/>
                <w:szCs w:val="20"/>
                <w:color w:val="auto"/>
              </w:rPr>
            </w:pPr>
            <w:r>
              <w:rPr>
                <w:rFonts w:ascii="Arial" w:cs="Arial" w:eastAsia="Arial" w:hAnsi="Arial"/>
                <w:sz w:val="14"/>
                <w:szCs w:val="14"/>
                <w:b w:val="1"/>
                <w:bCs w:val="1"/>
                <w:color w:val="auto"/>
                <w:w w:val="96"/>
              </w:rPr>
              <w:t>2005</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(5,604)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1"/>
              </w:rPr>
              <w:t>(6,093)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(10,931)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(11,717)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48,586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42,375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47,361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of common stock subject to repurchase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48,586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42,375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47,361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-329565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-329565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-329565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-329565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-329565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-329565</wp:posOffset>
            </wp:positionV>
            <wp:extent cx="83629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36295"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Our calculation of diluted loss per share excludes 5,942,569 and 5,049,048 shares of common stock issuable upon exercise of employee stock options as of June 30, 2005 and 2004, respectively, because their inclusion in the calculation would be anti-dilutive. The calculation of diluted loss per share as of June 30, 2005 also excludes 1,636,353 shares of common stock issuable pursuant to the Additional Investment Rights granted in connection with the sale of common stock in February 2005 (see Note 7), as their inclusion in the calculation would be anti-dilutive.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Accounting for Stock-Based Compensation</w:t>
      </w:r>
    </w:p>
    <w:p>
      <w:pPr>
        <w:spacing w:after="0" w:line="83"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Statement of Financial Accounting Standards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prescribes accounting and reporting standards for all stock-based compensation plans, including employee stock options. As allowed by SFAS 123, we have elected to continue to account for its employee stock-based compensation using the intrinsic value method in accordance with Accounting Principles Board Opinion No. 25,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Stock Issued to Employees </w:t>
      </w:r>
      <w:r>
        <w:rPr>
          <w:rFonts w:ascii="Arial" w:cs="Arial" w:eastAsia="Arial" w:hAnsi="Arial"/>
          <w:sz w:val="16"/>
          <w:szCs w:val="16"/>
          <w:color w:val="auto"/>
        </w:rPr>
        <w:t>(“APB 25”), and related Interpretations. Deferred stock-based compensation is typically amortized using the straight-line method</w:t>
      </w:r>
      <w:r>
        <w:rPr>
          <w:rFonts w:ascii="Arial" w:cs="Arial" w:eastAsia="Arial" w:hAnsi="Arial"/>
          <w:sz w:val="16"/>
          <w:szCs w:val="16"/>
          <w:i w:val="1"/>
          <w:iCs w:val="1"/>
          <w:color w:val="auto"/>
        </w:rPr>
        <w:t xml:space="preserve"> </w:t>
      </w:r>
      <w:r>
        <w:rPr>
          <w:rFonts w:ascii="Arial" w:cs="Arial" w:eastAsia="Arial" w:hAnsi="Arial"/>
          <w:sz w:val="16"/>
          <w:szCs w:val="16"/>
          <w:color w:val="auto"/>
        </w:rPr>
        <w:t>over the vesting period, which is generally four years, utilizing the accelerated method prescribed in Financial Accounting Standards Board (“FASB”) Interpretation No. 28. We have calculated the fair value of options granted in these periods using the Black-Scholes option-pricing model and have determined the pro forma impact on net loss. Where it is not feasible to reasonably estimate fair value at grant date, compensation is measured using fair value and other pertinent data at the first date at which it is possible to reasonably estimate that value. Generally that is the date that the number of shares and exercise price are determinable. This method is used for shares granted pursuant to our Employee Stock Purchase Plan.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The following table illustrates the effect on net loss and net loss per share if we had applied the fair value recognition provisions of SFAS 123 to stock-based employee compensation (in thousands, except per share data):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68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5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99"/>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(5,604)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4"/>
              </w:rPr>
              <w:t>(6,093)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(10,931)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(11,717)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2"/>
              </w:rPr>
              <w:t>Total stock-based compensation cost, net of related tax effects included in the determination of net income as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reported</w:t>
            </w:r>
          </w:p>
        </w:tc>
        <w:tc>
          <w:tcPr>
            <w:tcW w:w="100" w:type="dxa"/>
            <w:vAlign w:val="bottom"/>
          </w:tcPr>
          <w:p>
            <w:pPr>
              <w:spacing w:after="0"/>
              <w:rPr>
                <w:sz w:val="19"/>
                <w:szCs w:val="19"/>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w w:val="92"/>
              </w:rPr>
              <w:t>The stock-based employee compensation cost, net of related tax effects, that would have been included in the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determination of net income if the fair value based method had been applied to all awards</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4"/>
              </w:rPr>
              <w:t>(1,195)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(6,322)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4"/>
              </w:rPr>
              <w:t>(7,271)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(13,084)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(14,092)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Basic and diluted - 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-507365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-507365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-507365</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-507365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-507365</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-507365</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-507365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-507365</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-507365</wp:posOffset>
            </wp:positionV>
            <wp:extent cx="62992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920" cy="298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83"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On February 4, 2005, we completed the private placement of 5,454,510 shares of the Company’s Common Stock at a price of $3.64 per share, for an aggregate offering price of approximately $19.8 million, to certain institutional investors (the “Purchasers”). We also issued Additional Investment Rights to purchase 1,636,353 shares of Common Stock to the Purchasers (the “Additional Investment Rights”), at an exercise price per share of $3.64. The Additional Investment Rights are exercisable until the earlier to occur of (1) August 18, 2005 or (2) immediately prior to any merger or acquisition of the Company pursuant to which the Company is not the surviving entity. In connection with the transaction, we paid placement agent fees and expenses of approximately $1.1 million.</w:t>
      </w:r>
    </w:p>
    <w:p>
      <w:pPr>
        <w:spacing w:after="0" w:line="102"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As part of the transaction, we agreed to register for resale under the Securities Act all of the shares of Common Stock issued in the offering, as well as shares of Common Stock issuable upon exercise of the Additional Investment Rights. We filed a Registration Statement on Form S-3 (File No. 333-123586) with the SEC on March 24, 2005 that was declared effective by the SEC on May 18, 2005.</w:t>
      </w:r>
    </w:p>
    <w:p>
      <w:pPr>
        <w:spacing w:after="0" w:line="127"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color w:val="auto"/>
        </w:rPr>
        <w:t xml:space="preserve">In accordance with the requirements of SFAS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the fair value of the Additional Investment Rights was determined at the time of issuance based on the proceeds of the offering and the relative fair values of the securities and the Additional Investment Rights. We used the Black-Scholes valuation model to determine the fair value of the Additional Investment Right, and accordingly attributed a value of $964,000 to the Additional Investment Rights, which was recorded as additional paid in capital. Changes in the fair value of the Additional Investment Rights since the date of issuance are required to be reflected in our earnings. The rights were revalued to their market value of $471,000 at March 31, 2005, with the resultant gain of $493,000 recorded as other income during the three-months ended March 31, 2005. The Additional Investment Rights were revalued again at June 30, 2005 to their market value of $150,000 which resulted in a gain of $321,000 that was recorded as other income during the three-month period ended June 30, 2005.</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Recently Issued Accounting Standards</w:t>
      </w:r>
    </w:p>
    <w:p>
      <w:pPr>
        <w:spacing w:after="0" w:line="83"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In December 2004, the FASB issued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(“SFAS 123R”), which supersedes APB 25, SFAS 123 and related implementation guidelines. The pronouncement is effective for annual periods beginning after June 15, 2005. Under this pronouncement, stock-based compensation to employees is required to be recognized as a charge to the Statement of Operations and such charge is required to be measured according to the fair value of the stock options. Pro forma disclosure will no longer be an alternative. In the absence of an observable market price for the stock awards, the fair value of the stock options will be based upon a valuation methodology that takes into consideration various factors, including the exercise price of the option, the expected term of the option, the current price of the underlying shares, the expected volatility of the underlying shares, the expected dividends on the underlying shares and the risk-free interest rate.</w:t>
      </w:r>
    </w:p>
    <w:p>
      <w:pPr>
        <w:spacing w:after="0" w:line="10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We will adopt the delayed provisions of SFAS 123R beginning January 1, 2006 using a modified version of prospective application, as allowed by the standard. Under this modified prospective application method, SFAS 123R will be applied to new stock awards granted after the date of adoption and to awards modified, repurchased or cancelled after January 1, 2006. Additionally, compensation costs for the portion of stock awards for which the requisite service has not been rendered/vested that are outstanding as of January 1, 2006 shall be recognized as the requisite service is rendered after January 1, 2006. The compensation costs for that portion of stock awards shall be based on the grant-date fair value of those awards as calculated for pro-forma disclosures under SFAS 123.</w:t>
      </w:r>
    </w:p>
    <w:p>
      <w:pPr>
        <w:spacing w:after="0" w:line="131"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We anticipate that the impact of adopting SFAS 123R on net income and earnings per share will approximate the impact of the adjustments made to determine pro forma net income and pro forma earnings per share under SFAS 123, as described in Note 6 above. There are certain differences between the requirements of SFAS 123 and SFAS 123R that may result in differences from the amounts disclosed in Note 5. SEC Staff Accounting Bulletin No. 107, issued in March 2005, provides further clarification of how to determine the fair value of stock awards.</w:t>
      </w:r>
    </w:p>
    <w:p>
      <w:pPr>
        <w:spacing w:after="0" w:line="99"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In November 2004, the FASB issued SFAS No. 151, </w:t>
      </w:r>
      <w:r>
        <w:rPr>
          <w:rFonts w:ascii="Arial" w:cs="Arial" w:eastAsia="Arial" w:hAnsi="Arial"/>
          <w:sz w:val="16"/>
          <w:szCs w:val="16"/>
          <w:i w:val="1"/>
          <w:iCs w:val="1"/>
          <w:color w:val="auto"/>
        </w:rPr>
        <w:t>Inventory Costs, An Amendment of Accounting Research Bulletin (“ARB”) No. 43, Chapter 4</w:t>
      </w:r>
      <w:r>
        <w:rPr>
          <w:rFonts w:ascii="Arial" w:cs="Arial" w:eastAsia="Arial" w:hAnsi="Arial"/>
          <w:sz w:val="16"/>
          <w:szCs w:val="16"/>
          <w:color w:val="auto"/>
        </w:rPr>
        <w:t xml:space="preserve"> (“SFAS 151”). SFAS 151 amends ARB No. 43, Chapter 4, to clarify that abnormal amounts of idle facility expense, freight, handling costs and wasted materials (spoilage) be recognized as current period charges. It also requires that allocation of fixed production overheads to the costs of conversion be based on the normal capacity of the production facilities. SFAS 151 is effective for inventory costs incurred during fiscal years beginning after June 15, 2005. The adoption of SFAS 151 will not have a material impact on our results of operations or financial position.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to, the financial statements and notes thereto included in Item 1 of this Form 10-Q and the financial statements and notes thereto and our Management’s Discussion and Analysis of Financial Condition and Results of Operation for the year ended December 31, 2004 included in our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That May Affect Future Results” below for a discussion of items that may affect our future results.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913"/>
        <w:spacing w:after="0" w:line="255" w:lineRule="auto"/>
        <w:rPr>
          <w:sz w:val="20"/>
          <w:szCs w:val="20"/>
          <w:color w:val="auto"/>
        </w:rPr>
      </w:pPr>
      <w:r>
        <w:rPr>
          <w:rFonts w:ascii="Arial" w:cs="Arial" w:eastAsia="Arial" w:hAnsi="Arial"/>
          <w:sz w:val="17"/>
          <w:szCs w:val="17"/>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the lead-acid batteries used in conventional power quality installations. Our first commercial product was a battery-free DC system (“CleanSource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DC”) that is used as a bridging energy source in typical power quality installations and is compatible with all major uninterruptible power supply (“UPS”) brands. Leveraging our expertise in this technology, we have also developed a battery-free UPS system that incorporates our flywheel technology. This system is marketed by Caterpillar Inc., the leading maker of engine generators for the power reliability market, under the Caterpillar brand name “Cat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UPS” and is also marketed directly by Active Power as the CleanSource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UPS. In 2003 and 2004, we broadened our product offerings and expanded our available markets by developing additional flywheel UPS systems to address customer needs at both higher and lower power levels. Our family of battery-free UPS products currently ranges from 65 kVA – 1200 kVA. By paralleling our 1200 kVA UPS systems together, we will be able to provide up to a 3600 kVA battery-free UPS system to customers.</w:t>
      </w:r>
    </w:p>
    <w:p>
      <w:pPr>
        <w:spacing w:after="0" w:line="135" w:lineRule="exact"/>
        <w:rPr>
          <w:sz w:val="20"/>
          <w:szCs w:val="20"/>
          <w:color w:val="auto"/>
        </w:rPr>
      </w:pPr>
    </w:p>
    <w:p>
      <w:pPr>
        <w:ind w:firstLine="913"/>
        <w:spacing w:after="0" w:line="262" w:lineRule="auto"/>
        <w:rPr>
          <w:sz w:val="20"/>
          <w:szCs w:val="20"/>
          <w:color w:val="auto"/>
        </w:rPr>
      </w:pPr>
      <w:r>
        <w:rPr>
          <w:rFonts w:ascii="Arial" w:cs="Arial" w:eastAsia="Arial" w:hAnsi="Arial"/>
          <w:sz w:val="16"/>
          <w:szCs w:val="16"/>
          <w:color w:val="auto"/>
        </w:rPr>
        <w:t>During 2004, we developed a battery-free extended runtime technology (one that provides backup power for minutes to hours depending on the application) that utilizes thermal and compressed air storage (“TACAS”). We announced this TACAS technology in September 2004. In December 2004, we shipped an evaluation unit of our first extended runtime product that is based on the TACAS technology. This product was initially marketed as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XR but is now being marketed as the CoolAir</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DC. We shipped additional evaluation units in March and June of 2005, and intend to ship more CoolAir</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DC evaluation units in the next quarter and to begin commercial production of this product in the fourth quarter of 2005.</w:t>
      </w:r>
    </w:p>
    <w:p>
      <w:pPr>
        <w:spacing w:after="0" w:line="124"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Our products are sold for use in the facilities of companies across many different industries that all share a critical need for reliable, high-quality power, such as broadcasters, hospitals, credit card processing centers, semiconductor manufacturers, pharmaceutical manufacturers, plastics manufacturers, data centers and electric utilities. Sales have been spread across many different countries from many regions of the world. Our primary markets are currently the United States, Europe and Africa.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As of June 30, 2005, we had generated an accumulated deficit of $168.7 million and we expect to continue to sustain operating losses for the next several quarters. To date we have funded our operations through private and public sales of shares of stock, including most recently in February 2005, from the private placement of common stock that raised a further $18.7 million in net proceeds. Based on the current spending levels and expectations in our current business plan, we believe that our current cash and investments will be sufficient to meet our cash requirements through the next 24 months. Our cash and investments position at June 30, 2005 was $55.2 million.</w:t>
      </w:r>
    </w:p>
    <w:p>
      <w:pPr>
        <w:spacing w:after="0" w:line="12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Some of the uncertainties that could impact our business include the strength of the U.S. and global economies, the success of our direct sales efforts, delays in new product development, the speed of market adoption for our technology and products, global commodity prices and new competitive technologies and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condensed financial statements, which have been prepared in accordance with U.S. generally accepted accounting principles. The preparation of these financial statements requires us to make estimates and judgments that affect the reported amounts of assets, liabilities, revenues and expenses, and related disclosure of contingent assets and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Estimates and assumptions are reviewed periodically. Actual results may differ from these estimates under different assumptions or conditions.</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believe the following represent our critical accounting policies:</w:t>
      </w:r>
    </w:p>
    <w:p>
      <w:pPr>
        <w:spacing w:after="0" w:line="77" w:lineRule="exact"/>
        <w:rPr>
          <w:sz w:val="20"/>
          <w:szCs w:val="20"/>
          <w:color w:val="auto"/>
        </w:rPr>
      </w:pPr>
    </w:p>
    <w:p>
      <w:pPr>
        <w:ind w:left="2040" w:hanging="330"/>
        <w:spacing w:after="0"/>
        <w:tabs>
          <w:tab w:leader="none" w:pos="2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03" w:lineRule="exact"/>
        <w:rPr>
          <w:rFonts w:ascii="Arial" w:cs="Arial" w:eastAsia="Arial" w:hAnsi="Arial"/>
          <w:sz w:val="18"/>
          <w:szCs w:val="18"/>
          <w:color w:val="auto"/>
        </w:rPr>
      </w:pPr>
    </w:p>
    <w:p>
      <w:pPr>
        <w:ind w:left="2040" w:hanging="330"/>
        <w:spacing w:after="0"/>
        <w:tabs>
          <w:tab w:leader="none" w:pos="2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103" w:lineRule="exact"/>
        <w:rPr>
          <w:rFonts w:ascii="Arial" w:cs="Arial" w:eastAsia="Arial" w:hAnsi="Arial"/>
          <w:sz w:val="18"/>
          <w:szCs w:val="18"/>
          <w:color w:val="auto"/>
        </w:rPr>
      </w:pPr>
    </w:p>
    <w:p>
      <w:pPr>
        <w:ind w:left="2040" w:hanging="330"/>
        <w:spacing w:after="0"/>
        <w:tabs>
          <w:tab w:leader="none" w:pos="2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Warranty Liability</w:t>
      </w:r>
    </w:p>
    <w:p>
      <w:pPr>
        <w:spacing w:after="0" w:line="185"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We also have other policies that we consider to be key accounting policies. However, we believe that these policies do not meet the definition of critical accounting estimates because they do not generally require us to make estimates or judgments that are difficult or subjective.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Revenue on sales of our products is recognized when persuasive evidence of an agreement exists, delivery has occurred, the fee is fixed and determinable, and collectibility is probable. Generally, these criteria are met at the time our product is shipped. If the criteria for revenue recognition are not met at the time of shipment, the revenue is deferred until all criteria are met. We also sell extended service contracts for maintenance and support of our products. Revenue for service contracts is recognized ratably over the term of the agreement.</w:t>
      </w:r>
    </w:p>
    <w:p>
      <w:pPr>
        <w:spacing w:after="0" w:line="130"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or is deferred and recognized over the service period (where applicable).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Revenue associated with the sale of extended warranties is recognized ratably over the contract period.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state inventories at the lower of cost or market, using the first-in-first-out-method. If actual future demand or market conditions are less favorable than those projected by management, or if product design changes result in excess or obsolete components beyond current expectations, additional inventory write-downs may be required. We evaluate our inventory valuation on a quarterly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Liability</w:t>
      </w:r>
    </w:p>
    <w:p>
      <w:pPr>
        <w:spacing w:after="0" w:line="77"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We provide for the estimated cost of product warranties at the time revenue is recognized. While we engage in product quality programs and processes, our warranty obligation is affected by product failure rates, material usage and service delivery costs incurred in correcting a product failure. Should actual product failure rates, material usage or service delivery costs differ from our estimates, revisions to the estimated warranty liability may be required. We evaluate the reasonableness of our warranty accrual levels on a quarterly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Revenue consists of sales of our CleanSource power quality products, as well as our services and spare parts. The following 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summarizes for the periods indicated a comparison of our total revenue: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200" w:type="dxa"/>
            <w:vAlign w:val="bottom"/>
          </w:tcPr>
          <w:p>
            <w:pPr>
              <w:spacing w:after="0"/>
              <w:rPr>
                <w:sz w:val="14"/>
                <w:szCs w:val="14"/>
                <w:color w:val="auto"/>
              </w:rPr>
            </w:pPr>
          </w:p>
        </w:tc>
        <w:tc>
          <w:tcPr>
            <w:tcW w:w="700" w:type="dxa"/>
            <w:vAlign w:val="bottom"/>
            <w:gridSpan w:val="3"/>
          </w:tcPr>
          <w:p>
            <w:pPr>
              <w:jc w:val="center"/>
              <w:ind w:left="112"/>
              <w:spacing w:after="0"/>
              <w:rPr>
                <w:sz w:val="20"/>
                <w:szCs w:val="20"/>
                <w:color w:val="auto"/>
              </w:rPr>
            </w:pPr>
            <w:r>
              <w:rPr>
                <w:rFonts w:ascii="Arial" w:cs="Arial" w:eastAsia="Arial" w:hAnsi="Arial"/>
                <w:sz w:val="14"/>
                <w:szCs w:val="14"/>
                <w:b w:val="1"/>
                <w:bCs w:val="1"/>
                <w:color w:val="auto"/>
                <w:w w:val="89"/>
              </w:rPr>
              <w:t>Variance</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Six months ended</w:t>
            </w:r>
          </w:p>
        </w:tc>
        <w:tc>
          <w:tcPr>
            <w:tcW w:w="720" w:type="dxa"/>
            <w:vAlign w:val="bottom"/>
            <w:gridSpan w:val="2"/>
          </w:tcPr>
          <w:p>
            <w:pPr>
              <w:jc w:val="center"/>
              <w:ind w:left="127"/>
              <w:spacing w:after="0"/>
              <w:rPr>
                <w:sz w:val="20"/>
                <w:szCs w:val="20"/>
                <w:color w:val="auto"/>
              </w:rPr>
            </w:pPr>
            <w:r>
              <w:rPr>
                <w:rFonts w:ascii="Arial" w:cs="Arial" w:eastAsia="Arial" w:hAnsi="Arial"/>
                <w:sz w:val="14"/>
                <w:szCs w:val="14"/>
                <w:b w:val="1"/>
                <w:bCs w:val="1"/>
                <w:color w:val="auto"/>
                <w:w w:val="89"/>
              </w:rPr>
              <w:t>Variance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5"/>
                <w:szCs w:val="15"/>
                <w:color w:val="auto"/>
              </w:rPr>
            </w:pPr>
          </w:p>
        </w:tc>
        <w:tc>
          <w:tcPr>
            <w:tcW w:w="1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4"/>
              </w:rPr>
              <w:t>2005 vs. 2004</w:t>
            </w:r>
          </w:p>
        </w:tc>
        <w:tc>
          <w:tcPr>
            <w:tcW w:w="13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1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2005 vs.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40" w:type="dxa"/>
            <w:vAlign w:val="bottom"/>
          </w:tcPr>
          <w:p>
            <w:pPr>
              <w:jc w:val="right"/>
              <w:ind w:right="4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c>
          <w:tcPr>
            <w:tcW w:w="600" w:type="dxa"/>
            <w:vAlign w:val="bottom"/>
          </w:tcPr>
          <w:p>
            <w:pPr>
              <w:jc w:val="right"/>
              <w:ind w:right="82"/>
              <w:spacing w:after="0"/>
              <w:rPr>
                <w:sz w:val="20"/>
                <w:szCs w:val="20"/>
                <w:color w:val="auto"/>
              </w:rPr>
            </w:pPr>
            <w:r>
              <w:rPr>
                <w:rFonts w:ascii="Arial" w:cs="Arial" w:eastAsia="Arial" w:hAnsi="Arial"/>
                <w:sz w:val="14"/>
                <w:szCs w:val="14"/>
                <w:b w:val="1"/>
                <w:bCs w:val="1"/>
                <w:color w:val="auto"/>
              </w:rPr>
              <w:t>2004</w:t>
            </w:r>
          </w:p>
        </w:tc>
        <w:tc>
          <w:tcPr>
            <w:tcW w:w="6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480" w:type="dxa"/>
            <w:vAlign w:val="bottom"/>
          </w:tcPr>
          <w:p>
            <w:pPr>
              <w:jc w:val="right"/>
              <w:ind w:right="27"/>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520" w:type="dxa"/>
            <w:vAlign w:val="bottom"/>
          </w:tcPr>
          <w:p>
            <w:pPr>
              <w:jc w:val="right"/>
              <w:ind w:right="14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200" w:type="dxa"/>
            <w:vAlign w:val="bottom"/>
            <w:gridSpan w:val="2"/>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620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$ 4,674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$ 3,715</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$ 959</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$8,112</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$6,955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$ 1,157</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3"/>
              </w:rPr>
              <w:t>17%</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Total revenue for the three and six month periods ended June 30, 2005, increased compared to the same periods in 2004 primarily due to increased number of units sold, including increased sales of our DC products. In the first quarter of 2005, we noted a significant increase in DC product sales that continued through the second quarter of 2005, resulting in 31 incremental DC flywheel units sold in the first six months of 2005, compared to the first six months of 2004. We believe that this spike in DC product growth is an anomaly and is not expected to continue throughout the remainder of 2005, as we anticipate UPS and Continuous Power System (“CPS”) products to continue to represent the vast majority of our total revenue.</w:t>
      </w:r>
    </w:p>
    <w:p>
      <w:pPr>
        <w:spacing w:after="0" w:line="10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During fiscal 2004 we began to significantly benefit from CPS sales, which typically include our 1200 kVA UPS product combined with third party equipment, and installation and start-up services. Sales related to these large system deals were $1.3 million and $1.0 million in the three months ended June 30, 2005 and 2004, respectively, and were $1.8 million and $2.4 million in the first six months of fiscal 2005 and 2004, respectively. These large system sales are governed by strict revenue recognition criteria and may take a long time to close or to fulfill all the requirements for revenue recognition. This delay can result in significant fluctuations in recorded revenue on a quarterly basis, especially if anticipated transactions fail to materialize as planned. We anticipate that CPS related revenue will continue to be a significant contributor to our total revenue in the remainder of 2005.</w:t>
      </w:r>
    </w:p>
    <w:p>
      <w:pPr>
        <w:spacing w:after="0" w:line="10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Stocking units held as inventory by our primary OEM distributor, Caterpillar and its dealer network, declined by approximately $1.7 million, or 39%, during the first six months of 2005. Although we have no contractual obligations to our OEM customers for the products that they hold in their inventory, a significant reduction in our OEM customers’ stocking units in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period would negatively impact our sales if they are able to satisfy orders from their inventory during that period rather than purchase new units from us. We are working closely with our OEM customers to assist them in selling these stocking orders over time. During fiscal 2005, we expect current channel inventory to continue to decline and reach an appropriate level of stocking units to enable them to respond quickly to time-sensitive customer orders.</w:t>
      </w:r>
    </w:p>
    <w:p>
      <w:pPr>
        <w:spacing w:after="0" w:line="93"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The average selling price of our base products declined by 7% in the three month period ended June 30, 2005 compared to the same period of 2004, and declined by 4% in the six month period ended June 30, 2005 as compared to the same period of 2004, primarily due to the high percentage of DC product sales. DC products have a lower average selling price compared to our UPS product, so a change in sales mix towards DC products would be expected to result in lower average selling prices. Sales prices will also vary depending on the power levels of the products sold, the channel through which the product was sold, and the quantity and type of options purchased by the customers during a particular fiscal period.</w:t>
      </w:r>
    </w:p>
    <w:p>
      <w:pPr>
        <w:spacing w:after="0" w:line="102"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Sales of Active Power branded products through our direct and manufacturer’s representative channels were 59% of our total revenues for the three month period ended June 30, 2005 compared to 41% for the same period of 2004. Sales of Active Power branded products were 52% of our total revenues for the six-month period ended June 30, 2005 compared to 46% of total revenues for the same period of 2004. We believe sales of our Active Power branded products to government facilities and industrial customers in regions not previously covered by our OEMs will continue to increase over time and will become a larger percentage of our total revenue. Our products perform well in harsh environments where power quality is particularly poor, which makes them a good fit for industrial countries with a poor power infrastructure. Due to the large size of some of our customer orders relative to our current total revenue levels, our quarterly total revenue trend can be expected to fluctuate as these orders ship in various periods.</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North American sales were 56% of our total revenues for the three-month period ended June 30, 2005 compared to 40% for the same period of 2004.</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North American sales were 58% of total revenues for the six-month period ended June 30, 2005 compared to 45% of total revenues for the same period of 2004.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was driven by increases in all of our major sales channels - Caterpillar and its dealer network, Eaton Power Quality, and direct sales.</w:t>
      </w:r>
    </w:p>
    <w:p>
      <w:pPr>
        <w:spacing w:after="0" w:line="151"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Service and spares revenue primarily relates to revenue generated from repairs or reconfigurations of our products, and includes revenue associated with the costs of travel of our service personnel, replacement parts and labor. Service and spares revenue increased by 11% for the three month period ended June 30, 2005 compared to the prior year period, and increased by 7% for the six month period ended June 30, 2005 compared to the same period of 2004. We anticipate that service and spares revenue will continue to grow with product revenue and as our installed base of product expands, because as more units are sold to customers, more installation, startup and maintenance services will be required, particularly when those products are sold through our Active Power branded channel.</w:t>
      </w:r>
    </w:p>
    <w:p>
      <w:pPr>
        <w:spacing w:after="0" w:line="13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b w:val="1"/>
          <w:bCs w:val="1"/>
          <w:i w:val="1"/>
          <w:iCs w:val="1"/>
          <w:color w:val="auto"/>
        </w:rPr>
        <w:t xml:space="preserve">Cost of product revenue. </w:t>
      </w:r>
      <w:r>
        <w:rPr>
          <w:rFonts w:ascii="Arial" w:cs="Arial" w:eastAsia="Arial" w:hAnsi="Arial"/>
          <w:sz w:val="16"/>
          <w:szCs w:val="16"/>
          <w:color w:val="auto"/>
        </w:rPr>
        <w:t>Cost of product revenue includes the cost of component parts of our products that are sourced from suppliers, personnel,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and other costs associated with our assembly and test operations, shipping costs, warranty costs, and the costs of manufacturing support functions such as logistics and quality assurance. The following table summarizes for the periods indicated a comparison of our cost of product revenue: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w w:val="85"/>
              </w:rPr>
              <w:t>Variance</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4"/>
              </w:rPr>
              <w:t>Six months ended</w:t>
            </w:r>
          </w:p>
        </w:tc>
        <w:tc>
          <w:tcPr>
            <w:tcW w:w="80" w:type="dxa"/>
            <w:vAlign w:val="bottom"/>
          </w:tcPr>
          <w:p>
            <w:pPr>
              <w:spacing w:after="0"/>
              <w:rPr>
                <w:sz w:val="14"/>
                <w:szCs w:val="14"/>
                <w:color w:val="auto"/>
              </w:rPr>
            </w:pP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w w:val="85"/>
              </w:rPr>
              <w:t>Variance</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5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2005 vs. 2004</w:t>
            </w:r>
          </w:p>
        </w:tc>
        <w:tc>
          <w:tcPr>
            <w:tcW w:w="15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5"/>
                <w:szCs w:val="15"/>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2005 vs.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2"/>
                <w:szCs w:val="22"/>
                <w:color w:val="auto"/>
              </w:rPr>
            </w:pPr>
          </w:p>
        </w:tc>
        <w:tc>
          <w:tcPr>
            <w:tcW w:w="520" w:type="dxa"/>
            <w:vAlign w:val="bottom"/>
          </w:tcPr>
          <w:p>
            <w:pPr>
              <w:jc w:val="right"/>
              <w:ind w:right="59"/>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560" w:type="dxa"/>
            <w:vAlign w:val="bottom"/>
            <w:gridSpan w:val="2"/>
          </w:tcPr>
          <w:p>
            <w:pPr>
              <w:ind w:left="3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2"/>
                <w:szCs w:val="22"/>
                <w:color w:val="auto"/>
              </w:rPr>
            </w:pPr>
          </w:p>
        </w:tc>
        <w:tc>
          <w:tcPr>
            <w:tcW w:w="500" w:type="dxa"/>
            <w:vAlign w:val="bottom"/>
          </w:tcPr>
          <w:p>
            <w:pPr>
              <w:jc w:val="right"/>
              <w:ind w:right="4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54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760" w:type="dxa"/>
            <w:vAlign w:val="bottom"/>
            <w:gridSpan w:val="2"/>
            <w:vMerge w:val="continue"/>
          </w:tcPr>
          <w:p>
            <w:pPr>
              <w:spacing w:after="0"/>
              <w:rPr>
                <w:sz w:val="8"/>
                <w:szCs w:val="8"/>
                <w:color w:val="auto"/>
              </w:rPr>
            </w:pPr>
          </w:p>
        </w:tc>
        <w:tc>
          <w:tcPr>
            <w:tcW w:w="19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760" w:type="dxa"/>
            <w:vAlign w:val="bottom"/>
            <w:gridSpan w:val="2"/>
            <w:vMerge w:val="continue"/>
          </w:tcPr>
          <w:p>
            <w:pPr>
              <w:spacing w:after="0"/>
              <w:rPr>
                <w:sz w:val="4"/>
                <w:szCs w:val="4"/>
                <w:color w:val="auto"/>
              </w:rPr>
            </w:pPr>
          </w:p>
        </w:tc>
        <w:tc>
          <w:tcPr>
            <w:tcW w:w="19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7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$ 4,422</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(303)</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$7,364</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(545)</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Percent of product revenue</w:t>
            </w:r>
          </w:p>
        </w:tc>
        <w:tc>
          <w:tcPr>
            <w:tcW w:w="2760" w:type="dxa"/>
            <w:vAlign w:val="bottom"/>
            <w:gridSpan w:val="3"/>
          </w:tcPr>
          <w:p>
            <w:pPr>
              <w:jc w:val="right"/>
              <w:ind w:right="180"/>
              <w:spacing w:after="0"/>
              <w:rPr>
                <w:sz w:val="20"/>
                <w:szCs w:val="20"/>
                <w:color w:val="auto"/>
              </w:rPr>
            </w:pPr>
            <w:r>
              <w:rPr>
                <w:rFonts w:ascii="Arial" w:cs="Arial" w:eastAsia="Arial" w:hAnsi="Arial"/>
                <w:sz w:val="18"/>
                <w:szCs w:val="18"/>
                <w:color w:val="auto"/>
              </w:rPr>
              <w:t>99%</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40" w:type="dxa"/>
            <w:vAlign w:val="bottom"/>
            <w:gridSpan w:val="2"/>
          </w:tcPr>
          <w:p>
            <w:pPr>
              <w:jc w:val="right"/>
              <w:ind w:right="332"/>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The decrease in cost of product revenue in both the three and six-month periods ended June 30, 2005 compared to the comparable periods in 2004 is due to improved efficiency in our manufacturing operations and material costs reductions. We have ongoing programs to reduce product and component costs where feasible, and this has resulted in an improvement in materials costs as a percentage of product revenue. We continue to operate a manufacturing facility that has a capacity level significantly greater than our current product revenue levels. A large portion of the costs involved in operating our facility are fixed in nature and we incur approximately $1.2 million to $1.5 million in overhead each quarter. We reduced our manufacturing staff levels in 2003 and have continued to reduce our overhead levels where feasible. We also continue to work on reducing our product costs, and in the second quarter of 2005, due to an increase in the percentage of our sales through our Active Power branded channel, we reached product gross margin break-even. Our ability to maintain positive product gross margin will depend on multiple factors, including our ability to continue to reduce material costs, improve our sales channel mix in favor of direct versus OEM, and improve the efficiency of our manufacturing operations.</w:t>
      </w:r>
    </w:p>
    <w:p>
      <w:pPr>
        <w:spacing w:after="0" w:line="106" w:lineRule="exact"/>
        <w:rPr>
          <w:sz w:val="20"/>
          <w:szCs w:val="20"/>
          <w:color w:val="auto"/>
        </w:rPr>
      </w:pPr>
    </w:p>
    <w:p>
      <w:pPr>
        <w:ind w:firstLine="913"/>
        <w:spacing w:after="0" w:line="314" w:lineRule="auto"/>
        <w:rPr>
          <w:sz w:val="20"/>
          <w:szCs w:val="20"/>
          <w:color w:val="auto"/>
        </w:rPr>
      </w:pPr>
      <w:r>
        <w:rPr>
          <w:rFonts w:ascii="Arial" w:cs="Arial" w:eastAsia="Arial" w:hAnsi="Arial"/>
          <w:sz w:val="15"/>
          <w:szCs w:val="15"/>
          <w:color w:val="auto"/>
        </w:rPr>
        <w:t>The improvement in cost of product revenue as a percentage of product revenue for the three and six month periods ended 2005 compared to the same periods in 2004 is attributable both to changes in sales channel mix and to fewer sales in 2005 that have performance guarantees. We achieve higher margins on direct sales so a higher sales mix of direct sales will favorably impact cost as a percentage of revenue. In 2004, product revenue included sales to a large industrial customer in Northern Africa, where the sales contract required performance guarantees. This impacted the amount of revenue that we could recognize on the sale (a portion had to be deferred until the performance guarantee was released), despite incurring all of the costs. During 2005, we have had fewer sales with performance guarantees and lower actual levels of guarantees compared to 2004. Both of these factors favorably impact cost of a percentage of revenues.</w:t>
      </w:r>
    </w:p>
    <w:p>
      <w:pPr>
        <w:spacing w:after="0" w:line="91"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Items that could impact our ability to further improve our gross margin include sales product mix, pricing discounts and customer incentives, currency fluctuations, and variations in our product cost and productivity.</w:t>
      </w:r>
    </w:p>
    <w:p>
      <w:pPr>
        <w:spacing w:after="0" w:line="118"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b w:val="1"/>
          <w:bCs w:val="1"/>
          <w:i w:val="1"/>
          <w:iCs w:val="1"/>
          <w:color w:val="auto"/>
        </w:rPr>
        <w:t xml:space="preserve">Cost of service and spares revenue. </w:t>
      </w:r>
      <w:r>
        <w:rPr>
          <w:rFonts w:ascii="Arial" w:cs="Arial" w:eastAsia="Arial" w:hAnsi="Arial"/>
          <w:sz w:val="18"/>
          <w:szCs w:val="18"/>
          <w:color w:val="auto"/>
        </w:rPr>
        <w:t>Cost of service and spares revenue includes the cost of component parts, as well as labor and overhead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spare parts, costs associated with travel and labor used in servicing a unit and unabsorbed overhead from the service group. The following table summarizes for the periods indicated a comparison of our cost of service and spares revenue: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5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5"/>
              </w:rPr>
              <w:t>Three months ended</w:t>
            </w:r>
          </w:p>
        </w:tc>
        <w:tc>
          <w:tcPr>
            <w:tcW w:w="100" w:type="dxa"/>
            <w:vAlign w:val="bottom"/>
          </w:tcPr>
          <w:p>
            <w:pPr>
              <w:spacing w:after="0"/>
              <w:rPr>
                <w:sz w:val="14"/>
                <w:szCs w:val="14"/>
                <w:color w:val="auto"/>
              </w:rPr>
            </w:pPr>
          </w:p>
        </w:tc>
        <w:tc>
          <w:tcPr>
            <w:tcW w:w="11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14"/>
                <w:szCs w:val="14"/>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4"/>
              </w:rPr>
              <w:t>Six months ended</w:t>
            </w:r>
          </w:p>
        </w:tc>
        <w:tc>
          <w:tcPr>
            <w:tcW w:w="80" w:type="dxa"/>
            <w:vAlign w:val="bottom"/>
          </w:tcPr>
          <w:p>
            <w:pPr>
              <w:spacing w:after="0"/>
              <w:rPr>
                <w:sz w:val="14"/>
                <w:szCs w:val="14"/>
                <w:color w:val="auto"/>
              </w:rPr>
            </w:pPr>
          </w:p>
        </w:tc>
        <w:tc>
          <w:tcPr>
            <w:tcW w:w="10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940" w:type="dxa"/>
            <w:vAlign w:val="bottom"/>
            <w:gridSpan w:val="4"/>
          </w:tcPr>
          <w:p>
            <w:pPr>
              <w:jc w:val="center"/>
              <w:ind w:left="344"/>
              <w:spacing w:after="0"/>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7"/>
              </w:rPr>
              <w:t>2005 vs. 2004</w:t>
            </w:r>
          </w:p>
        </w:tc>
        <w:tc>
          <w:tcPr>
            <w:tcW w:w="100" w:type="dxa"/>
            <w:vAlign w:val="bottom"/>
          </w:tcPr>
          <w:p>
            <w:pPr>
              <w:spacing w:after="0"/>
              <w:rPr>
                <w:sz w:val="15"/>
                <w:szCs w:val="15"/>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5"/>
                <w:szCs w:val="15"/>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9"/>
              </w:rPr>
              <w:t>2005 vs.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460" w:type="dxa"/>
            <w:vAlign w:val="bottom"/>
          </w:tcPr>
          <w:p>
            <w:pPr>
              <w:jc w:val="right"/>
              <w:ind w:right="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9"/>
              <w:spacing w:after="0"/>
              <w:rPr>
                <w:sz w:val="20"/>
                <w:szCs w:val="20"/>
                <w:color w:val="auto"/>
              </w:rPr>
            </w:pPr>
            <w:r>
              <w:rPr>
                <w:rFonts w:ascii="Arial" w:cs="Arial" w:eastAsia="Arial" w:hAnsi="Arial"/>
                <w:sz w:val="14"/>
                <w:szCs w:val="14"/>
                <w:b w:val="1"/>
                <w:bCs w:val="1"/>
                <w:color w:val="auto"/>
                <w:w w:val="83"/>
              </w:rPr>
              <w:t>2004</w:t>
            </w:r>
          </w:p>
        </w:tc>
        <w:tc>
          <w:tcPr>
            <w:tcW w:w="240" w:type="dxa"/>
            <w:vAlign w:val="bottom"/>
          </w:tcPr>
          <w:p>
            <w:pPr>
              <w:spacing w:after="0"/>
              <w:rPr>
                <w:sz w:val="22"/>
                <w:szCs w:val="22"/>
                <w:color w:val="auto"/>
              </w:rPr>
            </w:pPr>
          </w:p>
        </w:tc>
        <w:tc>
          <w:tcPr>
            <w:tcW w:w="5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6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5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60" w:type="dxa"/>
            <w:vAlign w:val="bottom"/>
            <w:gridSpan w:val="2"/>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586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$ 497</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$1,041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$1,020</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Percent of service and spares revenue</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102%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cost of service and spares revenue did not fluctuate significantly in the three-month or six-month ending periods of June 30, 2005 compared to the same periods ending June 30, 2004. It is driven by the amount of service activity and revenue, and spares revenue.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913"/>
        <w:spacing w:after="0" w:line="306"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primarily consists of compensation and related costs of employees engaged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development and engineering activities, third party consulting and development activities, as well as an allocated portion of our occupancy costs. The following table summarizes for the periods indicated a comparison of our research and development expense: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1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Variance</w:t>
            </w:r>
          </w:p>
        </w:tc>
        <w:tc>
          <w:tcPr>
            <w:tcW w:w="80" w:type="dxa"/>
            <w:vAlign w:val="bottom"/>
          </w:tcPr>
          <w:p>
            <w:pPr>
              <w:spacing w:after="0"/>
              <w:rPr>
                <w:sz w:val="14"/>
                <w:szCs w:val="14"/>
                <w:color w:val="auto"/>
              </w:rPr>
            </w:pPr>
          </w:p>
        </w:tc>
        <w:tc>
          <w:tcPr>
            <w:tcW w:w="15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Six months ended</w:t>
            </w:r>
          </w:p>
        </w:tc>
        <w:tc>
          <w:tcPr>
            <w:tcW w:w="80" w:type="dxa"/>
            <w:vAlign w:val="bottom"/>
          </w:tcPr>
          <w:p>
            <w:pPr>
              <w:spacing w:after="0"/>
              <w:rPr>
                <w:sz w:val="14"/>
                <w:szCs w:val="14"/>
                <w:color w:val="auto"/>
              </w:rPr>
            </w:pPr>
          </w:p>
        </w:tc>
        <w:tc>
          <w:tcPr>
            <w:tcW w:w="700" w:type="dxa"/>
            <w:vAlign w:val="bottom"/>
            <w:gridSpan w:val="3"/>
          </w:tcPr>
          <w:p>
            <w:pPr>
              <w:jc w:val="center"/>
              <w:ind w:left="112"/>
              <w:spacing w:after="0"/>
              <w:rPr>
                <w:sz w:val="20"/>
                <w:szCs w:val="20"/>
                <w:color w:val="auto"/>
              </w:rPr>
            </w:pPr>
            <w:r>
              <w:rPr>
                <w:rFonts w:ascii="Arial" w:cs="Arial" w:eastAsia="Arial" w:hAnsi="Arial"/>
                <w:sz w:val="14"/>
                <w:szCs w:val="14"/>
                <w:b w:val="1"/>
                <w:bCs w:val="1"/>
                <w:color w:val="auto"/>
                <w:w w:val="89"/>
              </w:rPr>
              <w:t>Variance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11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9"/>
              </w:rPr>
              <w:t>2005 vs. 2004</w:t>
            </w:r>
          </w:p>
        </w:tc>
        <w:tc>
          <w:tcPr>
            <w:tcW w:w="80" w:type="dxa"/>
            <w:vAlign w:val="bottom"/>
          </w:tcPr>
          <w:p>
            <w:pPr>
              <w:spacing w:after="0"/>
              <w:rPr>
                <w:sz w:val="15"/>
                <w:szCs w:val="15"/>
                <w:color w:val="auto"/>
              </w:rPr>
            </w:pPr>
          </w:p>
        </w:tc>
        <w:tc>
          <w:tcPr>
            <w:tcW w:w="15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5"/>
                <w:szCs w:val="15"/>
                <w:color w:val="auto"/>
              </w:rPr>
            </w:pPr>
          </w:p>
        </w:tc>
        <w:tc>
          <w:tcPr>
            <w:tcW w:w="1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4"/>
              </w:rPr>
              <w:t>2005 vs.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5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5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5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900" w:type="dxa"/>
            <w:vAlign w:val="bottom"/>
            <w:gridSpan w:val="2"/>
            <w:vMerge w:val="continue"/>
          </w:tcPr>
          <w:p>
            <w:pPr>
              <w:spacing w:after="0"/>
              <w:rPr>
                <w:sz w:val="8"/>
                <w:szCs w:val="8"/>
                <w:color w:val="auto"/>
              </w:rPr>
            </w:pPr>
          </w:p>
        </w:tc>
        <w:tc>
          <w:tcPr>
            <w:tcW w:w="20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900" w:type="dxa"/>
            <w:vAlign w:val="bottom"/>
            <w:gridSpan w:val="2"/>
            <w:vMerge w:val="continue"/>
          </w:tcPr>
          <w:p>
            <w:pPr>
              <w:spacing w:after="0"/>
              <w:rPr>
                <w:sz w:val="4"/>
                <w:szCs w:val="4"/>
                <w:color w:val="auto"/>
              </w:rPr>
            </w:pPr>
          </w:p>
        </w:tc>
        <w:tc>
          <w:tcPr>
            <w:tcW w:w="2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8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$2,807</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$2,271</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$ 536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$5,038</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$4,624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Percent of revenue</w:t>
            </w:r>
          </w:p>
        </w:tc>
        <w:tc>
          <w:tcPr>
            <w:tcW w:w="2740" w:type="dxa"/>
            <w:vAlign w:val="bottom"/>
            <w:gridSpan w:val="3"/>
          </w:tcPr>
          <w:p>
            <w:pPr>
              <w:jc w:val="right"/>
              <w:ind w:right="80"/>
              <w:spacing w:after="0"/>
              <w:rPr>
                <w:sz w:val="20"/>
                <w:szCs w:val="20"/>
                <w:color w:val="auto"/>
              </w:rPr>
            </w:pPr>
            <w:r>
              <w:rPr>
                <w:rFonts w:ascii="Arial" w:cs="Arial" w:eastAsia="Arial" w:hAnsi="Arial"/>
                <w:sz w:val="18"/>
                <w:szCs w:val="18"/>
                <w:color w:val="auto"/>
              </w:rPr>
              <w:t>60%</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62%</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firstLine="913"/>
        <w:spacing w:after="0" w:line="249" w:lineRule="auto"/>
        <w:rPr>
          <w:sz w:val="20"/>
          <w:szCs w:val="20"/>
          <w:color w:val="auto"/>
        </w:rPr>
      </w:pPr>
      <w:r>
        <w:rPr>
          <w:rFonts w:ascii="Arial" w:cs="Arial" w:eastAsia="Arial" w:hAnsi="Arial"/>
          <w:sz w:val="18"/>
          <w:szCs w:val="18"/>
          <w:color w:val="auto"/>
        </w:rPr>
        <w:t>The increase in research and development spending in the three and six-month periods ended June 30 2005 compared to the same periods in 2004 is primarily due to an additional $530,000 related to the continued development of our CoolAir</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DC product and from costs incurred in paralleling our CPS products. We believe research and development expenses in the third quarter will remain at current levels and will decrease in the fourth quarter of this year as the CoolAir</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DC product nears commercial production status.</w:t>
      </w:r>
    </w:p>
    <w:p>
      <w:pPr>
        <w:spacing w:after="0" w:line="58" w:lineRule="exact"/>
        <w:rPr>
          <w:sz w:val="20"/>
          <w:szCs w:val="20"/>
          <w:color w:val="auto"/>
        </w:rPr>
      </w:pPr>
    </w:p>
    <w:p>
      <w:pPr>
        <w:jc w:val="both"/>
        <w:ind w:right="20" w:firstLine="913"/>
        <w:spacing w:after="0" w:line="306"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is primarily comprised of compensation and related costs for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and administrative personnel, selling and marketing expenses, professional fees, and taxes, including sales, property and franchise taxes. The following table summarizes for the periods indicated a comparison of our selling, general and administrative expense: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1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Variance</w:t>
            </w:r>
          </w:p>
        </w:tc>
        <w:tc>
          <w:tcPr>
            <w:tcW w:w="80" w:type="dxa"/>
            <w:vAlign w:val="bottom"/>
          </w:tcPr>
          <w:p>
            <w:pPr>
              <w:spacing w:after="0"/>
              <w:rPr>
                <w:sz w:val="14"/>
                <w:szCs w:val="14"/>
                <w:color w:val="auto"/>
              </w:rPr>
            </w:pPr>
          </w:p>
        </w:tc>
        <w:tc>
          <w:tcPr>
            <w:tcW w:w="15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Six months ended</w:t>
            </w:r>
          </w:p>
        </w:tc>
        <w:tc>
          <w:tcPr>
            <w:tcW w:w="80" w:type="dxa"/>
            <w:vAlign w:val="bottom"/>
          </w:tcPr>
          <w:p>
            <w:pPr>
              <w:spacing w:after="0"/>
              <w:rPr>
                <w:sz w:val="14"/>
                <w:szCs w:val="14"/>
                <w:color w:val="auto"/>
              </w:rPr>
            </w:pPr>
          </w:p>
        </w:tc>
        <w:tc>
          <w:tcPr>
            <w:tcW w:w="70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9"/>
              </w:rPr>
              <w:t>Variance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11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9"/>
              </w:rPr>
              <w:t>2005 vs. 2004</w:t>
            </w:r>
          </w:p>
        </w:tc>
        <w:tc>
          <w:tcPr>
            <w:tcW w:w="80" w:type="dxa"/>
            <w:vAlign w:val="bottom"/>
          </w:tcPr>
          <w:p>
            <w:pPr>
              <w:spacing w:after="0"/>
              <w:rPr>
                <w:sz w:val="15"/>
                <w:szCs w:val="15"/>
                <w:color w:val="auto"/>
              </w:rPr>
            </w:pPr>
          </w:p>
        </w:tc>
        <w:tc>
          <w:tcPr>
            <w:tcW w:w="15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5"/>
                <w:szCs w:val="15"/>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2005 vs.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5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5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5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5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840" w:type="dxa"/>
            <w:vAlign w:val="bottom"/>
            <w:gridSpan w:val="2"/>
            <w:vMerge w:val="continue"/>
          </w:tcPr>
          <w:p>
            <w:pPr>
              <w:spacing w:after="0"/>
              <w:rPr>
                <w:sz w:val="8"/>
                <w:szCs w:val="8"/>
                <w:color w:val="auto"/>
              </w:rPr>
            </w:pPr>
          </w:p>
        </w:tc>
        <w:tc>
          <w:tcPr>
            <w:tcW w:w="20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840" w:type="dxa"/>
            <w:vAlign w:val="bottom"/>
            <w:gridSpan w:val="2"/>
            <w:vMerge w:val="continue"/>
          </w:tcPr>
          <w:p>
            <w:pPr>
              <w:spacing w:after="0"/>
              <w:rPr>
                <w:sz w:val="4"/>
                <w:szCs w:val="4"/>
                <w:color w:val="auto"/>
              </w:rPr>
            </w:pPr>
          </w:p>
        </w:tc>
        <w:tc>
          <w:tcPr>
            <w:tcW w:w="2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8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&amp; admin</w:t>
            </w:r>
          </w:p>
        </w:tc>
        <w:tc>
          <w:tcPr>
            <w:tcW w:w="2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$3,575</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$2,695</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$ 880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$7,149</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$5,474</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$1,675</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3"/>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Percent of revenue</w:t>
            </w:r>
          </w:p>
        </w:tc>
        <w:tc>
          <w:tcPr>
            <w:tcW w:w="2800" w:type="dxa"/>
            <w:vAlign w:val="bottom"/>
            <w:gridSpan w:val="3"/>
          </w:tcPr>
          <w:p>
            <w:pPr>
              <w:jc w:val="right"/>
              <w:ind w:right="80"/>
              <w:spacing w:after="0"/>
              <w:rPr>
                <w:sz w:val="20"/>
                <w:szCs w:val="20"/>
                <w:color w:val="auto"/>
              </w:rPr>
            </w:pPr>
            <w:r>
              <w:rPr>
                <w:rFonts w:ascii="Arial" w:cs="Arial" w:eastAsia="Arial" w:hAnsi="Arial"/>
                <w:sz w:val="18"/>
                <w:szCs w:val="18"/>
                <w:color w:val="auto"/>
              </w:rPr>
              <w:t>76%</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88%</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The increase in selling, general and administrative expenses in the three-month period ended June 30, 2005 as compared to the same period of 2004 was attributable to a $507,000 increase in sales tax expense as a result of multi-year sales tax audits currently in progress, and $99,000 higher professional fees associated with compliance costs and audit fees associated with the Sarbanes-Oxley Act of 2002 and our annual financial audit. We also incurred additional selling expense as a result of increased sales headcount and increased sales travel costs. These increases were offset by a reduction in legal fees of $390,000 from 2004 due to the settlement of the Magnex litigation during 2004.</w:t>
      </w:r>
    </w:p>
    <w:p>
      <w:pPr>
        <w:spacing w:after="0" w:line="102"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The increase in selling, general and administrative expenses in the six month period ended June 30, 2005 as compared to the same period of 2004 was attributable to a number of factors including:</w:t>
      </w:r>
    </w:p>
    <w:p>
      <w:pPr>
        <w:spacing w:after="0" w:line="3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$1.1 million increase in sales tax expense, $969,000 of which relates to a multi-year state sales tax audit, currently nearing completion;</w:t>
      </w:r>
    </w:p>
    <w:p>
      <w:pPr>
        <w:spacing w:after="0" w:line="103" w:lineRule="exact"/>
        <w:rPr>
          <w:rFonts w:ascii="Arial" w:cs="Arial" w:eastAsia="Arial" w:hAnsi="Arial"/>
          <w:sz w:val="18"/>
          <w:szCs w:val="18"/>
          <w:color w:val="auto"/>
        </w:rPr>
      </w:pPr>
    </w:p>
    <w:p>
      <w:pPr>
        <w:ind w:left="340" w:right="180" w:hanging="332"/>
        <w:spacing w:after="0" w:line="26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non-cash compensation expense of $174,000 associated with modifications to stock awards in connection with the resignation of our former chief financial officer;</w:t>
      </w:r>
    </w:p>
    <w:p>
      <w:pPr>
        <w:spacing w:after="0" w:line="37" w:lineRule="exact"/>
        <w:rPr>
          <w:rFonts w:ascii="Arial" w:cs="Arial" w:eastAsia="Arial" w:hAnsi="Arial"/>
          <w:sz w:val="18"/>
          <w:szCs w:val="18"/>
          <w:color w:val="auto"/>
        </w:rPr>
      </w:pPr>
    </w:p>
    <w:p>
      <w:pPr>
        <w:ind w:left="340" w:right="520" w:hanging="332"/>
        <w:spacing w:after="0" w:line="26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professional fees of $462,000 connected with the implementation of the Sarbanes-Oxley Act of 2002, completion of our 2004 annual audit, and recruiting costs;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40" w:hanging="332"/>
        <w:spacing w:after="0" w:line="26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salaries in sales and marketing due to the addition of 11 employees from June 30, 2004 to June 30, 2005, five of which were added to support our new sales and service operations in Northern Africa.</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These increases were offset by a reduction in legal fees of $766,000 due to the settlement of the Magnex lawsuit.</w:t>
      </w:r>
    </w:p>
    <w:p>
      <w:pPr>
        <w:spacing w:after="0" w:line="158" w:lineRule="exact"/>
        <w:rPr>
          <w:sz w:val="20"/>
          <w:szCs w:val="20"/>
          <w:color w:val="auto"/>
        </w:rPr>
      </w:pPr>
    </w:p>
    <w:p>
      <w:pPr>
        <w:jc w:val="both"/>
        <w:ind w:right="600" w:firstLine="913"/>
        <w:spacing w:after="0" w:line="306" w:lineRule="auto"/>
        <w:rPr>
          <w:sz w:val="20"/>
          <w:szCs w:val="20"/>
          <w:color w:val="auto"/>
        </w:rPr>
      </w:pPr>
      <w:r>
        <w:rPr>
          <w:rFonts w:ascii="Arial" w:cs="Arial" w:eastAsia="Arial" w:hAnsi="Arial"/>
          <w:sz w:val="16"/>
          <w:szCs w:val="16"/>
          <w:b w:val="1"/>
          <w:bCs w:val="1"/>
          <w:i w:val="1"/>
          <w:iCs w:val="1"/>
          <w:color w:val="auto"/>
        </w:rPr>
        <w:t xml:space="preserve">Litigation settlement expenses. </w:t>
      </w:r>
      <w:r>
        <w:rPr>
          <w:rFonts w:ascii="Arial" w:cs="Arial" w:eastAsia="Arial" w:hAnsi="Arial"/>
          <w:sz w:val="16"/>
          <w:szCs w:val="16"/>
          <w:color w:val="auto"/>
        </w:rPr>
        <w:t>On October 15, 2004 we settled the Magnex Corp. litigation for $4.8 million. In the second quarter of 2004,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$280,000 was paid to one of the plaintiffs as part of the settlement process. This litigation is discussed briefly in the Contingencies footnote in our audited financial statements and in Part I, Item 3 “Legal Proceedings”. We did not have any litigation settlement expenses in 2005.</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The following table summarizes for the periods indicated a comparison of our interest income: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Three months ended</w:t>
            </w:r>
          </w:p>
        </w:tc>
        <w:tc>
          <w:tcPr>
            <w:tcW w:w="180" w:type="dxa"/>
            <w:vAlign w:val="bottom"/>
          </w:tcPr>
          <w:p>
            <w:pPr>
              <w:spacing w:after="0"/>
              <w:rPr>
                <w:sz w:val="14"/>
                <w:szCs w:val="14"/>
                <w:color w:val="auto"/>
              </w:rPr>
            </w:pPr>
          </w:p>
        </w:tc>
        <w:tc>
          <w:tcPr>
            <w:tcW w:w="11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Six months ended</w:t>
            </w:r>
          </w:p>
        </w:tc>
        <w:tc>
          <w:tcPr>
            <w:tcW w:w="200" w:type="dxa"/>
            <w:vAlign w:val="bottom"/>
          </w:tcPr>
          <w:p>
            <w:pPr>
              <w:spacing w:after="0"/>
              <w:rPr>
                <w:sz w:val="14"/>
                <w:szCs w:val="14"/>
                <w:color w:val="auto"/>
              </w:rPr>
            </w:pPr>
          </w:p>
        </w:tc>
        <w:tc>
          <w:tcPr>
            <w:tcW w:w="10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5"/>
                <w:szCs w:val="15"/>
                <w:color w:val="auto"/>
              </w:rPr>
            </w:pPr>
          </w:p>
        </w:tc>
        <w:tc>
          <w:tcPr>
            <w:tcW w:w="11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9"/>
              </w:rPr>
              <w:t>2005 vs. 2004</w:t>
            </w:r>
          </w:p>
        </w:tc>
        <w:tc>
          <w:tcPr>
            <w:tcW w:w="100" w:type="dxa"/>
            <w:vAlign w:val="bottom"/>
          </w:tcPr>
          <w:p>
            <w:pPr>
              <w:spacing w:after="0"/>
              <w:rPr>
                <w:sz w:val="15"/>
                <w:szCs w:val="15"/>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5"/>
                <w:szCs w:val="15"/>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9"/>
              </w:rPr>
              <w:t>2005 vs.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1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6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5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6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760" w:type="dxa"/>
            <w:vAlign w:val="bottom"/>
            <w:gridSpan w:val="2"/>
            <w:vMerge w:val="continue"/>
          </w:tcPr>
          <w:p>
            <w:pPr>
              <w:spacing w:after="0"/>
              <w:rPr>
                <w:sz w:val="8"/>
                <w:szCs w:val="8"/>
                <w:color w:val="auto"/>
              </w:rPr>
            </w:pPr>
          </w:p>
        </w:tc>
        <w:tc>
          <w:tcPr>
            <w:tcW w:w="26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760" w:type="dxa"/>
            <w:vAlign w:val="bottom"/>
            <w:gridSpan w:val="2"/>
            <w:vMerge w:val="continue"/>
          </w:tcPr>
          <w:p>
            <w:pPr>
              <w:spacing w:after="0"/>
              <w:rPr>
                <w:sz w:val="4"/>
                <w:szCs w:val="4"/>
                <w:color w:val="auto"/>
              </w:rPr>
            </w:pPr>
          </w:p>
        </w:tc>
        <w:tc>
          <w:tcPr>
            <w:tcW w:w="2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740" w:type="dxa"/>
            <w:vAlign w:val="bottom"/>
          </w:tcPr>
          <w:p>
            <w:pPr>
              <w:spacing w:after="0"/>
              <w:rPr>
                <w:sz w:val="4"/>
                <w:szCs w:val="4"/>
                <w:color w:val="auto"/>
              </w:rPr>
            </w:pPr>
          </w:p>
        </w:tc>
        <w:tc>
          <w:tcPr>
            <w:tcW w:w="2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272</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$ 146</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$ 127</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increase in interest income in the three and six-month periods ended June 30, 2005 as compared to the same periods of 2004 is attributable primarily to rising interest rates. The higher rates have offset the fact that our average cash and investments balance over the six month period ending June 30, 2005 has decreased by approximately $16.5 million or 25% compared to the average over the comparable period ending June 30, 2004. Also, due to a shift on our investment holdings from long-term to short-term investments in 2005 compared to our holdings in 2004, we have been able to benefit from a rising interest rate environment.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from change in Market Value of Additional Investment Rights</w:t>
      </w:r>
    </w:p>
    <w:p>
      <w:pPr>
        <w:spacing w:after="0" w:line="83"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On February 4, 2005, we completed the private placement of 5,454,510 shares of the Company’s Common Stock at a price of $3.64 per share, for an aggregate offering price of approximately $19.8 million, to certain institutional investors (the “Purchasers”). We also issued Additional Investment Rights to purchase 1,636,353 shares of Common Stock to the Purchasers (the “Additional Investment Rights”), at an exercise price per share of $3.64. The Additional Investment Rights are exercisable until the earlier to occur of (1) August 18, 2005 or (2) immediately prior to any merger or acquisition of the Company pursuant to which the Company is not the surviving entity.</w:t>
      </w:r>
    </w:p>
    <w:p>
      <w:pPr>
        <w:spacing w:after="0" w:line="48"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 xml:space="preserve">In accordance with the requirements of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the fair value of the Additional Investment Rights was determined at the time of issuance based on the proceeds of the offering and the relative fair values of the securities and the Additional Investment Rights. We used the Black-Scholes valuation model to determine the fair value of the Additional Investment Right, and accordingly attributed a value of $964,000 to the Additional Investment Rights, which was recorded as additional paid in capital. Changes in the fair value of the Additional Investment Rights since the date of issuance due to fluctuations in the value of our stock are required to be reflected in our earnings. The rights were revalued to their market value of $471,000 at March 31, 2005, with the resultant gain of $493,000 recorded as other income during the three-months ended March 31, 2005. The Additional Investment Rights were revalued again at June 30, 2005 to their market value of $150,000 which resulted in a gain of $321,000 that was recorded as other income during the three-month period ended June 30, 2005.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Our principal sources of liquidity as of June 30, 2005 consisted of $55.2 million of cash and investments. We have primarily funded our operations through a private placement of our common stock in February 2005, that resulted in net proceeds of $18.7 million, our initial public offering in August 2000, that resulted in net proceeds of $138.4 million, sales of shares of our preferred stock from 1992 to 1999, which have resulted in gross proceeds of approximately $42.6 million, as well as $10.0 million in development funding received from Caterpillar since 1999, and our product revenue.</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the yearly changes in cash used in operating activities: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4"/>
              </w:rPr>
              <w:t>Six months ended</w:t>
            </w:r>
          </w:p>
        </w:tc>
        <w:tc>
          <w:tcPr>
            <w:tcW w:w="180" w:type="dxa"/>
            <w:vAlign w:val="bottom"/>
          </w:tcPr>
          <w:p>
            <w:pPr>
              <w:spacing w:after="0"/>
              <w:rPr>
                <w:sz w:val="14"/>
                <w:szCs w:val="14"/>
                <w:color w:val="auto"/>
              </w:rPr>
            </w:pPr>
          </w:p>
        </w:tc>
        <w:tc>
          <w:tcPr>
            <w:tcW w:w="80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89"/>
              </w:rPr>
              <w:t>Variance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5"/>
                <w:szCs w:val="15"/>
                <w:color w:val="auto"/>
              </w:rPr>
            </w:pPr>
          </w:p>
        </w:tc>
        <w:tc>
          <w:tcPr>
            <w:tcW w:w="11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4"/>
              </w:rPr>
              <w:t>2005 vs.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180" w:type="dxa"/>
            <w:vAlign w:val="bottom"/>
            <w:gridSpan w:val="2"/>
            <w:vMerge w:val="continue"/>
          </w:tcPr>
          <w:p>
            <w:pPr>
              <w:spacing w:after="0"/>
              <w:rPr>
                <w:sz w:val="8"/>
                <w:szCs w:val="8"/>
                <w:color w:val="auto"/>
              </w:rPr>
            </w:pPr>
          </w:p>
        </w:tc>
        <w:tc>
          <w:tcPr>
            <w:tcW w:w="18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4180" w:type="dxa"/>
            <w:vAlign w:val="bottom"/>
            <w:gridSpan w:val="2"/>
            <w:vMerge w:val="continue"/>
          </w:tcPr>
          <w:p>
            <w:pPr>
              <w:spacing w:after="0"/>
              <w:rPr>
                <w:sz w:val="4"/>
                <w:szCs w:val="4"/>
                <w:color w:val="auto"/>
              </w:rPr>
            </w:pPr>
          </w:p>
        </w:tc>
        <w:tc>
          <w:tcPr>
            <w:tcW w:w="1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1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$(7,772)</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$(9,608)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3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Cash used in operating activities decreased in the six month period ending June 30, 2005 compared to the same period of 2004 primarily due to a lower net loss. Other factors influencing the amount of cash used in operating activities include a larger benefit from a decline in accounts receivable and an increase in accrued expenses, offset by a large increase in inventory purchases. The reduction in accounts receivable is primarily due to the timing of revenue relative to period end and timing of payments from our largest OEM customer. The increase in accrued liabilities is mostly attributable to the increase in sales tax accrual resulting from a multi-year sales tax audit and from higher payroll accruals due to timing of our regular payrolls. The increase in inventory is primarily attributable to higher inventory build-up of materials for our 1200 kVA product in advance of sales expected throughout the remainder of 2005. We expect cash used in operating activities in the last half of 2005 to be flat or slightly decrease from 2004 levels, but to remain consistent with current levels as we continue to position the company for future growth by funding product development, sales and marketing activities, OEM customer support, and manufacturing operations at levels higher than what can be self funded through current product sales.</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Investing activities primarily consist of sales and purchases of investments, use of restricted cash and purchases of property and equipment.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Fluctuations in the sale and purchase of investments generally reflect our use of these funds to finance our ongoing operations.</w:t>
      </w:r>
    </w:p>
    <w:p>
      <w:pPr>
        <w:spacing w:after="0" w:line="151"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Capital expenditures were $403,000 in the six-month period ending June 30, 2005 compared to $137,000 in the same period of 2004. This increase in 2005 was due to the start up of our satellite sales and service office in Northern Africa, manufacturing leasehold improvements related to the commercialization of paralleled 1200 kVA products and sustaining our current production facilities and product offerings. We expect capital expenditures to range between $1 million and $1.5 million for the balance of the year as we support our development efforts on our CoolAir</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DC and 1200 kVA paralleling projects and prepare for the commercial production of the CoolAir</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DC product.</w:t>
      </w:r>
    </w:p>
    <w:p>
      <w:pPr>
        <w:spacing w:after="0" w:line="39" w:lineRule="exact"/>
        <w:rPr>
          <w:sz w:val="20"/>
          <w:szCs w:val="20"/>
          <w:color w:val="auto"/>
        </w:rPr>
      </w:pPr>
    </w:p>
    <w:p>
      <w:pPr>
        <w:ind w:right="180" w:firstLine="913"/>
        <w:spacing w:after="0" w:line="335" w:lineRule="auto"/>
        <w:rPr>
          <w:sz w:val="20"/>
          <w:szCs w:val="20"/>
          <w:color w:val="auto"/>
        </w:rPr>
      </w:pPr>
      <w:r>
        <w:rPr>
          <w:rFonts w:ascii="Arial" w:cs="Arial" w:eastAsia="Arial" w:hAnsi="Arial"/>
          <w:sz w:val="15"/>
          <w:szCs w:val="15"/>
          <w:color w:val="auto"/>
        </w:rPr>
        <w:t>Financing activities generally consists of proceeds from the private sale of common stock, employee exercises of stock options and from the Employee Stock Purchase Plan. The significant increase from $374,000 in the six-month period ending June 30, 2004 to $17.9 million in the comparable period of 2005 was primarily due to the private placement of 5,454,510 shares of our common stock in February 2005 that resulted in net proceeds of $18,7 million.</w:t>
      </w:r>
    </w:p>
    <w:p>
      <w:pPr>
        <w:spacing w:after="0" w:line="75"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We believe our existing cash and investments balances at June 30, 2005 will be sufficient to meet our cash requirements through the next 24 months, although we might elect to seek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additional funding prior to that time. Beyond the next 24 months, our cash requirements will depend on many factors, including the rate of sales growth, the market acceptance of our products,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December 2004, the FASB issued SFAS 123R, which supersedes APB 25, SFAS 123 and related implementation guidelines. The pronouncement is effective for annual periods beginning after June 15, 2005. Under this pronouncement, stock-based compensation to employees is required to be recognized as a charge to the Statement of Operations and such charge is required to be measured according to the fair value of the stock options. Pro forma disclosure is no longer an alternative. In the absence of an observable market price for the stock awards, the fair value of the stock options would be based upon a valuation methodology that takes into consideration various factors, including the exercise price of the option, the expected term of the option, the current price of the underlying shares, the expected volatility of the underlying shares, the expected dividends on the underlying shares and the risk-free interest rate.</w:t>
      </w:r>
    </w:p>
    <w:p>
      <w:pPr>
        <w:spacing w:after="0" w:line="10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We will adopt the delayed provisions of SFAS 123R beginning January 1, 2006 using a modified version of prospective application, as allowed by the standard. Under this modified prospective application method, SFAS 123R will be applied to new stock awards granted after the date of adoption and to awards modified, repurchased or cancelled after January 1, 2006. Additionally, compensation costs for the portion of stock awards for which the requisite service has not been rendered/vested that are outstanding as of January 1, 2006 shall be recognized as the requisite service is rendered after January 1, 2006. The compensation costs for that portion of stock awards shall be based on the grant-date fair value of those awards as calculated for pro-forma disclosures under SFAS 123.</w:t>
      </w:r>
    </w:p>
    <w:p>
      <w:pPr>
        <w:spacing w:after="0" w:line="131" w:lineRule="exact"/>
        <w:rPr>
          <w:sz w:val="20"/>
          <w:szCs w:val="20"/>
          <w:color w:val="auto"/>
        </w:rPr>
      </w:pPr>
    </w:p>
    <w:p>
      <w:pPr>
        <w:ind w:right="120" w:firstLine="913"/>
        <w:spacing w:after="0" w:line="323" w:lineRule="auto"/>
        <w:rPr>
          <w:sz w:val="20"/>
          <w:szCs w:val="20"/>
          <w:color w:val="auto"/>
        </w:rPr>
      </w:pPr>
      <w:r>
        <w:rPr>
          <w:rFonts w:ascii="Arial" w:cs="Arial" w:eastAsia="Arial" w:hAnsi="Arial"/>
          <w:sz w:val="15"/>
          <w:szCs w:val="15"/>
          <w:color w:val="auto"/>
        </w:rPr>
        <w:t>We anticipate that the impact of adopting SFAS 123R on net income and earnings per share will approximate the impact of the adjustments made to determine pro forma net income and pro forma earnings per share under SFAS 123, as described in Note 6 of the financial statements included in Item 1 above. There are certain differences between the requirements of SFAS 123 and SFAS 123R that may result in differences from the amounts disclosed in the financial statements. SEC Staff Accounting Bulletin No. 107, issued in March 2005, provides further clarification of how to determine the fair value of stock awards.</w:t>
      </w:r>
    </w:p>
    <w:p>
      <w:pPr>
        <w:spacing w:after="0" w:line="84"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In November 2004, the FASB issued SFAS No. 151. SFAS 151 amends ARB No. 43, Chapter 4, to clarify that abnormal amounts of idle facility expense, freight, handling costs and wasted materials (spoilage) be recognized as current period charges. It also requires that allocation of fixed production overheads to the costs of conversion be based on the normal capacity of the production facilities. SFAS 151 is effective for inventory costs incurred during fiscal years beginning after June 15, 2005. We do not believe that the adoption of SFAS 151 will have a material impact on our results of operations or financial position.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That May Affect Future Results</w:t>
      </w:r>
    </w:p>
    <w:p>
      <w:pPr>
        <w:spacing w:after="0" w:line="8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common stock or in evaluating Active Power and our business. The risks and uncertainties described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9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operating results have varied significantly from quarter to quarter at times in the past and may continue to vary significantly from quarter to quarter due to a variety of factors. Many of these factors are outside of our control. These factors include:</w:t>
      </w:r>
    </w:p>
    <w:p>
      <w:pPr>
        <w:spacing w:after="0" w:line="3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timing of orders from our customers and the possibility that customers may change their order requirements with little or no notice to us;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of adoption of our flywheel-based energy storage system as an alternative to lead-acid batteries;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103"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uncertainty regarding the adoption of our current and future products, including the CleanSource UPS and CleanSource DC products, as well as our other products that are currently under development, including the CoolAir</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DC;</w:t>
      </w: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89"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103" w:lineRule="exact"/>
        <w:rPr>
          <w:rFonts w:ascii="Arial" w:cs="Arial" w:eastAsia="Arial" w:hAnsi="Arial"/>
          <w:sz w:val="18"/>
          <w:szCs w:val="18"/>
          <w:color w:val="auto"/>
        </w:rPr>
      </w:pPr>
    </w:p>
    <w:p>
      <w:pPr>
        <w:ind w:left="780" w:right="660" w:hanging="326"/>
        <w:spacing w:after="0" w:line="325"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the cost of routine business activities, e.g. the increasing cost of director and officer liability insurance premiums, increasing health insurance premiums, or costs associated with compliance of the requirements of Section 404 of the Sarbanes-Oxley Act of 2002;</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in the United States;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derive a significant portion of our revenues from relatively few large transactions. The sales cycle for these large transactions tend to be longer than the sales cycle on smaller orders. The longer sales cycle for large transactions makes it difficult to predict the quarter in which these sales will occur. Accordingly, our operating results may fluctuate from quarter to quarter based on the existence and timing of larger transactions. A reduction in large transactions, or a delay in closing of such a sales transaction could materially impact our revenue in a particular quarter.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revenue growth and profitability depend on the overall demand for our products and services, which in turn depends on general business and economic conditions as well as acceptance of our products. A softening of demand for our products and services caused by a weakening of the economy may result in decreased revenues or lower growth rates. There can be no assurance that we will able to effectively promote growth rates in all economic conditions. The market for power quality products is evolving and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revenues. Therefore, if our revenues are below our expectations, our operating results are likely to be adversely and disproportionately affected. In addition, we may change our prices, modify our distribution strategy and policies, accelerate our investment in research and development, sales or marketing efforts in response to competitive pressures or to pursue new market opportunities. Any one of these activities may further limit our ability to adjust spending in response to revenue fluctuations. We use forecasted revenues to establish our expense budget. Because most of our expenses are fixed in the short term or incurred in advance of anticipated revenue, any shortfall in revenues may result in significant losses.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significant backlog.</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generally operate our business without any significant backlog of orders from customers. Normally our products are shipped and revenue is recognized shortly after the order is received. This lack of backlog makes revenue in any quarter substantially dependent on orders booked and shipped throughout that quarter.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business has, on occasion, experienced seasonal customer buying patterns. In recent years, we have generally experienced relatively weaker demand in the first calendar quarter of the year. We believe that this pattern will continue. In addition, we anticipate that demand for our products in Europe and Africa may decline in the summer months, as compared to other regions, because of reduced corporate buying patterns during the vacation season.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several quarters.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incurred operating losses since our inception and expect to continue to incur losses for at least the next several quarters. As of June 30, 2005, we had an accumulated deficit of $168.7 million. To date, we have funded our operations principally through the sale of our stock, product revenue and $10.0 million in development funding payments from Caterpillar. We have generated a total of $70.7 million in revenues from inception through June 30, 2005. We are uncertain whether our products will achieve market acceptance such that our revenue will increase or whether we will be able to achieve significant revenue. We will need to generate significant additional revenue to achieve profitability, and we cannot assure you that we will ever realize sufficient additional revenue to achieve profitability. We also expect to incur product development, sales and marketing and administrative expenses significantly in excess of our revenue after costs, and, as a result, we expect to continue to incur losses for the next several quarters.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are heavily dependent on our relationship with Caterpillar, our primary OEM customer. If this relationship is unsuccessful, for whatever reason, our business and financial prospects would likely suffer.</w:t>
      </w:r>
    </w:p>
    <w:p>
      <w:pPr>
        <w:spacing w:after="0" w:line="3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Caterpillar and its dealer network are the primary OEM customer for our flywheel based products. During 2004, 2003 and 2002, Caterpillar and its dealer network accounted for 54%, 60% and 81% of our revenue, respectively. In the three and six-month periods ended June 30, 2005 Caterpillar and its dealer network accounted for 27% and 39%, respectively, of our revenue. If our relationship with Caterpillar is not successful, or if Caterpillar’s distribution of the Cat UPS product is not successful, our business and financial prospects would likely suffer. Pursuant to our distribution agreement with Caterpillar, they are the exclusive OEM distributor, subject to limited exceptions, of our CleanSource UPS product. Caterpillar is not obligated to purchase any CleanSource UPS units.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Active Power may license to others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w:t>
      </w:r>
    </w:p>
    <w:p>
      <w:pPr>
        <w:spacing w:after="0" w:line="10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There is a substantial amount of product held as inventory by several of our OEM customers. If these OEMs fill their orders from existing stock instead of our factory, our revenue will suffer.</w:t>
      </w:r>
    </w:p>
    <w:p>
      <w:pPr>
        <w:spacing w:after="0" w:line="3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Several OEMs purchased a substantial number of our CleanSource DC and UPS systems during 2001, many of which have remained in those OEMs’ inventories rather than being sold to end-user customers. During 2004, OEM stocking levels declined by approximately $4.2 million, or 48%. They declined by a further $1.7 million, or 39%, during the six month period ended June 30, 2005. As our OEMs fill some of their orders with their existing inventory stock, as opposed to placing orders with Active Power, our revenue may suffer for the next few fiscal quarters.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international sales and operations.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anticipate that for the foreseeable future, we will derive a significant portion of our revenues from outside North America. In the three and six-month periods ended June 30, 2005, we derived 44% and 42%, respectively, of our total revenues from sales to international customers. Revenue from international sales were 50%, 48% and 37% of revenue for the years ended December 31, 2004, 2003, and 2002, respectively. Our international operations are generally subject to a number of risks. These include:</w:t>
      </w:r>
    </w:p>
    <w:p>
      <w:pPr>
        <w:spacing w:after="0" w:line="49" w:lineRule="exact"/>
        <w:rPr>
          <w:sz w:val="20"/>
          <w:szCs w:val="20"/>
          <w:color w:val="auto"/>
        </w:rPr>
      </w:pPr>
    </w:p>
    <w:p>
      <w:pPr>
        <w:ind w:left="1260" w:hanging="45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Northern Africa;</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and longer collection periods;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 and</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As we increase sales in foreign markets, we are making more sales that are denominated in other currencies, primarily euros. Those sales in currencies other than U.S. dollars can result in translation gains and losses. Currently we de not engage in hedging activities for our international operations. However, we may engage in hedging activities in the future.</w:t>
      </w:r>
    </w:p>
    <w:p>
      <w:pPr>
        <w:spacing w:after="0" w:line="10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may expand or modify our operations internationally. Despite our efforts, we may not be able to expand or modify our operations internationally in a timely or cost-effective manner. Such an outcome may limit or eliminate any sales growth internationally, which in turn, could materially adversely affect our business, operating results and financial condition. Even if we successfully expand or modify our international operations, we may be unable to maintain or increase international market demand for our products.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83" w:lineRule="exact"/>
        <w:rPr>
          <w:sz w:val="20"/>
          <w:szCs w:val="20"/>
          <w:color w:val="auto"/>
        </w:rPr>
      </w:pPr>
    </w:p>
    <w:p>
      <w:pPr>
        <w:ind w:firstLine="456"/>
        <w:spacing w:after="0" w:line="261" w:lineRule="auto"/>
        <w:rPr>
          <w:sz w:val="20"/>
          <w:szCs w:val="20"/>
          <w:color w:val="auto"/>
        </w:rPr>
      </w:pPr>
      <w:r>
        <w:rPr>
          <w:rFonts w:ascii="Arial" w:cs="Arial" w:eastAsia="Arial" w:hAnsi="Arial"/>
          <w:sz w:val="17"/>
          <w:szCs w:val="17"/>
          <w:color w:val="auto"/>
        </w:rPr>
        <w:t>We derive a substantial portion of our revenues from a limited number of products, and we expect these products to continue to account for a large percentage of our revenues in the near term. Continued market acceptance of these products, is therefore, critical to our future success. Our future success will also depend on our ability to reduce our dependence on these few products by developing and introducing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our extended runtime products, such as the CoolAir</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DC.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46"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2001, we completed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quality levels we achieved when manufacturing these products in more limited quantities. To date, we have not been successful at increasing our sales volume to a level that fully utilizes the capacity of the facility and we may never increase our sales volume to necessary levels. We do intend to manufacture and test our CoolAir</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DC product in this facility, which will help increase the utilization of our facility. If we do not reach these necessary sales volume levels, or if we cannot sell our products at our suggested prices, our ability to reach profitability will be materially limited.</w:t>
      </w:r>
    </w:p>
    <w:p>
      <w:pPr>
        <w:spacing w:after="0" w:line="12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component manufacturing.</w:t>
      </w:r>
    </w:p>
    <w:p>
      <w:pPr>
        <w:spacing w:after="0" w:line="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purchase several component parts from sole source and limited source suppliers. As a result of our current volumes, we lack significant leverage with these suppliers. If our suppliers receive excess demand for their products, we may receive a low priority for order fulfillment as large volume customers will receive priority that may result in delays in our acquiring components.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1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and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83" w:lineRule="exact"/>
        <w:rPr>
          <w:sz w:val="20"/>
          <w:szCs w:val="20"/>
          <w:color w:val="auto"/>
        </w:rPr>
      </w:pPr>
    </w:p>
    <w:p>
      <w:pPr>
        <w:ind w:right="120" w:firstLine="456"/>
        <w:spacing w:after="0" w:line="292" w:lineRule="auto"/>
        <w:rPr>
          <w:sz w:val="20"/>
          <w:szCs w:val="20"/>
          <w:color w:val="auto"/>
        </w:rPr>
      </w:pPr>
      <w:r>
        <w:rPr>
          <w:rFonts w:ascii="Arial" w:cs="Arial" w:eastAsia="Arial" w:hAnsi="Arial"/>
          <w:sz w:val="18"/>
          <w:szCs w:val="18"/>
          <w:color w:val="auto"/>
        </w:rPr>
        <w:t>The markets’ perception of our products and related acceptance of the products is highly dependent upon the quality and reliability of the products that we build. Any quality problems attributable to the CleanSource DC, CleanSource UPS or CoolAir</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DC product lines may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substantially impair our revenue prospects. Moreover, quality problems for our product lines could cause us to delay or cease shipments of products or have to recall products, this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expand our distribution channels and manage our existing and new product distribution relationships could impede our future growth.</w:t>
      </w:r>
    </w:p>
    <w:p>
      <w:pPr>
        <w:spacing w:after="0" w:line="106"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including CoolAir</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DC. For example, we recently broadened our sales and distribution channel by offering our products through manufacturer’s representatives throughout North America and internationally. We also recently entered into a long-term supply agreement with GE Zenith Controls to source UPS systems from them that we intend to sell along side our CoolAir</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DC product. Our inability to successfully execute this strategy, and to integrate and manage our existing OEM channel partners, Caterpillar and Eaton Power Quality, and our new manufacturer’s representatives could impede our future growth.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continue to hire and retain skilled personnel.</w:t>
      </w:r>
    </w:p>
    <w:p>
      <w:pPr>
        <w:spacing w:after="0" w:line="8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marketing personnel. There is a limited supply of skilled employees in the power quality marketplace. A decline in our stock price can result in a substantial number of “underwater” stock options, whereby the exercise price of the option is greater than the current market value of our common stock. As a result, the financial attractiveness of the stock options is substantially diminished, which may cause certain of our employees to seek employment elsewhere as a result of this decreased financial incentive, or impair our ability to recruit new employees. Our efforts to attract and retain highly skilled employees could be harmed by our past or any future workforce reductions. Our failure to attract and retain the highly trained technical personnel who are essential to our product development, marketing, sales, service and support teams may limit the rate at which we can develop new products or generate revenues. If we are unable to retain the personnel we currently employ, or if we are unable to quickly replace departing employees, our operations and new product development may suffer.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high-speed composite flywheels, ultra capacitors and superconducting magnetic energy storage.</w:t>
      </w:r>
    </w:p>
    <w:p>
      <w:pPr>
        <w:spacing w:after="0" w:line="102"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Many of our current and potential competitors have longer operating histories, significantly greater financial, technical, marketing and other resources, broader name recognition and a larger installed base of customers. As a result, these competitors may have greater credibility with our existing and potential customers. They also may be able to adopt more aggressive pricing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83" w:lineRule="exact"/>
        <w:rPr>
          <w:sz w:val="20"/>
          <w:szCs w:val="20"/>
          <w:color w:val="auto"/>
        </w:rPr>
      </w:pPr>
    </w:p>
    <w:p>
      <w:pPr>
        <w:ind w:right="160" w:firstLine="456"/>
        <w:spacing w:after="0" w:line="310" w:lineRule="auto"/>
        <w:rPr>
          <w:sz w:val="20"/>
          <w:szCs w:val="20"/>
          <w:color w:val="auto"/>
        </w:rPr>
      </w:pPr>
      <w:r>
        <w:rPr>
          <w:rFonts w:ascii="Arial" w:cs="Arial" w:eastAsia="Arial" w:hAnsi="Arial"/>
          <w:sz w:val="15"/>
          <w:szCs w:val="15"/>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48"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8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or the development of our manufacturing capabilities with our revenue and our cash on hand. We expect that our current cash, including the proceeds of our February 2005 private placement of shares of our common stock, and investments, together with our other available sources of working capital, will be sufficient to fund development activities for at least 24 months. However, unforeseen delays or difficulties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of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99"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Failure to achieve and maintain effective internal control over financial reporting in accordance with rules of the Securities and Exchange Commission promulgated under Section 404 of the Sarbanes-Oxley Act could harm our business and operating results and/or result in a loss of investor confidence in our financial reports, which could in turn have a material adverse effect on our business and stock price.</w:t>
      </w:r>
    </w:p>
    <w:p>
      <w:pPr>
        <w:spacing w:after="0" w:line="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Under rules of the Securities and Exchange Commission promulgated under Section 404 of the Sarbanes-Oxley Act of 2002, beginning with our Annual Report on Form 10-K for the fiscal year ended December 31, 2004, we were required to furnish a report by our management on our internal control over financial reporting. In the course of our assessment of the effectiveness of our internal control over financial reporting as of December 31, 2004, which assessment was conducted during the fourth quarter of 2004 and the first quarter of 2005 in connection with the preparation of 2004 audited financial statements and our annual report on Form 10-K for 2004, we identified a material weakness in our internal control over financial reporting resulting from the combination of a limited accounting staff and the transitional status of our chief financial officer. This material weakness in our internal control over financial reporting, as described in Item 9A, Controls and Procedures, of our Annual Report on Form 10-K for the year ended December 31, 2004, as well as any other weaknesses or deficiencies that may exist or hereafter arise or be identified, could harm our business and operating results, and could result in adverse publicity and a loss in investor confidence in the accuracy and completeness of our financial reports, which in turn could have a material adverse effect on our stock price, and, if such weaknesses are not properly remediated, could adversely affect our ability to report our financial results on a timely and accurate basis.</w:t>
      </w:r>
    </w:p>
    <w:p>
      <w:pPr>
        <w:spacing w:after="0" w:line="10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determined in the first quarter of 2005 that a material weakness in our internal control over financial reporting as of December 31, 2004 existed. As a part of our assessment of the effectiveness of our internal control over financial reporting as of December 31, 2004, we had considered both the composition and the limited size of our accounting department and their effect on the design of the controls established over our financial reporting process. Also, in December 2004 our chief financial officer announced his resignation to pursue another opportunity, but continued to serve as our chief financial officer on a transitional basis through the completion of certain financial reporting events, including the filing of our Annual Report 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Form 10-K. We determined that the combination of a limited staff and the transitional status of our chief financial officer resulted in ineffective oversight and monitoring controls over our year-end financial reporting process. This material weakness was identified primarily because a number of deficiencies in controls and errors were detected by both an external accounting firm we had engaged to assist in assessing and testing our internal controls, and by our independent registered public accounting firm. These errors were detected during the performance and completion of the Section 404 testing during the fourth quarter 2004 and during the course of the annual audit (from January 2005 through early March 2005). While it was determined that, individually and collectively, these errors were not material, and in all cases the Company’s financial statements were corrected during the completion of our 2004 audit in February and early March 2005, such that our independent registered public accounting firm expressed an unqualified opinion on our December 31, 2004 financial statements, we concluded that in light of these ineffective controls as of December 31, 2004, there was more than a remote likelihood that a material misstatement of our annual or interim financial statements would not be prevented or detected, and that, therefore, there was a “material weakness” in our internal control over financial reporting as of December 31, 2004.</w:t>
      </w:r>
    </w:p>
    <w:p>
      <w:pPr>
        <w:spacing w:after="0" w:line="10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Since December 31, 2004, we have hired a new chief financial officer, who assumed his office in the first quarter of 2005 following the filing of our Annual Report on Form 10-K. During the first six months of 2005, we also hired additional accounting personnel including a new controller. We believe that these steps, when taken together, will provide additional supervision, approval and review of accounting transactions and also provide our chief financial officer with the necessary time to perform oversight and supervisory functions.</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Although we believe that we have remediated this material weakness, as described in Item 4, Controls and Procedures, of this report, we cannot assure you that this remediation has been successful or that additional deficiencies or weaknesses in our controls and procedures will not be identified. In addition, we cannot assure you that our independent registered public accounting firm will agree with our assessment that our material weakness has been remediated. Moreover, while we have added accounting personnel, we continue to operate at a relatively small staffing level. Our control procedures have been designed with this staffing level in mind; however, they are highly dependent on each individual’s performance of controls in the required manner. The loss of accounting personnel, particularly our chief financial officer, would adversely impact the effectiveness of our control environment and our internal controls, including our internal controls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stock has been volatile and could result in claims against us.</w:t>
      </w:r>
    </w:p>
    <w:p>
      <w:pPr>
        <w:spacing w:after="0" w:line="83"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Our common stock is traded in the NASDAQ National Market. Historically the market price of our common stock has fluctuated significantly. In 2004 the sales price of our common stock ranged from $2.53 to $4.95. During the six-month period ending June 30, 2005 the sales price of our common stock ranged from $2.44 to $4.49. We expect the market price of our common stock to continue to fluctuate significantly in response to numerous factors, some of which are beyond our control, in addition to our financial performance. Furthermore, stock prices for many companies, including our own, fluctuate widely for reasons that may be unrelated to operating results. Some of the factors that may cause the market price of our stock to fluctuate including the following:</w:t>
      </w:r>
    </w:p>
    <w:p>
      <w:pPr>
        <w:spacing w:after="0" w:line="21" w:lineRule="exact"/>
        <w:rPr>
          <w:sz w:val="20"/>
          <w:szCs w:val="20"/>
          <w:color w:val="auto"/>
        </w:rPr>
      </w:pPr>
    </w:p>
    <w:p>
      <w:pPr>
        <w:ind w:left="1260" w:hanging="455"/>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market valuations of other technology companies, particularly those that sell products used in power quality systems;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line="268"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expand our distribution channels;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8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80"/>
          </w:cols>
          <w:pgMar w:left="240" w:top="459" w:right="7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660" w:firstLine="913"/>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72" w:lineRule="exact"/>
        <w:rPr>
          <w:sz w:val="20"/>
          <w:szCs w:val="20"/>
          <w:color w:val="auto"/>
        </w:rPr>
      </w:pPr>
    </w:p>
    <w:p>
      <w:pPr>
        <w:jc w:val="both"/>
        <w:ind w:right="160" w:firstLine="913"/>
        <w:spacing w:after="0" w:line="335" w:lineRule="auto"/>
        <w:rPr>
          <w:sz w:val="20"/>
          <w:szCs w:val="20"/>
          <w:color w:val="auto"/>
        </w:rPr>
      </w:pPr>
      <w:r>
        <w:rPr>
          <w:rFonts w:ascii="Arial" w:cs="Arial" w:eastAsia="Arial" w:hAnsi="Arial"/>
          <w:sz w:val="15"/>
          <w:szCs w:val="15"/>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$550,000.</w:t>
      </w:r>
    </w:p>
    <w:p>
      <w:pPr>
        <w:spacing w:after="0" w:line="75"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Our international sales are made primarily in U.S. dollars. Those sales in currencies other than U.S. dollars can result in translation gains and losses. As we increase sales in foreign markets, we anticipate making more sales denominated in foreign currencies, primarily euros. Currently, we do not engage in hedging activities for our international operations. However, we may engage in hedging activities in the future.</w:t>
      </w:r>
    </w:p>
    <w:p>
      <w:pPr>
        <w:spacing w:after="0" w:line="93"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Our international business is subject to the typical risks of any international business, including, but not limited to, the risks described in Item 2 – “Business – Risk Factors that May Affect Future Results” above. Accordingly, our future results could be materially harmed by the actual occurrence of any of these or other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left="460" w:right="40" w:hanging="452"/>
        <w:spacing w:after="0" w:line="29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We performed an evaluation under the supervision and with the participation of our management, including our Chief Executive Officer (CEO) and Chief Financial Officer (“CFO”), of the effectiveness of the design and operation of our disclosure controls and procedures, as defined in Rules 13a-15(e) and 15d -15(e) under the Securities Exchange Act of 1934. Based on their evaluation, our management, including our CEO and CFO, concluded that our disclosure controls and procedures were effective as of June 30, 2005 (a date within 90 days of the filing of this Quarterly Report on Form 10-Q) to ensure that information required to be disclosed by us in the reports filed or submitted by us under the Exchange Act is recorded, processed, summarized and reported within the time periods specified in the SEC’s rules and forms.</w:t>
      </w:r>
    </w:p>
    <w:p>
      <w:pPr>
        <w:spacing w:after="0" w:line="25" w:lineRule="exact"/>
        <w:rPr>
          <w:rFonts w:ascii="Arial" w:cs="Arial" w:eastAsia="Arial" w:hAnsi="Arial"/>
          <w:sz w:val="16"/>
          <w:szCs w:val="16"/>
          <w:color w:val="auto"/>
        </w:rPr>
      </w:pPr>
    </w:p>
    <w:p>
      <w:pPr>
        <w:ind w:left="460" w:hanging="452"/>
        <w:spacing w:after="0" w:line="294"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Changes in internal control over financial reporting</w:t>
      </w:r>
      <w:r>
        <w:rPr>
          <w:rFonts w:ascii="Arial" w:cs="Arial" w:eastAsia="Arial" w:hAnsi="Arial"/>
          <w:sz w:val="16"/>
          <w:szCs w:val="16"/>
          <w:color w:val="auto"/>
        </w:rPr>
        <w:t>. During the three months ended June 30, 2005 we hired a new controller and have also added additional staffing resources to our accounting department. We believe that these changes will provide additional supervision, approval and review of accounting transactions and will also provide the CFO with the ability to perform appropriate oversight and supervisory functions. We believe that these actions, taken together with the hiring of a new CFO during the quarter ended March 31, 2005, have corrected the material weakness with respect to our disclosure controls and procedures and internal control over financial reporting that we disclosed at December 31, 2004.</w:t>
      </w:r>
    </w:p>
    <w:p>
      <w:pPr>
        <w:spacing w:after="0" w:line="21" w:lineRule="exact"/>
        <w:rPr>
          <w:rFonts w:ascii="Arial" w:cs="Arial" w:eastAsia="Arial" w:hAnsi="Arial"/>
          <w:sz w:val="16"/>
          <w:szCs w:val="16"/>
          <w:color w:val="auto"/>
        </w:rPr>
      </w:pPr>
    </w:p>
    <w:p>
      <w:pPr>
        <w:ind w:left="460" w:right="220"/>
        <w:spacing w:after="0" w:line="332" w:lineRule="auto"/>
        <w:rPr>
          <w:rFonts w:ascii="Arial" w:cs="Arial" w:eastAsia="Arial" w:hAnsi="Arial"/>
          <w:sz w:val="16"/>
          <w:szCs w:val="16"/>
          <w:color w:val="auto"/>
        </w:rPr>
      </w:pPr>
      <w:r>
        <w:rPr>
          <w:rFonts w:ascii="Arial" w:cs="Arial" w:eastAsia="Arial" w:hAnsi="Arial"/>
          <w:sz w:val="16"/>
          <w:szCs w:val="16"/>
          <w:color w:val="auto"/>
        </w:rPr>
        <w:t>Other than the aforementioned, there was no change in our internal control over financial reporting that occurred during the three months ended June 30, 2005 that has materially affected, or that we believe is reasonably likely to materially affect, our internal control over financial reporting.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77" w:lineRule="exact"/>
        <w:rPr>
          <w:sz w:val="20"/>
          <w:szCs w:val="20"/>
          <w:color w:val="auto"/>
        </w:rPr>
      </w:pPr>
    </w:p>
    <w:p>
      <w:pPr>
        <w:ind w:right="180" w:firstLine="913"/>
        <w:spacing w:after="0" w:line="294" w:lineRule="auto"/>
        <w:rPr>
          <w:sz w:val="20"/>
          <w:szCs w:val="20"/>
          <w:color w:val="auto"/>
        </w:rPr>
      </w:pPr>
      <w:r>
        <w:rPr>
          <w:rFonts w:ascii="Arial" w:cs="Arial" w:eastAsia="Arial" w:hAnsi="Arial"/>
          <w:sz w:val="16"/>
          <w:szCs w:val="16"/>
          <w:color w:val="auto"/>
        </w:rPr>
        <w:t>Between March 2002 and October 2004, Active Power and Joseph Pinkerton, our Chairman and Chief Executive Officer, were parties to a lawsuit with Magnex Corporation and other plaintiffs alleging breach of a joint venture agreement, misappropriation of trade secrets and other torts. As disclosed in our 2004 Annual Report on form 10-K, this litigation was settled in October 2004 with the Company paying $5.08 million in settlement expense in 2004. The plaintiffs dismissed their claims and provided a covenant not to sue the defendants in the future. The plaintiffs further agreed to transfer, assign and otherwise release to the defendants all rights to certain technology involved in the lawsuit,</w:t>
      </w:r>
    </w:p>
    <w:p>
      <w:pPr>
        <w:spacing w:after="0" w:line="102"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On July 16, 2004 we filed a lawsuit against Greenwich Insurance Company seeking coverage under an insurance policy providing for management liability and company reimbursement coverage for certain of our and our CEO, Joe Pinkerton’s, expenses and damages related to the Magnex litigation described above.</w:t>
      </w:r>
    </w:p>
    <w:p>
      <w:pPr>
        <w:spacing w:after="0" w:line="12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This case seeks a declaratory judgment that we are entitled to coverage under our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Discovery in this case is underway.</w:t>
      </w:r>
    </w:p>
    <w:p>
      <w:pPr>
        <w:spacing w:after="0" w:line="12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In the event of any recovery in this action, we will retain an amount equal to our legal expenses related to this Greenwich Insurance litigation. Any additional recovery up to $1.22 million shall next be paid to Mr. Pinkerton as reimbursement for his settlement expense and other costs related to the Magnex lawsuit. Any recovery beyond this amount shall be retained by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3"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On February 4, 2005, we sold 5,454,510 shares of our common stock at a price of $3.64 per share for an aggregate offering price of approximately $19.8 million, to several institutional investors. We also issued Additional Investment Rights to purchase an additional 1,636,353 shares of our common stock to the purchasers with an exercise price per share of $3.64. The Additional Investment Rights are exercisable until the earliest to occur of (1) August 18, 2005 or (2) immediately prior to a merger or acquisition pursuant to which we are not the surviving entity. The transaction was exempt from registration pursuant to Section 4(2) of the Securities Act of 1933, as amended and Regulation D promulgated thereunder, as a transaction not involving a public offering, and in reliance on similar exemptions under applicable state laws. We believe that each of the purchasers qualifies as an “accredited investor” (as defined by Rule 501(a) under the Securities Act).</w:t>
      </w:r>
    </w:p>
    <w:p>
      <w:pPr>
        <w:spacing w:after="0" w:line="134"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As part of the transaction, we agreed to register for resale under the Securities Act all of the shares of Common Stock issued in the offering, as well as shares of Common Stock issuable upon exercise of the Additional Investment Rights. We filed a Registration Statement on Form S-3 (File No. 333-123586) with the SEC on March 24, 2005 that was declared effective by the SEC on May 18, 2005.</w:t>
      </w:r>
    </w:p>
    <w:p>
      <w:pPr>
        <w:spacing w:after="0" w:line="127"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The Securities and Exchange Commission on August 7, 2000 declared effective our registration statement on Form S-1 (File No. 333-36946) relating to the initial public offering of our common stock. As of March 31, 2005, we have used all of the net offering proceeds for the purchase of temporary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investments, consisting of cash, cash equivalents, and short-term investments used for working capital and general corporate purposes, including financing accounts receivable and capital expenditures made in the ordinary course of business. We also may apply a portion of the proceeds of the offering to acquire businesses, products and technologies, or enter into joint venture arrangements, that are complementary to our business and product offerings; however, at this time we have not identified a specific acquisition or joint venture or allocated a specific amount for this purpose. We also may apply a portion of the proceeds to the payment of cash dividends or for additional stock repurchases or other similar transactions.</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did not repurchase any of our equity securities during the second fiscal quarter of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our annual meeting of stockholders held on April 29, 2005, our stockholders voted on the following matters:</w:t>
      </w:r>
    </w:p>
    <w:p>
      <w:pPr>
        <w:spacing w:after="0" w:line="158" w:lineRule="exact"/>
        <w:rPr>
          <w:sz w:val="20"/>
          <w:szCs w:val="20"/>
          <w:color w:val="auto"/>
        </w:rPr>
      </w:pPr>
    </w:p>
    <w:p>
      <w:pPr>
        <w:ind w:right="540" w:firstLine="921"/>
        <w:spacing w:after="0" w:line="268" w:lineRule="auto"/>
        <w:tabs>
          <w:tab w:leader="none" w:pos="11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election of two Class II directors to serve until our 2008 annual meeting or until their successors have been elected and qualified. The nominees of the board of directors were elected by the following vote:</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Class II Director</w:t>
            </w:r>
          </w:p>
        </w:tc>
        <w:tc>
          <w:tcPr>
            <w:tcW w:w="3100" w:type="dxa"/>
            <w:vAlign w:val="bottom"/>
            <w:gridSpan w:val="2"/>
          </w:tcPr>
          <w:p>
            <w:pPr>
              <w:jc w:val="center"/>
              <w:ind w:left="1739"/>
              <w:spacing w:after="0"/>
              <w:rPr>
                <w:sz w:val="20"/>
                <w:szCs w:val="20"/>
                <w:color w:val="auto"/>
              </w:rPr>
            </w:pPr>
            <w:r>
              <w:rPr>
                <w:rFonts w:ascii="Arial" w:cs="Arial" w:eastAsia="Arial" w:hAnsi="Arial"/>
                <w:sz w:val="14"/>
                <w:szCs w:val="14"/>
                <w:b w:val="1"/>
                <w:bCs w:val="1"/>
                <w:color w:val="auto"/>
                <w:w w:val="86"/>
              </w:rPr>
              <w:t>Shares Voted in Favor</w:t>
            </w:r>
          </w:p>
        </w:tc>
        <w:tc>
          <w:tcPr>
            <w:tcW w:w="3000" w:type="dxa"/>
            <w:vAlign w:val="bottom"/>
            <w:gridSpan w:val="2"/>
          </w:tcPr>
          <w:p>
            <w:pPr>
              <w:jc w:val="center"/>
              <w:ind w:left="1959"/>
              <w:spacing w:after="0"/>
              <w:rPr>
                <w:sz w:val="20"/>
                <w:szCs w:val="20"/>
                <w:color w:val="auto"/>
              </w:rPr>
            </w:pPr>
            <w:r>
              <w:rPr>
                <w:rFonts w:ascii="Arial" w:cs="Arial" w:eastAsia="Arial" w:hAnsi="Arial"/>
                <w:sz w:val="14"/>
                <w:szCs w:val="14"/>
                <w:b w:val="1"/>
                <w:bCs w:val="1"/>
                <w:color w:val="auto"/>
                <w:w w:val="87"/>
              </w:rPr>
              <w:t>Shares Withheld</w:t>
            </w:r>
          </w:p>
        </w:tc>
      </w:tr>
      <w:tr>
        <w:trPr>
          <w:trHeight w:val="95"/>
        </w:trPr>
        <w:tc>
          <w:tcPr>
            <w:tcW w:w="122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309"/>
        </w:trPr>
        <w:tc>
          <w:tcPr>
            <w:tcW w:w="3040" w:type="dxa"/>
            <w:vAlign w:val="bottom"/>
            <w:gridSpan w:val="2"/>
          </w:tcPr>
          <w:p>
            <w:pPr>
              <w:spacing w:after="0"/>
              <w:rPr>
                <w:sz w:val="20"/>
                <w:szCs w:val="20"/>
                <w:color w:val="auto"/>
              </w:rPr>
            </w:pPr>
            <w:r>
              <w:rPr>
                <w:rFonts w:ascii="Arial" w:cs="Arial" w:eastAsia="Arial" w:hAnsi="Arial"/>
                <w:sz w:val="18"/>
                <w:szCs w:val="18"/>
                <w:color w:val="auto"/>
              </w:rPr>
              <w:t>Terrence L. Rock</w:t>
            </w:r>
          </w:p>
        </w:tc>
        <w:tc>
          <w:tcPr>
            <w:tcW w:w="3100" w:type="dxa"/>
            <w:vAlign w:val="bottom"/>
            <w:gridSpan w:val="2"/>
          </w:tcPr>
          <w:p>
            <w:pPr>
              <w:jc w:val="center"/>
              <w:ind w:left="1739"/>
              <w:spacing w:after="0"/>
              <w:rPr>
                <w:sz w:val="20"/>
                <w:szCs w:val="20"/>
                <w:color w:val="auto"/>
              </w:rPr>
            </w:pPr>
            <w:r>
              <w:rPr>
                <w:rFonts w:ascii="Arial" w:cs="Arial" w:eastAsia="Arial" w:hAnsi="Arial"/>
                <w:sz w:val="18"/>
                <w:szCs w:val="18"/>
                <w:color w:val="auto"/>
                <w:w w:val="88"/>
              </w:rPr>
              <w:t>39,892,030</w:t>
            </w:r>
          </w:p>
        </w:tc>
        <w:tc>
          <w:tcPr>
            <w:tcW w:w="3000" w:type="dxa"/>
            <w:vAlign w:val="bottom"/>
            <w:gridSpan w:val="2"/>
          </w:tcPr>
          <w:p>
            <w:pPr>
              <w:jc w:val="center"/>
              <w:ind w:left="1959"/>
              <w:spacing w:after="0"/>
              <w:rPr>
                <w:sz w:val="20"/>
                <w:szCs w:val="20"/>
                <w:color w:val="auto"/>
              </w:rPr>
            </w:pPr>
            <w:r>
              <w:rPr>
                <w:rFonts w:ascii="Arial" w:cs="Arial" w:eastAsia="Arial" w:hAnsi="Arial"/>
                <w:sz w:val="18"/>
                <w:szCs w:val="18"/>
                <w:color w:val="auto"/>
                <w:w w:val="86"/>
              </w:rPr>
              <w:t>610,922</w:t>
            </w: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color w:val="auto"/>
              </w:rPr>
              <w:t>Jan H. Lindelow</w:t>
            </w:r>
          </w:p>
        </w:tc>
        <w:tc>
          <w:tcPr>
            <w:tcW w:w="3100" w:type="dxa"/>
            <w:vAlign w:val="bottom"/>
            <w:gridSpan w:val="2"/>
          </w:tcPr>
          <w:p>
            <w:pPr>
              <w:jc w:val="center"/>
              <w:ind w:left="1739"/>
              <w:spacing w:after="0"/>
              <w:rPr>
                <w:sz w:val="20"/>
                <w:szCs w:val="20"/>
                <w:color w:val="auto"/>
              </w:rPr>
            </w:pPr>
            <w:r>
              <w:rPr>
                <w:rFonts w:ascii="Arial" w:cs="Arial" w:eastAsia="Arial" w:hAnsi="Arial"/>
                <w:sz w:val="18"/>
                <w:szCs w:val="18"/>
                <w:color w:val="auto"/>
                <w:w w:val="88"/>
              </w:rPr>
              <w:t>39,918,953</w:t>
            </w:r>
          </w:p>
        </w:tc>
        <w:tc>
          <w:tcPr>
            <w:tcW w:w="3000" w:type="dxa"/>
            <w:vAlign w:val="bottom"/>
            <w:gridSpan w:val="2"/>
          </w:tcPr>
          <w:p>
            <w:pPr>
              <w:jc w:val="center"/>
              <w:ind w:left="1959"/>
              <w:spacing w:after="0"/>
              <w:rPr>
                <w:sz w:val="20"/>
                <w:szCs w:val="20"/>
                <w:color w:val="auto"/>
              </w:rPr>
            </w:pPr>
            <w:r>
              <w:rPr>
                <w:rFonts w:ascii="Arial" w:cs="Arial" w:eastAsia="Arial" w:hAnsi="Arial"/>
                <w:sz w:val="18"/>
                <w:szCs w:val="18"/>
                <w:color w:val="auto"/>
                <w:w w:val="86"/>
              </w:rPr>
              <w:t>583,999</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our other directors whose term of office continued after our annual meeting:</w:t>
      </w:r>
    </w:p>
    <w:p>
      <w:pPr>
        <w:spacing w:after="0" w:line="77" w:lineRule="exact"/>
        <w:rPr>
          <w:sz w:val="20"/>
          <w:szCs w:val="20"/>
          <w:color w:val="auto"/>
        </w:rPr>
      </w:pPr>
    </w:p>
    <w:p>
      <w:pPr>
        <w:ind w:left="7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Class I directors, Richard E. Anderson, Rodney S. Bond and Benjamin L. Scott, who will continue to serve until our 2007 Annual Meeting or until their successors have been elected and qualified.</w:t>
      </w:r>
    </w:p>
    <w:p>
      <w:pPr>
        <w:spacing w:after="0" w:line="37"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Class III directors, Joseph F. Pinkerton, III, Ake Almgren and Brad Boston, who will continue to serve until our 2006 Annual Meeting or until their successors have been elected and qualified.</w:t>
      </w:r>
    </w:p>
    <w:p>
      <w:pPr>
        <w:spacing w:after="0" w:line="118" w:lineRule="exact"/>
        <w:rPr>
          <w:rFonts w:ascii="Arial" w:cs="Arial" w:eastAsia="Arial" w:hAnsi="Arial"/>
          <w:sz w:val="18"/>
          <w:szCs w:val="18"/>
          <w:color w:val="auto"/>
        </w:rPr>
      </w:pPr>
    </w:p>
    <w:p>
      <w:pPr>
        <w:ind w:right="80" w:firstLine="921"/>
        <w:spacing w:after="0" w:line="268" w:lineRule="auto"/>
        <w:tabs>
          <w:tab w:leader="none" w:pos="1162"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approval of the appointment of Ernst &amp; Young LLP as independent auditors for the fiscal year ending December 31, 2005. The appointment was approved by the following vote:</w:t>
      </w:r>
    </w:p>
    <w:p>
      <w:pPr>
        <w:spacing w:after="0" w:line="102"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0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4"/>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Voted in Favor</w:t>
            </w:r>
          </w:p>
        </w:tc>
        <w:tc>
          <w:tcPr>
            <w:tcW w:w="3920" w:type="dxa"/>
            <w:vAlign w:val="bottom"/>
            <w:gridSpan w:val="2"/>
          </w:tcPr>
          <w:p>
            <w:pPr>
              <w:jc w:val="center"/>
              <w:ind w:left="2959"/>
              <w:spacing w:after="0"/>
              <w:rPr>
                <w:sz w:val="20"/>
                <w:szCs w:val="20"/>
                <w:color w:val="auto"/>
              </w:rPr>
            </w:pPr>
            <w:r>
              <w:rPr>
                <w:rFonts w:ascii="Arial" w:cs="Arial" w:eastAsia="Arial" w:hAnsi="Arial"/>
                <w:sz w:val="14"/>
                <w:szCs w:val="14"/>
                <w:b w:val="1"/>
                <w:bCs w:val="1"/>
                <w:color w:val="auto"/>
                <w:w w:val="85"/>
              </w:rPr>
              <w:t>Voted Opposed</w:t>
            </w:r>
          </w:p>
        </w:tc>
        <w:tc>
          <w:tcPr>
            <w:tcW w:w="3280" w:type="dxa"/>
            <w:vAlign w:val="bottom"/>
            <w:gridSpan w:val="2"/>
          </w:tcPr>
          <w:p>
            <w:pPr>
              <w:jc w:val="center"/>
              <w:ind w:left="2142"/>
              <w:spacing w:after="0"/>
              <w:rPr>
                <w:sz w:val="20"/>
                <w:szCs w:val="20"/>
                <w:color w:val="auto"/>
              </w:rPr>
            </w:pPr>
            <w:r>
              <w:rPr>
                <w:rFonts w:ascii="Arial" w:cs="Arial" w:eastAsia="Arial" w:hAnsi="Arial"/>
                <w:sz w:val="14"/>
                <w:szCs w:val="14"/>
                <w:b w:val="1"/>
                <w:bCs w:val="1"/>
                <w:color w:val="auto"/>
                <w:w w:val="86"/>
              </w:rPr>
              <w:t>Shares Abstaining</w:t>
            </w:r>
          </w:p>
        </w:tc>
      </w:tr>
      <w:tr>
        <w:trPr>
          <w:trHeight w:val="95"/>
        </w:trPr>
        <w:tc>
          <w:tcPr>
            <w:tcW w:w="112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31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35,791,309</w:t>
            </w:r>
          </w:p>
        </w:tc>
        <w:tc>
          <w:tcPr>
            <w:tcW w:w="3920" w:type="dxa"/>
            <w:vAlign w:val="bottom"/>
            <w:gridSpan w:val="2"/>
          </w:tcPr>
          <w:p>
            <w:pPr>
              <w:jc w:val="center"/>
              <w:ind w:left="2959"/>
              <w:spacing w:after="0"/>
              <w:rPr>
                <w:sz w:val="20"/>
                <w:szCs w:val="20"/>
                <w:color w:val="auto"/>
              </w:rPr>
            </w:pPr>
            <w:r>
              <w:rPr>
                <w:rFonts w:ascii="Arial" w:cs="Arial" w:eastAsia="Arial" w:hAnsi="Arial"/>
                <w:sz w:val="18"/>
                <w:szCs w:val="18"/>
                <w:color w:val="auto"/>
                <w:w w:val="86"/>
              </w:rPr>
              <w:t>151,907</w:t>
            </w:r>
          </w:p>
        </w:tc>
        <w:tc>
          <w:tcPr>
            <w:tcW w:w="3280" w:type="dxa"/>
            <w:vAlign w:val="bottom"/>
            <w:gridSpan w:val="2"/>
          </w:tcPr>
          <w:p>
            <w:pPr>
              <w:jc w:val="right"/>
              <w:ind w:right="280"/>
              <w:spacing w:after="0"/>
              <w:rPr>
                <w:sz w:val="20"/>
                <w:szCs w:val="20"/>
                <w:color w:val="auto"/>
              </w:rPr>
            </w:pPr>
            <w:r>
              <w:rPr>
                <w:rFonts w:ascii="Arial" w:cs="Arial" w:eastAsia="Arial" w:hAnsi="Arial"/>
                <w:sz w:val="18"/>
                <w:szCs w:val="18"/>
                <w:color w:val="auto"/>
              </w:rPr>
              <w:t>11,580</w:t>
            </w:r>
          </w:p>
        </w:tc>
      </w:tr>
      <w:tr>
        <w:trPr>
          <w:trHeight w:val="365"/>
        </w:trPr>
        <w:tc>
          <w:tcPr>
            <w:tcW w:w="1120" w:type="dxa"/>
            <w:vAlign w:val="bottom"/>
          </w:tcPr>
          <w:p>
            <w:pPr>
              <w:spacing w:after="0"/>
              <w:rPr>
                <w:sz w:val="24"/>
                <w:szCs w:val="24"/>
                <w:color w:val="auto"/>
              </w:rPr>
            </w:pPr>
          </w:p>
        </w:tc>
        <w:tc>
          <w:tcPr>
            <w:tcW w:w="3040" w:type="dxa"/>
            <w:vAlign w:val="bottom"/>
          </w:tcPr>
          <w:p>
            <w:pPr>
              <w:jc w:val="right"/>
              <w:ind w:right="239"/>
              <w:spacing w:after="0"/>
              <w:rPr>
                <w:sz w:val="20"/>
                <w:szCs w:val="20"/>
                <w:color w:val="auto"/>
              </w:rPr>
            </w:pPr>
            <w:r>
              <w:rPr>
                <w:rFonts w:ascii="Arial" w:cs="Arial" w:eastAsia="Arial" w:hAnsi="Arial"/>
                <w:sz w:val="18"/>
                <w:szCs w:val="18"/>
                <w:color w:val="auto"/>
              </w:rPr>
              <w:t>31</w:t>
            </w:r>
          </w:p>
        </w:tc>
        <w:tc>
          <w:tcPr>
            <w:tcW w:w="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9340"/>
        <w:spacing w:after="0"/>
        <w:rPr>
          <w:sz w:val="20"/>
          <w:szCs w:val="20"/>
          <w:color w:val="auto"/>
        </w:rPr>
      </w:pPr>
      <w:r>
        <w:rPr>
          <w:rFonts w:ascii="Arial" w:cs="Arial" w:eastAsia="Arial" w:hAnsi="Arial"/>
          <w:sz w:val="16"/>
          <w:szCs w:val="16"/>
          <w:b w:val="1"/>
          <w:bCs w:val="1"/>
          <w:color w:val="auto"/>
        </w:rPr>
        <w:t>Item 5. Other Information.</w:t>
      </w:r>
    </w:p>
    <w:p>
      <w:pPr>
        <w:spacing w:after="0" w:line="106" w:lineRule="exact"/>
        <w:rPr>
          <w:sz w:val="20"/>
          <w:szCs w:val="20"/>
          <w:color w:val="auto"/>
        </w:rPr>
      </w:pPr>
    </w:p>
    <w:p>
      <w:pPr>
        <w:jc w:val="right"/>
        <w:ind w:right="938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4" w:lineRule="exact"/>
        <w:rPr>
          <w:sz w:val="20"/>
          <w:szCs w:val="20"/>
          <w:color w:val="auto"/>
        </w:rPr>
      </w:pPr>
    </w:p>
    <w:p>
      <w:pPr>
        <w:ind w:left="1300" w:hanging="37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following documents are filed as exhibits to this report:</w:t>
      </w:r>
    </w:p>
    <w:p>
      <w:pPr>
        <w:spacing w:after="0" w:line="11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31.1 Rule 13a-15(e)/15d-15(e) Certification of Principal Executive Officer</w:t>
      </w:r>
    </w:p>
    <w:p>
      <w:pPr>
        <w:spacing w:after="0" w:line="11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31.2 Rule 13a-15(e)/15d-15(e) Certification of Principal Financial Officer</w:t>
      </w:r>
    </w:p>
    <w:p>
      <w:pPr>
        <w:spacing w:after="0" w:line="11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32.1 Section 1350 Certification of Principal Executive Officer</w:t>
      </w:r>
    </w:p>
    <w:p>
      <w:pPr>
        <w:spacing w:after="0" w:line="11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32.2 Section 1350 Certification of Principal Financial Officer</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112" w:lineRule="exact"/>
        <w:rPr>
          <w:sz w:val="20"/>
          <w:szCs w:val="20"/>
          <w:color w:val="auto"/>
        </w:rPr>
      </w:pPr>
    </w:p>
    <w:tbl>
      <w:tblPr>
        <w:tblLayout w:type="fixed"/>
        <w:tblInd w:w="520" w:type="dxa"/>
        <w:tblCellMar>
          <w:top w:w="0" w:type="dxa"/>
          <w:left w:w="0" w:type="dxa"/>
          <w:bottom w:w="0" w:type="dxa"/>
          <w:right w:w="0" w:type="dxa"/>
        </w:tblCellMar>
      </w:tblPr>
      <w:tr>
        <w:trPr>
          <w:trHeight w:val="222"/>
        </w:trPr>
        <w:tc>
          <w:tcPr>
            <w:tcW w:w="30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9"/>
              </w:rPr>
              <w:t>ACTIVE POWER, INC.</w:t>
            </w:r>
          </w:p>
        </w:tc>
        <w:tc>
          <w:tcPr>
            <w:tcW w:w="0" w:type="dxa"/>
            <w:vAlign w:val="bottom"/>
          </w:tcPr>
          <w:p>
            <w:pPr>
              <w:spacing w:after="0"/>
              <w:rPr>
                <w:sz w:val="1"/>
                <w:szCs w:val="1"/>
                <w:color w:val="auto"/>
              </w:rPr>
            </w:pPr>
          </w:p>
        </w:tc>
      </w:tr>
      <w:tr>
        <w:trPr>
          <w:trHeight w:val="222"/>
        </w:trPr>
        <w:tc>
          <w:tcPr>
            <w:tcW w:w="30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89"/>
              </w:rPr>
              <w:t>(Registrant)</w:t>
            </w:r>
          </w:p>
        </w:tc>
        <w:tc>
          <w:tcPr>
            <w:tcW w:w="0" w:type="dxa"/>
            <w:vAlign w:val="bottom"/>
          </w:tcPr>
          <w:p>
            <w:pPr>
              <w:spacing w:after="0"/>
              <w:rPr>
                <w:sz w:val="1"/>
                <w:szCs w:val="1"/>
                <w:color w:val="auto"/>
              </w:rPr>
            </w:pPr>
          </w:p>
        </w:tc>
      </w:tr>
      <w:tr>
        <w:trPr>
          <w:trHeight w:val="426"/>
        </w:trPr>
        <w:tc>
          <w:tcPr>
            <w:tcW w:w="3040" w:type="dxa"/>
            <w:vAlign w:val="bottom"/>
          </w:tcPr>
          <w:p>
            <w:pPr>
              <w:spacing w:after="0"/>
              <w:rPr>
                <w:sz w:val="20"/>
                <w:szCs w:val="20"/>
                <w:color w:val="auto"/>
              </w:rPr>
            </w:pPr>
            <w:r>
              <w:rPr>
                <w:rFonts w:ascii="Arial" w:cs="Arial" w:eastAsia="Arial" w:hAnsi="Arial"/>
                <w:sz w:val="18"/>
                <w:szCs w:val="18"/>
                <w:color w:val="auto"/>
              </w:rPr>
              <w:t>July 28, 2005</w:t>
            </w:r>
          </w:p>
        </w:tc>
        <w:tc>
          <w:tcPr>
            <w:tcW w:w="29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88"/>
              </w:rPr>
              <w:t>/s/ Joseph F. Pinkerton, III</w:t>
            </w:r>
          </w:p>
        </w:tc>
        <w:tc>
          <w:tcPr>
            <w:tcW w:w="0" w:type="dxa"/>
            <w:vAlign w:val="bottom"/>
          </w:tcPr>
          <w:p>
            <w:pPr>
              <w:spacing w:after="0"/>
              <w:rPr>
                <w:sz w:val="1"/>
                <w:szCs w:val="1"/>
                <w:color w:val="auto"/>
              </w:rPr>
            </w:pPr>
          </w:p>
        </w:tc>
      </w:tr>
      <w:tr>
        <w:trPr>
          <w:trHeight w:val="116"/>
        </w:trPr>
        <w:tc>
          <w:tcPr>
            <w:tcW w:w="304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2940" w:type="dxa"/>
            <w:vAlign w:val="bottom"/>
          </w:tcPr>
          <w:p>
            <w:pPr>
              <w:spacing w:after="0"/>
              <w:rPr>
                <w:sz w:val="10"/>
                <w:szCs w:val="10"/>
                <w:color w:val="auto"/>
              </w:rPr>
            </w:pPr>
          </w:p>
        </w:tc>
        <w:tc>
          <w:tcPr>
            <w:tcW w:w="4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040" w:type="dxa"/>
            <w:vAlign w:val="bottom"/>
            <w:vMerge w:val="continue"/>
          </w:tcPr>
          <w:p>
            <w:pPr>
              <w:spacing w:after="0"/>
              <w:rPr>
                <w:sz w:val="7"/>
                <w:szCs w:val="7"/>
                <w:color w:val="auto"/>
              </w:rPr>
            </w:pPr>
          </w:p>
        </w:tc>
        <w:tc>
          <w:tcPr>
            <w:tcW w:w="2940" w:type="dxa"/>
            <w:vAlign w:val="bottom"/>
          </w:tcPr>
          <w:p>
            <w:pPr>
              <w:spacing w:after="0"/>
              <w:rPr>
                <w:sz w:val="7"/>
                <w:szCs w:val="7"/>
                <w:color w:val="auto"/>
              </w:rPr>
            </w:pPr>
          </w:p>
        </w:tc>
        <w:tc>
          <w:tcPr>
            <w:tcW w:w="4700" w:type="dxa"/>
            <w:vAlign w:val="bottom"/>
            <w:vMerge w:val="restart"/>
          </w:tcPr>
          <w:p>
            <w:pPr>
              <w:jc w:val="center"/>
              <w:spacing w:after="0"/>
              <w:rPr>
                <w:sz w:val="20"/>
                <w:szCs w:val="20"/>
                <w:color w:val="auto"/>
              </w:rPr>
            </w:pPr>
            <w:r>
              <w:rPr>
                <w:rFonts w:ascii="Arial" w:cs="Arial" w:eastAsia="Arial" w:hAnsi="Arial"/>
                <w:sz w:val="18"/>
                <w:szCs w:val="18"/>
                <w:color w:val="auto"/>
                <w:w w:val="88"/>
              </w:rPr>
              <w:t>Joseph F. Pinkerton, III</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88"/>
              </w:rPr>
              <w:t>Chairman of the Board, President and</w:t>
            </w:r>
          </w:p>
        </w:tc>
        <w:tc>
          <w:tcPr>
            <w:tcW w:w="0" w:type="dxa"/>
            <w:vAlign w:val="bottom"/>
          </w:tcPr>
          <w:p>
            <w:pPr>
              <w:spacing w:after="0"/>
              <w:rPr>
                <w:sz w:val="1"/>
                <w:szCs w:val="1"/>
                <w:color w:val="auto"/>
              </w:rPr>
            </w:pPr>
          </w:p>
        </w:tc>
      </w:tr>
      <w:tr>
        <w:trPr>
          <w:trHeight w:val="222"/>
        </w:trPr>
        <w:tc>
          <w:tcPr>
            <w:tcW w:w="30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1"/>
              </w:rPr>
              <w:t>Chief Executive Officer</w:t>
            </w:r>
          </w:p>
        </w:tc>
        <w:tc>
          <w:tcPr>
            <w:tcW w:w="0" w:type="dxa"/>
            <w:vAlign w:val="bottom"/>
          </w:tcPr>
          <w:p>
            <w:pPr>
              <w:spacing w:after="0"/>
              <w:rPr>
                <w:sz w:val="1"/>
                <w:szCs w:val="1"/>
                <w:color w:val="auto"/>
              </w:rPr>
            </w:pPr>
          </w:p>
        </w:tc>
      </w:tr>
      <w:tr>
        <w:trPr>
          <w:trHeight w:val="439"/>
        </w:trPr>
        <w:tc>
          <w:tcPr>
            <w:tcW w:w="3040" w:type="dxa"/>
            <w:vAlign w:val="bottom"/>
          </w:tcPr>
          <w:p>
            <w:pPr>
              <w:spacing w:after="0"/>
              <w:rPr>
                <w:sz w:val="20"/>
                <w:szCs w:val="20"/>
                <w:color w:val="auto"/>
              </w:rPr>
            </w:pPr>
            <w:r>
              <w:rPr>
                <w:rFonts w:ascii="Arial" w:cs="Arial" w:eastAsia="Arial" w:hAnsi="Arial"/>
                <w:sz w:val="18"/>
                <w:szCs w:val="18"/>
                <w:color w:val="auto"/>
              </w:rPr>
              <w:t>July 28, 2005</w:t>
            </w:r>
          </w:p>
        </w:tc>
        <w:tc>
          <w:tcPr>
            <w:tcW w:w="294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86"/>
              </w:rPr>
              <w:t>/s/ John K. Penver</w:t>
            </w:r>
          </w:p>
        </w:tc>
        <w:tc>
          <w:tcPr>
            <w:tcW w:w="0" w:type="dxa"/>
            <w:vAlign w:val="bottom"/>
          </w:tcPr>
          <w:p>
            <w:pPr>
              <w:spacing w:after="0"/>
              <w:rPr>
                <w:sz w:val="1"/>
                <w:szCs w:val="1"/>
                <w:color w:val="auto"/>
              </w:rPr>
            </w:pPr>
          </w:p>
        </w:tc>
      </w:tr>
      <w:tr>
        <w:trPr>
          <w:trHeight w:val="116"/>
        </w:trPr>
        <w:tc>
          <w:tcPr>
            <w:tcW w:w="304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2940" w:type="dxa"/>
            <w:vAlign w:val="bottom"/>
          </w:tcPr>
          <w:p>
            <w:pPr>
              <w:spacing w:after="0"/>
              <w:rPr>
                <w:sz w:val="10"/>
                <w:szCs w:val="10"/>
                <w:color w:val="auto"/>
              </w:rPr>
            </w:pPr>
          </w:p>
        </w:tc>
        <w:tc>
          <w:tcPr>
            <w:tcW w:w="4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040" w:type="dxa"/>
            <w:vAlign w:val="bottom"/>
            <w:vMerge w:val="continue"/>
          </w:tcPr>
          <w:p>
            <w:pPr>
              <w:spacing w:after="0"/>
              <w:rPr>
                <w:sz w:val="7"/>
                <w:szCs w:val="7"/>
                <w:color w:val="auto"/>
              </w:rPr>
            </w:pPr>
          </w:p>
        </w:tc>
        <w:tc>
          <w:tcPr>
            <w:tcW w:w="2940" w:type="dxa"/>
            <w:vAlign w:val="bottom"/>
          </w:tcPr>
          <w:p>
            <w:pPr>
              <w:spacing w:after="0"/>
              <w:rPr>
                <w:sz w:val="7"/>
                <w:szCs w:val="7"/>
                <w:color w:val="auto"/>
              </w:rPr>
            </w:pPr>
          </w:p>
        </w:tc>
        <w:tc>
          <w:tcPr>
            <w:tcW w:w="4700" w:type="dxa"/>
            <w:vAlign w:val="bottom"/>
            <w:vMerge w:val="restart"/>
          </w:tcPr>
          <w:p>
            <w:pPr>
              <w:jc w:val="center"/>
              <w:spacing w:after="0"/>
              <w:rPr>
                <w:sz w:val="20"/>
                <w:szCs w:val="20"/>
                <w:color w:val="auto"/>
              </w:rPr>
            </w:pPr>
            <w:r>
              <w:rPr>
                <w:rFonts w:ascii="Arial" w:cs="Arial" w:eastAsia="Arial" w:hAnsi="Arial"/>
                <w:sz w:val="18"/>
                <w:szCs w:val="18"/>
                <w:color w:val="auto"/>
                <w:w w:val="87"/>
              </w:rPr>
              <w:t>John K. Penver</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0"/>
              </w:rPr>
              <w:t>Vice President of Finance, Chief Financial Officer</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85"/>
              </w:rPr>
              <w:t>and Secretary</w:t>
            </w:r>
          </w:p>
        </w:tc>
        <w:tc>
          <w:tcPr>
            <w:tcW w:w="0" w:type="dxa"/>
            <w:vAlign w:val="bottom"/>
          </w:tcPr>
          <w:p>
            <w:pPr>
              <w:spacing w:after="0"/>
              <w:rPr>
                <w:sz w:val="1"/>
                <w:szCs w:val="1"/>
                <w:color w:val="auto"/>
              </w:rPr>
            </w:pPr>
          </w:p>
        </w:tc>
      </w:tr>
      <w:tr>
        <w:trPr>
          <w:trHeight w:val="222"/>
        </w:trPr>
        <w:tc>
          <w:tcPr>
            <w:tcW w:w="30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2"/>
              </w:rPr>
              <w:t>(Principal Accounting Officer)</w:t>
            </w:r>
          </w:p>
        </w:tc>
        <w:tc>
          <w:tcPr>
            <w:tcW w:w="0" w:type="dxa"/>
            <w:vAlign w:val="bottom"/>
          </w:tcPr>
          <w:p>
            <w:pPr>
              <w:spacing w:after="0"/>
              <w:rPr>
                <w:sz w:val="1"/>
                <w:szCs w:val="1"/>
                <w:color w:val="auto"/>
              </w:rPr>
            </w:pPr>
          </w:p>
        </w:tc>
      </w:tr>
      <w:tr>
        <w:trPr>
          <w:trHeight w:val="378"/>
        </w:trPr>
        <w:tc>
          <w:tcPr>
            <w:tcW w:w="3040" w:type="dxa"/>
            <w:vAlign w:val="bottom"/>
          </w:tcPr>
          <w:p>
            <w:pPr>
              <w:spacing w:after="0"/>
              <w:rPr>
                <w:sz w:val="24"/>
                <w:szCs w:val="24"/>
                <w:color w:val="auto"/>
              </w:rPr>
            </w:pPr>
          </w:p>
        </w:tc>
        <w:tc>
          <w:tcPr>
            <w:tcW w:w="2940" w:type="dxa"/>
            <w:vAlign w:val="bottom"/>
          </w:tcPr>
          <w:p>
            <w:pPr>
              <w:jc w:val="right"/>
              <w:ind w:right="612"/>
              <w:spacing w:after="0"/>
              <w:rPr>
                <w:sz w:val="20"/>
                <w:szCs w:val="20"/>
                <w:color w:val="auto"/>
              </w:rPr>
            </w:pPr>
            <w:r>
              <w:rPr>
                <w:rFonts w:ascii="Arial" w:cs="Arial" w:eastAsia="Arial" w:hAnsi="Arial"/>
                <w:sz w:val="18"/>
                <w:szCs w:val="18"/>
                <w:color w:val="auto"/>
              </w:rPr>
              <w:t>32</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Joseph F. Pinkerton, III, certify that:</w:t>
      </w:r>
    </w:p>
    <w:p>
      <w:pPr>
        <w:spacing w:after="0" w:line="7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641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John K. Penver, certify that:</w:t>
      </w:r>
    </w:p>
    <w:p>
      <w:pPr>
        <w:spacing w:after="0" w:line="7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5641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June 30, 2005, as filed with the Securities and Exchange Commission on the date hereof (the “Report”), I, Joseph F. Pinkerton, III, Chief Executive Officer of the Company, certify, pursuant to 18 U.S.C. Section 1350, as adopted pursuant to Section 906 of the Sarbanes-Oxley Act of 2002, that, to my knowledge:</w:t>
      </w:r>
    </w:p>
    <w:p>
      <w:pPr>
        <w:spacing w:after="0" w:line="1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July 28, 2005</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on Form 10-Q of Active Power, Inc. (the “Company”) for the period ending June 30, 2005 as filed with the Securities and Exchange Commission on the date hereof (the “Report”), I, John K. Penver, Chief Financial Officer of the Company, certify, pursuant to 18 U.S.C. Section 1350, as adopted pursuant to Section 906 of the Sarbanes-Oxley Act of 2002, that, to my knowledge:</w:t>
      </w:r>
    </w:p>
    <w:p>
      <w:pPr>
        <w:spacing w:after="0" w:line="4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5641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July 28,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lvl w:ilvl="1">
      <w:lvlJc w:val="left"/>
      <w:lvlText w:val="(%2)"/>
      <w:numFmt w:val="decimal"/>
      <w:start w:val="2"/>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2019-12-14T18:22:50Z</dcterms:created>
  <dcterms:modified xsi:type="dcterms:W3CDTF">2019-12-14T18:22:50Z</dcterms:modified>
</cp:coreProperties>
</file>