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4514 Cole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 Purchase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14, 2024, P10, Inc. (the “Company”) held its 2024 Annual Meeting of Stockholders (the “Annual Meeting”). At the Annual Meeting, the Company’s stockholders approved an amendment (the “Amendment”) to the Company’s 2021 Incentive Plan (the “Plan”) to increase the number of shares of the Company’s Class A Common Stock issuable under the Plan by 11,000,000 shares. A description of the Plan, as amended, is set forth in the Company’s definitive proxy statement for the Annual Meeting, which was filed with the U.S. Securities and Exchange Commission on April 24, 2024 (the “Proxy Statement”). The description herein is qualified in its entirety by reference to the full text of the Amendment, which is filed as Exhibit 10.1 to this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Annual Meeting on June 14, 2024. At the Annual Meeting, the Company’s stockholders:</w:t>
      </w:r>
    </w:p>
    <w:p>
      <w:pPr>
        <w:spacing w:after="0" w:line="144" w:lineRule="exact"/>
        <w:rPr>
          <w:sz w:val="20"/>
          <w:szCs w:val="20"/>
          <w:color w:val="auto"/>
        </w:rPr>
      </w:pPr>
    </w:p>
    <w:p>
      <w:pPr>
        <w:ind w:left="1040" w:right="200" w:hanging="560"/>
        <w:spacing w:after="0" w:line="282"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three Class III Directors to serve on the Company’s board of directors until the 2027 annual meeting of stockholders and until their successors are duly elected and qualified (Proposal 1);</w:t>
      </w:r>
    </w:p>
    <w:p>
      <w:pPr>
        <w:spacing w:after="0" w:line="188" w:lineRule="exact"/>
        <w:rPr>
          <w:rFonts w:ascii="Times New Roman" w:cs="Times New Roman" w:eastAsia="Times New Roman" w:hAnsi="Times New Roman"/>
          <w:sz w:val="18"/>
          <w:szCs w:val="18"/>
          <w:color w:val="auto"/>
        </w:rPr>
      </w:pPr>
    </w:p>
    <w:p>
      <w:pPr>
        <w:ind w:left="1040" w:right="120" w:hanging="560"/>
        <w:spacing w:after="0" w:line="282"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the P10, Inc. 2021 Incentive Plan to increase the number of shares issuable under the Plan by 11,000,000 shares (Proposal 2); and</w:t>
      </w:r>
    </w:p>
    <w:p>
      <w:pPr>
        <w:spacing w:after="0" w:line="188" w:lineRule="exact"/>
        <w:rPr>
          <w:rFonts w:ascii="Times New Roman" w:cs="Times New Roman" w:eastAsia="Times New Roman" w:hAnsi="Times New Roman"/>
          <w:sz w:val="18"/>
          <w:szCs w:val="18"/>
          <w:color w:val="auto"/>
        </w:rPr>
      </w:pPr>
    </w:p>
    <w:p>
      <w:pPr>
        <w:ind w:left="1040" w:right="220" w:hanging="560"/>
        <w:spacing w:after="0" w:line="282"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KPMG LLP as the Company’s independent registered public accounting firm to audit the Company’s financial statements for the fiscal year ending December 31, 2024 (Proposal 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these proposals, please see the Proxy Statement. The voting results for each of these proposals are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Class III Directors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0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0" w:type="dxa"/>
            <w:vAlign w:val="bottom"/>
          </w:tcPr>
          <w:p>
            <w:pPr>
              <w:spacing w:after="0"/>
              <w:rPr>
                <w:sz w:val="16"/>
                <w:szCs w:val="16"/>
                <w:color w:val="auto"/>
              </w:rPr>
            </w:pPr>
          </w:p>
        </w:tc>
        <w:tc>
          <w:tcPr>
            <w:tcW w:w="2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Withholds</w:t>
            </w:r>
          </w:p>
        </w:tc>
        <w:tc>
          <w:tcPr>
            <w:tcW w:w="10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Alpert</w:t>
            </w:r>
          </w:p>
        </w:tc>
        <w:tc>
          <w:tcPr>
            <w:tcW w:w="2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480,707,246</w:t>
            </w:r>
          </w:p>
        </w:tc>
        <w:tc>
          <w:tcPr>
            <w:tcW w:w="2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98,705,350</w:t>
            </w:r>
          </w:p>
        </w:tc>
        <w:tc>
          <w:tcPr>
            <w:tcW w:w="2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20,883,232</w:t>
            </w:r>
          </w:p>
        </w:tc>
      </w:tr>
      <w:tr>
        <w:trPr>
          <w:trHeight w:val="23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Barnes</w:t>
            </w:r>
          </w:p>
        </w:tc>
        <w:tc>
          <w:tcPr>
            <w:tcW w:w="2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569,905,117</w:t>
            </w:r>
          </w:p>
        </w:tc>
        <w:tc>
          <w:tcPr>
            <w:tcW w:w="2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9,507,479</w:t>
            </w:r>
          </w:p>
        </w:tc>
        <w:tc>
          <w:tcPr>
            <w:tcW w:w="2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20,883,232</w:t>
            </w:r>
          </w:p>
        </w:tc>
      </w:tr>
      <w:tr>
        <w:trPr>
          <w:trHeight w:val="24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Luke A. Sarsfield III</w:t>
            </w:r>
          </w:p>
        </w:tc>
        <w:tc>
          <w:tcPr>
            <w:tcW w:w="26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573,317,795</w:t>
            </w:r>
          </w:p>
        </w:tc>
        <w:tc>
          <w:tcPr>
            <w:tcW w:w="27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6,260,277</w:t>
            </w:r>
          </w:p>
        </w:tc>
        <w:tc>
          <w:tcPr>
            <w:tcW w:w="2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20,717,756</w:t>
            </w:r>
          </w:p>
        </w:tc>
      </w:tr>
    </w:tbl>
    <w:p>
      <w:pPr>
        <w:spacing w:after="0" w:line="200" w:lineRule="exact"/>
        <w:rPr>
          <w:sz w:val="20"/>
          <w:szCs w:val="20"/>
          <w:color w:val="auto"/>
        </w:rPr>
      </w:pPr>
    </w:p>
    <w:p>
      <w:pPr>
        <w:spacing w:after="0" w:line="23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 – Approval of amendment to the P10, Inc. 2021 Incentive Plan to increase the number of shares issuable under the Plan by 11,000,000 shares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6"/>
                <w:szCs w:val="16"/>
                <w:color w:val="auto"/>
              </w:rPr>
            </w:pPr>
          </w:p>
        </w:tc>
        <w:tc>
          <w:tcPr>
            <w:tcW w:w="25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2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7"/>
        </w:trPr>
        <w:tc>
          <w:tcPr>
            <w:tcW w:w="25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569,083,264</w:t>
            </w:r>
          </w:p>
        </w:tc>
        <w:tc>
          <w:tcPr>
            <w:tcW w:w="26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10,322,359</w:t>
            </w:r>
          </w:p>
        </w:tc>
        <w:tc>
          <w:tcPr>
            <w:tcW w:w="2780" w:type="dxa"/>
            <w:vAlign w:val="bottom"/>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179,153</w:t>
            </w:r>
          </w:p>
        </w:tc>
        <w:tc>
          <w:tcPr>
            <w:tcW w:w="266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20,711,052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-165100</wp:posOffset>
            </wp:positionV>
            <wp:extent cx="6858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-165100</wp:posOffset>
            </wp:positionV>
            <wp:extent cx="6858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-165100</wp:posOffset>
            </wp:positionV>
            <wp:extent cx="6858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3 – Ratification of the appointment of KPMG LLP as the Company’s independent registered public accounting firm to audit the Company’s financial statements for the fiscal year ending December 31, 2024</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2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7"/>
        </w:trPr>
        <w:tc>
          <w:tcPr>
            <w:tcW w:w="25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599,601,307</w:t>
            </w:r>
          </w:p>
        </w:tc>
        <w:tc>
          <w:tcPr>
            <w:tcW w:w="2680" w:type="dxa"/>
            <w:vAlign w:val="bottom"/>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366,861</w:t>
            </w:r>
          </w:p>
        </w:tc>
        <w:tc>
          <w:tcPr>
            <w:tcW w:w="2780" w:type="dxa"/>
            <w:vAlign w:val="bottom"/>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327,660</w:t>
            </w:r>
          </w:p>
        </w:tc>
        <w:tc>
          <w:tcPr>
            <w:tcW w:w="2660" w:type="dxa"/>
            <w:vAlign w:val="bottom"/>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17, 2024, the Company issued a press release announcing the results of the Annual Meeting and the appointment of Tracey Benford as Lead Independent Director. A copy of the press release is attached to this Current Report on Form 8-K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180" w:type="dxa"/>
            <w:vAlign w:val="bottom"/>
            <w:gridSpan w:val="3"/>
          </w:tcPr>
          <w:p>
            <w:pPr>
              <w:spacing w:after="0"/>
              <w:rPr>
                <w:sz w:val="18"/>
                <w:szCs w:val="18"/>
                <w:color w:val="auto"/>
              </w:rPr>
            </w:pPr>
          </w:p>
        </w:tc>
      </w:tr>
      <w:tr>
        <w:trPr>
          <w:trHeight w:val="210"/>
        </w:trPr>
        <w:tc>
          <w:tcPr>
            <w:tcW w:w="3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20" w:type="dxa"/>
            <w:vAlign w:val="bottom"/>
            <w:tcBorders>
              <w:bottom w:val="single" w:sz="8" w:color="0000EE"/>
            </w:tcBorders>
          </w:tcPr>
          <w:p>
            <w:pPr>
              <w:spacing w:after="0"/>
              <w:rPr>
                <w:sz w:val="18"/>
                <w:szCs w:val="18"/>
                <w:color w:val="auto"/>
              </w:rPr>
            </w:pPr>
          </w:p>
        </w:tc>
        <w:tc>
          <w:tcPr>
            <w:tcW w:w="1800" w:type="dxa"/>
            <w:vAlign w:val="bottom"/>
          </w:tcPr>
          <w:p>
            <w:pPr>
              <w:spacing w:after="0"/>
              <w:rPr>
                <w:sz w:val="18"/>
                <w:szCs w:val="18"/>
                <w:color w:val="auto"/>
              </w:rPr>
            </w:pPr>
          </w:p>
        </w:tc>
        <w:tc>
          <w:tcPr>
            <w:tcW w:w="4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Amendment No. 1 to P10, Inc. 2021 Stock Incentive Plan</w:t>
            </w:r>
          </w:p>
        </w:tc>
        <w:tc>
          <w:tcPr>
            <w:tcW w:w="4920" w:type="dxa"/>
            <w:vAlign w:val="bottom"/>
          </w:tcPr>
          <w:p>
            <w:pPr>
              <w:spacing w:after="0"/>
              <w:rPr>
                <w:sz w:val="18"/>
                <w:szCs w:val="18"/>
                <w:color w:val="auto"/>
              </w:rPr>
            </w:pPr>
          </w:p>
        </w:tc>
      </w:tr>
      <w:tr>
        <w:trPr>
          <w:trHeight w:val="209"/>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dated June 17, 2024</w:t>
            </w:r>
          </w:p>
        </w:tc>
      </w:tr>
      <w:tr>
        <w:trPr>
          <w:trHeight w:val="20"/>
        </w:trPr>
        <w:tc>
          <w:tcPr>
            <w:tcW w:w="3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r>
      <w:tr>
        <w:trPr>
          <w:trHeight w:val="250"/>
        </w:trPr>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122"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 2021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P10,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maintains the P10, Inc. 2021 Incentive Plan, as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(capitalized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not defined herein shall have the meaning assigned to such terms in the Plan);</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11.1 of the Plan, the Board may amend the Plan, in whole or part, provided that stockholder approval is required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Plan that increases the number of shares under the Plan (other than any automatic increase or adjustment as provided under the Plan);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based on the recommendation of the Committee and in consultation with management, that it is in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the Company to amend the Plan, subject to stockholder approval, to increase the aggregate number of shares of Common Stock available for Awards under the Plan by 11,000,000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on February 27, 2024, the Board approved the amendment to the Plan to increase the number of shares under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subject to approval of the shareholders of the Company, as follows:</w:t>
      </w:r>
    </w:p>
    <w:p>
      <w:pPr>
        <w:spacing w:after="0" w:line="34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4.1 of the Plan is hereby amended to read in its entirety as follows: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“Number of Shares. Subject to adjustment as provided in Sections 4.2 and 4.3, the aggregate number of Shares of Stock which may be issued or transferred pursuant to Awards under the Plan shall be the sum of 23,000,000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9,750,000, as adjusted under Sections 4.2 and 4.3. Shares of Stock issued pursuant to the Plan may be either authorized but unissued Shares or Shares held by the Company in its treasury. Upon effectiveness of the Plan, no further awards shall be granted under a Prior Plan.”</w:t>
      </w:r>
    </w:p>
    <w:p>
      <w:pPr>
        <w:spacing w:after="0" w:line="30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Except as specifically set forth in this Amendment, all other terms and conditions of the Plan shall remain in full force and effect.</w:t>
      </w:r>
    </w:p>
    <w:p>
      <w:pPr>
        <w:spacing w:after="0" w:line="332" w:lineRule="exact"/>
        <w:rPr>
          <w:rFonts w:ascii="Times New Roman" w:cs="Times New Roman" w:eastAsia="Times New Roman" w:hAnsi="Times New Roman"/>
          <w:sz w:val="22"/>
          <w:szCs w:val="22"/>
          <w:color w:val="auto"/>
        </w:rPr>
      </w:pPr>
    </w:p>
    <w:p>
      <w:pPr>
        <w:ind w:left="1020" w:hanging="503"/>
        <w:spacing w:after="0" w:line="234"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Company’s shareholders fail to approve this Amendment, the Plan, as in effect prior to this Amendment, shall continue in full force and effect.</w:t>
      </w:r>
    </w:p>
    <w:p>
      <w:pPr>
        <w:spacing w:after="0" w:line="1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Amendment No. 1 to the P10, Inc. 2021 Incentive Plan, as amended and restated, to be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duly authorized officer.</w:t>
      </w:r>
    </w:p>
    <w:p>
      <w:pPr>
        <w:spacing w:after="0" w:line="3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8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Amanda Coussens</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48715" cy="53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39750"/>
                    </a:xfrm>
                    <a:prstGeom prst="rect">
                      <a:avLst/>
                    </a:prstGeom>
                    <a:noFill/>
                  </pic:spPr>
                </pic:pic>
              </a:graphicData>
            </a:graphic>
          </wp:anchor>
        </w:drawing>
        <w:drawing>
          <wp:anchor simplePos="0" relativeHeight="251657728" behindDoc="1" locked="0" layoutInCell="0" allowOverlap="1">
            <wp:simplePos x="0" y="0"/>
            <wp:positionH relativeFrom="page">
              <wp:posOffset>3405505</wp:posOffset>
            </wp:positionH>
            <wp:positionV relativeFrom="page">
              <wp:posOffset>723265</wp:posOffset>
            </wp:positionV>
            <wp:extent cx="137160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16865"/>
                    </a:xfrm>
                    <a:prstGeom prst="rect">
                      <a:avLst/>
                    </a:prstGeom>
                    <a:noFill/>
                  </pic:spPr>
                </pic:pic>
              </a:graphicData>
            </a:graphic>
          </wp:anchor>
        </w:drawing>
      </w:r>
    </w:p>
    <w:p>
      <w:pPr>
        <w:ind w:left="2880"/>
        <w:spacing w:after="0"/>
        <w:rPr>
          <w:sz w:val="20"/>
          <w:szCs w:val="20"/>
          <w:color w:val="auto"/>
        </w:rPr>
      </w:pPr>
      <w:r>
        <w:rPr>
          <w:rFonts w:ascii="Calibri" w:cs="Calibri" w:eastAsia="Calibri" w:hAnsi="Calibri"/>
          <w:sz w:val="22"/>
          <w:szCs w:val="22"/>
          <w:b w:val="1"/>
          <w:bCs w:val="1"/>
          <w:color w:val="2F2F45"/>
        </w:rPr>
        <w:t>P10 Announces Results of its Annual Meetng of Stockholders</w:t>
      </w:r>
    </w:p>
    <w:p>
      <w:pPr>
        <w:spacing w:after="0" w:line="1" w:lineRule="exact"/>
        <w:rPr>
          <w:sz w:val="20"/>
          <w:szCs w:val="20"/>
          <w:color w:val="auto"/>
        </w:rPr>
      </w:pPr>
    </w:p>
    <w:p>
      <w:pPr>
        <w:ind w:left="3260"/>
        <w:spacing w:after="0"/>
        <w:rPr>
          <w:sz w:val="20"/>
          <w:szCs w:val="20"/>
          <w:color w:val="auto"/>
        </w:rPr>
      </w:pPr>
      <w:r>
        <w:rPr>
          <w:rFonts w:ascii="Calibri" w:cs="Calibri" w:eastAsia="Calibri" w:hAnsi="Calibri"/>
          <w:sz w:val="22"/>
          <w:szCs w:val="22"/>
          <w:i w:val="1"/>
          <w:iCs w:val="1"/>
          <w:color w:val="2F2F45"/>
        </w:rPr>
        <w:t>Appoints Tracey Benford to Lead Independent Director</w:t>
      </w:r>
    </w:p>
    <w:p>
      <w:pPr>
        <w:spacing w:after="0" w:line="282" w:lineRule="exact"/>
        <w:rPr>
          <w:sz w:val="20"/>
          <w:szCs w:val="20"/>
          <w:color w:val="auto"/>
        </w:rPr>
      </w:pPr>
    </w:p>
    <w:p>
      <w:pPr>
        <w:ind w:right="60"/>
        <w:spacing w:after="0" w:line="254" w:lineRule="auto"/>
        <w:rPr>
          <w:sz w:val="20"/>
          <w:szCs w:val="20"/>
          <w:color w:val="auto"/>
        </w:rPr>
      </w:pPr>
      <w:r>
        <w:rPr>
          <w:rFonts w:ascii="Calibri" w:cs="Calibri" w:eastAsia="Calibri" w:hAnsi="Calibri"/>
          <w:sz w:val="21"/>
          <w:szCs w:val="21"/>
          <w:color w:val="2F2F45"/>
        </w:rPr>
        <w:t xml:space="preserve">DALLAS, June 17, 2024 (GLOBE NEWSWIRE) - </w:t>
      </w:r>
      <w:r>
        <w:rPr>
          <w:rFonts w:ascii="Calibri" w:cs="Calibri" w:eastAsia="Calibri" w:hAnsi="Calibri"/>
          <w:sz w:val="21"/>
          <w:szCs w:val="21"/>
          <w:u w:val="single" w:color="auto"/>
          <w:color w:val="A86629"/>
        </w:rPr>
        <w:t>P10, Inc.</w:t>
      </w:r>
      <w:r>
        <w:rPr>
          <w:rFonts w:ascii="Calibri" w:cs="Calibri" w:eastAsia="Calibri" w:hAnsi="Calibri"/>
          <w:sz w:val="21"/>
          <w:szCs w:val="21"/>
          <w:color w:val="2F2F45"/>
        </w:rPr>
        <w:t>(NYSE: PX) (the “Company”), a leading private markets solutons provider, announced the votng results of its Annual Meetng of Stockholders. All motons put forward by the Company were passed.</w:t>
      </w:r>
    </w:p>
    <w:p>
      <w:pPr>
        <w:spacing w:after="0" w:line="267" w:lineRule="exact"/>
        <w:rPr>
          <w:sz w:val="20"/>
          <w:szCs w:val="20"/>
          <w:color w:val="auto"/>
        </w:rPr>
      </w:pPr>
    </w:p>
    <w:p>
      <w:pPr>
        <w:jc w:val="both"/>
        <w:ind w:right="520"/>
        <w:spacing w:after="0" w:line="237" w:lineRule="auto"/>
        <w:rPr>
          <w:sz w:val="20"/>
          <w:szCs w:val="20"/>
          <w:color w:val="auto"/>
        </w:rPr>
      </w:pPr>
      <w:r>
        <w:rPr>
          <w:rFonts w:ascii="Calibri" w:cs="Calibri" w:eastAsia="Calibri" w:hAnsi="Calibri"/>
          <w:sz w:val="22"/>
          <w:szCs w:val="22"/>
          <w:color w:val="2F2F45"/>
        </w:rPr>
        <w:t>Additonally, the Board of Directors (the “Board”) of P10, Inc. appointed Tracey Benford to Lead Independent Director. Ms. Benford, who joined the Board in April of 2024, will contnue to serve on the Company’s Audit Commitee, Compensaton Commitee, and Nominatng and Corporate Governance Commitee.</w:t>
      </w:r>
    </w:p>
    <w:p>
      <w:pPr>
        <w:spacing w:after="0" w:line="284" w:lineRule="exact"/>
        <w:rPr>
          <w:sz w:val="20"/>
          <w:szCs w:val="20"/>
          <w:color w:val="auto"/>
        </w:rPr>
      </w:pPr>
    </w:p>
    <w:p>
      <w:pPr>
        <w:spacing w:after="0" w:line="238" w:lineRule="auto"/>
        <w:rPr>
          <w:sz w:val="20"/>
          <w:szCs w:val="20"/>
          <w:color w:val="auto"/>
        </w:rPr>
      </w:pPr>
      <w:r>
        <w:rPr>
          <w:rFonts w:ascii="Calibri" w:cs="Calibri" w:eastAsia="Calibri" w:hAnsi="Calibri"/>
          <w:sz w:val="22"/>
          <w:szCs w:val="22"/>
          <w:color w:val="2F2F45"/>
        </w:rPr>
        <w:t>“The Board is unifed in its view that Tracey will provide critcal industry expertse, strategic guidance, and prudent stewardship as Lead Independent Director,” said Luke Sarsfeld, P10 Chairman and Chief Executve Ofcer. “As P10 executes its growth plan, Tracey’s role establishes strong governance policy that will enable efectve oversight and support from our experienced, diverse Board.”</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color w:val="2F2F45"/>
        </w:rPr>
        <w:t>At the Annual Meetng, the Company’s stockholders:</w:t>
      </w:r>
    </w:p>
    <w:p>
      <w:pPr>
        <w:spacing w:after="0" w:line="122" w:lineRule="exact"/>
        <w:rPr>
          <w:sz w:val="20"/>
          <w:szCs w:val="20"/>
          <w:color w:val="auto"/>
        </w:rPr>
      </w:pPr>
    </w:p>
    <w:p>
      <w:pPr>
        <w:ind w:left="1020" w:right="160" w:hanging="503"/>
        <w:spacing w:after="0" w:line="235" w:lineRule="auto"/>
        <w:tabs>
          <w:tab w:leader="none" w:pos="1020" w:val="left"/>
        </w:tabs>
        <w:numPr>
          <w:ilvl w:val="0"/>
          <w:numId w:val="5"/>
        </w:numPr>
        <w:rPr>
          <w:rFonts w:ascii="Times New Roman" w:cs="Times New Roman" w:eastAsia="Times New Roman" w:hAnsi="Times New Roman"/>
          <w:sz w:val="22"/>
          <w:szCs w:val="22"/>
          <w:color w:val="2F2F45"/>
        </w:rPr>
      </w:pPr>
      <w:r>
        <w:rPr>
          <w:rFonts w:ascii="Calibri" w:cs="Calibri" w:eastAsia="Calibri" w:hAnsi="Calibri"/>
          <w:sz w:val="22"/>
          <w:szCs w:val="22"/>
          <w:color w:val="2F2F45"/>
        </w:rPr>
        <w:t>Elected three Class III Directors to serve on the Board untl the 2027 annual meetng of stockholders and untl their successors are duly elected and qualifed (Proposal 1);</w:t>
      </w:r>
    </w:p>
    <w:p>
      <w:pPr>
        <w:spacing w:after="0" w:line="122" w:lineRule="exact"/>
        <w:rPr>
          <w:rFonts w:ascii="Times New Roman" w:cs="Times New Roman" w:eastAsia="Times New Roman" w:hAnsi="Times New Roman"/>
          <w:sz w:val="22"/>
          <w:szCs w:val="22"/>
          <w:color w:val="2F2F45"/>
        </w:rPr>
      </w:pPr>
    </w:p>
    <w:p>
      <w:pPr>
        <w:ind w:left="1020" w:right="180" w:hanging="503"/>
        <w:spacing w:after="0" w:line="235" w:lineRule="auto"/>
        <w:tabs>
          <w:tab w:leader="none" w:pos="1020" w:val="left"/>
        </w:tabs>
        <w:numPr>
          <w:ilvl w:val="0"/>
          <w:numId w:val="5"/>
        </w:numPr>
        <w:rPr>
          <w:rFonts w:ascii="Times New Roman" w:cs="Times New Roman" w:eastAsia="Times New Roman" w:hAnsi="Times New Roman"/>
          <w:sz w:val="22"/>
          <w:szCs w:val="22"/>
          <w:color w:val="2F2F45"/>
        </w:rPr>
      </w:pPr>
      <w:r>
        <w:rPr>
          <w:rFonts w:ascii="Calibri" w:cs="Calibri" w:eastAsia="Calibri" w:hAnsi="Calibri"/>
          <w:sz w:val="22"/>
          <w:szCs w:val="22"/>
          <w:color w:val="2F2F45"/>
        </w:rPr>
        <w:t>Approved an amendment to the P10, Inc. 2021 Incentve Plan to increase the number of shares issuable under the Plan by 11,000,000 shares (Proposal 2); and</w:t>
      </w:r>
    </w:p>
    <w:p>
      <w:pPr>
        <w:spacing w:after="0" w:line="122" w:lineRule="exact"/>
        <w:rPr>
          <w:rFonts w:ascii="Times New Roman" w:cs="Times New Roman" w:eastAsia="Times New Roman" w:hAnsi="Times New Roman"/>
          <w:sz w:val="22"/>
          <w:szCs w:val="22"/>
          <w:color w:val="2F2F45"/>
        </w:rPr>
      </w:pPr>
    </w:p>
    <w:p>
      <w:pPr>
        <w:ind w:left="1020" w:right="40" w:hanging="503"/>
        <w:spacing w:after="0" w:line="235" w:lineRule="auto"/>
        <w:tabs>
          <w:tab w:leader="none" w:pos="1020" w:val="left"/>
        </w:tabs>
        <w:numPr>
          <w:ilvl w:val="0"/>
          <w:numId w:val="5"/>
        </w:numPr>
        <w:rPr>
          <w:rFonts w:ascii="Times New Roman" w:cs="Times New Roman" w:eastAsia="Times New Roman" w:hAnsi="Times New Roman"/>
          <w:sz w:val="22"/>
          <w:szCs w:val="22"/>
          <w:color w:val="2F2F45"/>
        </w:rPr>
      </w:pPr>
      <w:r>
        <w:rPr>
          <w:rFonts w:ascii="Calibri" w:cs="Calibri" w:eastAsia="Calibri" w:hAnsi="Calibri"/>
          <w:sz w:val="22"/>
          <w:szCs w:val="22"/>
          <w:color w:val="2F2F45"/>
        </w:rPr>
        <w:t>Ratfed the appointment of KPMG LLP as the Company’s independent registered public accountng frm to audit the Company’s fnancial statements for the fscal year ending December 31, 2024 (Proposal 3).</w:t>
      </w:r>
    </w:p>
    <w:p>
      <w:pPr>
        <w:spacing w:after="0" w:line="284" w:lineRule="exact"/>
        <w:rPr>
          <w:sz w:val="20"/>
          <w:szCs w:val="20"/>
          <w:color w:val="auto"/>
        </w:rPr>
      </w:pPr>
    </w:p>
    <w:p>
      <w:pPr>
        <w:ind w:right="280"/>
        <w:spacing w:after="0" w:line="235" w:lineRule="auto"/>
        <w:rPr>
          <w:sz w:val="20"/>
          <w:szCs w:val="20"/>
          <w:color w:val="auto"/>
        </w:rPr>
      </w:pPr>
      <w:r>
        <w:rPr>
          <w:rFonts w:ascii="Calibri" w:cs="Calibri" w:eastAsia="Calibri" w:hAnsi="Calibri"/>
          <w:sz w:val="22"/>
          <w:szCs w:val="22"/>
          <w:color w:val="2F2F45"/>
        </w:rPr>
        <w:t>For additonal informaton on these proposals, please see the Company’s Proxy Statement. The ofcial votng results for each item voted on by stockholders will be disclosed in a report to be fled with the Securites and Exchange Commission.</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About P10</w:t>
      </w:r>
    </w:p>
    <w:p>
      <w:pPr>
        <w:spacing w:after="0" w:line="282" w:lineRule="exact"/>
        <w:rPr>
          <w:sz w:val="20"/>
          <w:szCs w:val="20"/>
          <w:color w:val="auto"/>
        </w:rPr>
      </w:pPr>
    </w:p>
    <w:p>
      <w:pPr>
        <w:ind w:right="20"/>
        <w:spacing w:after="0" w:line="239" w:lineRule="auto"/>
        <w:rPr>
          <w:sz w:val="20"/>
          <w:szCs w:val="20"/>
          <w:color w:val="auto"/>
        </w:rPr>
      </w:pPr>
      <w:r>
        <w:rPr>
          <w:rFonts w:ascii="Calibri" w:cs="Calibri" w:eastAsia="Calibri" w:hAnsi="Calibri"/>
          <w:sz w:val="22"/>
          <w:szCs w:val="22"/>
          <w:color w:val="auto"/>
        </w:rPr>
        <w:t xml:space="preserve">P10 is a leading mult-asset class private markets solutons provider in the alternatve asset management industry. P10’s mission is to provide its investors diferentated access to a broad set of investment solutons that address their diverse investment needs within private markets. As of March 31, 2024, P10 has a global investor base of more than 3,600 investors across 50 states, 60 countries, and six contnents, which includes some of the world’s largest pension funds, endowments, foundatons, corporate pensions, and fnancial insttutons. Visit </w:t>
      </w:r>
      <w:r>
        <w:rPr>
          <w:rFonts w:ascii="Calibri" w:cs="Calibri" w:eastAsia="Calibri" w:hAnsi="Calibri"/>
          <w:sz w:val="22"/>
          <w:szCs w:val="22"/>
          <w:u w:val="single" w:color="auto"/>
          <w:color w:val="A86629"/>
        </w:rPr>
        <w:t>www.p10alts.com</w:t>
      </w:r>
      <w:r>
        <w:rPr>
          <w:rFonts w:ascii="Calibri" w:cs="Calibri" w:eastAsia="Calibri" w:hAnsi="Calibri"/>
          <w:sz w:val="22"/>
          <w:szCs w:val="22"/>
          <w:color w:val="auto"/>
        </w:rPr>
        <w:t>.</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Forward-Looking Statements</w:t>
      </w:r>
    </w:p>
    <w:p>
      <w:pPr>
        <w:spacing w:after="0" w:line="282" w:lineRule="exact"/>
        <w:rPr>
          <w:sz w:val="20"/>
          <w:szCs w:val="20"/>
          <w:color w:val="auto"/>
        </w:rPr>
      </w:pPr>
    </w:p>
    <w:p>
      <w:pPr>
        <w:ind w:right="40"/>
        <w:spacing w:after="0" w:line="238" w:lineRule="auto"/>
        <w:rPr>
          <w:sz w:val="20"/>
          <w:szCs w:val="20"/>
          <w:color w:val="auto"/>
        </w:rPr>
      </w:pPr>
      <w:r>
        <w:rPr>
          <w:rFonts w:ascii="Calibri" w:cs="Calibri" w:eastAsia="Calibri" w:hAnsi="Calibri"/>
          <w:sz w:val="22"/>
          <w:szCs w:val="22"/>
          <w:color w:val="302C45"/>
        </w:rPr>
        <w:t>Some of the statements in this release may consttute “forward-looking statements” within the meaning of Secton 27A of the Securites Act of 1933, Secton 21E of the Securites Exchange Act of 1934 and the Private Securites Litgaton Reform Act of 1995. Words such as “will,” “expect,” “believe,” “estmate,” “contnue,” “antcipate,” “intend,” “plan” and similar expressions are intended to identfy these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48715" cy="540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40385"/>
                    </a:xfrm>
                    <a:prstGeom prst="rect">
                      <a:avLst/>
                    </a:prstGeom>
                    <a:noFill/>
                  </pic:spPr>
                </pic:pic>
              </a:graphicData>
            </a:graphic>
          </wp:anchor>
        </w:drawing>
      </w:r>
    </w:p>
    <w:p>
      <w:pPr>
        <w:spacing w:after="0" w:line="252" w:lineRule="auto"/>
        <w:rPr>
          <w:sz w:val="20"/>
          <w:szCs w:val="20"/>
          <w:color w:val="auto"/>
        </w:rPr>
      </w:pPr>
      <w:r>
        <w:rPr>
          <w:rFonts w:ascii="Calibri" w:cs="Calibri" w:eastAsia="Calibri" w:hAnsi="Calibri"/>
          <w:sz w:val="21"/>
          <w:szCs w:val="21"/>
          <w:color w:val="302C45"/>
        </w:rPr>
        <w:t>statements. Forward-looking statements discuss management’s current expectatons and projectons relatng to our fnancial positon, results of operatons, plans, objectves, future performance, and business. The inclusion of any forward-looking informaton in this release should not be regarded as a representaton that the future plans, estmates, or expectatons contemplated will be achieved. Forward-looking statements refect management’s current plans, estmates, and expectatons, and are inherently uncertain. All forward-looking statements are subject to known and unknown risks, uncertaintes, assumptons and other important factors that may cause actual results to be materially diferent, global and domestc market and business conditons; successful executon of business and growth strategies and regulatory factors relevant to our business; changes in our tax status; our ability to maintain our fee structure; our ability to atract and retain key employees; our ability to manage our obligatons under our debt agreements; our ability to make acquisitons and successfully integrate the businesses we acquire; assumptons relatng to our operatons, fnancial results, fnancial conditon, business prospects, growth strategy; and our ability to manage the efects of events outside of our control. The foregoing list of factors is not exhaustve. For more informaton regarding these risks and uncertaintes as well as additonal risks that we face, you should refer to the “Risk Factors” included in our annual report on Form 10-K for the year ended December 31, 2023, fled with the U.S. Securites and Exchange Commission (“SEC”) on March 13, 2024, and in our subsequent reports fled from tme to tme with the SEC. The forward-looking statements included in this release are made only as of the date hereof. We undertake no obligaton to update or revise any forward-looking statement as a result of new informaton or future events, except as otherwise required by law.</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Ownership Limitatons</w:t>
      </w:r>
    </w:p>
    <w:p>
      <w:pPr>
        <w:spacing w:after="0" w:line="284" w:lineRule="exact"/>
        <w:rPr>
          <w:sz w:val="20"/>
          <w:szCs w:val="20"/>
          <w:color w:val="auto"/>
        </w:rPr>
      </w:pPr>
    </w:p>
    <w:p>
      <w:pPr>
        <w:ind w:right="140"/>
        <w:spacing w:after="0" w:line="237" w:lineRule="auto"/>
        <w:rPr>
          <w:sz w:val="20"/>
          <w:szCs w:val="20"/>
          <w:color w:val="auto"/>
        </w:rPr>
      </w:pPr>
      <w:r>
        <w:rPr>
          <w:rFonts w:ascii="Calibri" w:cs="Calibri" w:eastAsia="Calibri" w:hAnsi="Calibri"/>
          <w:sz w:val="22"/>
          <w:szCs w:val="22"/>
          <w:color w:val="302C45"/>
        </w:rPr>
        <w:t>P10’s Certfcate of Incorporaton contains certain provisions for the protecton of tax benefts relatng to P10’s net operatng losses. Such provisions generally void transfers of shares that would result in the creaton of a new 4.99% shareholder or result in an existng 4.99% shareholder acquiring additonal shares of P10.</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P10 Investor Contact:</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info@p10alts.com</w:t>
      </w:r>
    </w:p>
    <w:p>
      <w:pPr>
        <w:spacing w:after="0" w:line="26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F2F45"/>
        </w:rPr>
        <w:t>P10 Media Contact:</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2F2F45"/>
        </w:rPr>
        <w:t>Josh Clarkson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jclarkson@prosek.com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2024-06-17T11:49:49Z</dcterms:created>
  <dcterms:modified xsi:type="dcterms:W3CDTF">2024-06-17T11:49:49Z</dcterms:modified>
</cp:coreProperties>
</file>