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Gwilliam Scott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06/14/2024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21,875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jc w:val="right"/>
              <w:ind w:right="274"/>
              <w:spacing w:after="0"/>
              <w:rPr>
                <w:sz w:val="20"/>
                <w:szCs w:val="20"/>
                <w:color w:val="auto"/>
              </w:rPr>
            </w:pPr>
            <w:r>
              <w:rPr>
                <w:rFonts w:ascii="Times New Roman" w:cs="Times New Roman" w:eastAsia="Times New Roman" w:hAnsi="Times New Roman"/>
                <w:sz w:val="17"/>
                <w:szCs w:val="17"/>
                <w:color w:val="0000FF"/>
              </w:rPr>
              <w:t>47,090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Gwilliam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0000FF"/>
              </w:rPr>
              <w:t>200,000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awarded a total of 21,875 shares of restricted stock, all of which will vest on the first anniversary of the grant date, provided that the reporting person remains in continuous service with the Issuer through such date.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89691"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2024-06-18T19:54:34Z</dcterms:created>
  <dcterms:modified xsi:type="dcterms:W3CDTF">2024-06-18T19:54:34Z</dcterms:modified>
</cp:coreProperties>
</file>