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Inc.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ind w:right="7460"/>
        <w:spacing w:after="0"/>
        <w:rPr>
          <w:sz w:val="20"/>
          <w:szCs w:val="20"/>
          <w:color w:val="auto"/>
        </w:rPr>
      </w:pPr>
      <w:r>
        <w:rPr>
          <w:rFonts w:ascii="Arial" w:cs="Arial" w:eastAsia="Arial" w:hAnsi="Arial"/>
          <w:sz w:val="22"/>
          <w:szCs w:val="22"/>
          <w:color w:val="auto"/>
        </w:rPr>
        <w:t>Delaware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2994917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2994917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2994917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2128 W. Braker Lane, BK12, Austin, TX 78758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760" w:right="5340" w:hanging="874"/>
        <w:spacing w:after="0" w:line="432" w:lineRule="auto"/>
        <w:tabs>
          <w:tab w:leader="none" w:pos="1328" w:val="left"/>
        </w:tabs>
        <w:numPr>
          <w:ilvl w:val="0"/>
          <w:numId w:val="9"/>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 1299 Ocean Avenue, 11th Floor, Santa Monica, CA 90401</w:t>
      </w: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58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00504W100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2994917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6.14%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4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2994917 **see Note 1**</w:t>
      </w:r>
    </w:p>
    <w:p>
      <w:pPr>
        <w:spacing w:after="0" w:line="24" w:lineRule="exact"/>
        <w:rPr>
          <w:rFonts w:ascii="Arial" w:cs="Arial" w:eastAsia="Arial" w:hAnsi="Arial"/>
          <w:sz w:val="18"/>
          <w:szCs w:val="18"/>
          <w:color w:val="auto"/>
        </w:rPr>
      </w:pPr>
    </w:p>
    <w:p>
      <w:pPr>
        <w:ind w:left="2500" w:right="632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2994917 **see Note 1**</w:t>
      </w:r>
    </w:p>
    <w:p>
      <w:pPr>
        <w:spacing w:after="0" w:line="24" w:lineRule="exact"/>
        <w:rPr>
          <w:rFonts w:ascii="Arial" w:cs="Arial" w:eastAsia="Arial" w:hAnsi="Arial"/>
          <w:sz w:val="18"/>
          <w:szCs w:val="18"/>
          <w:color w:val="auto"/>
        </w:rPr>
      </w:pPr>
    </w:p>
    <w:p>
      <w:pPr>
        <w:ind w:left="2500" w:right="54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9"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340"/>
        <w:spacing w:after="0" w:line="253" w:lineRule="auto"/>
        <w:rPr>
          <w:sz w:val="20"/>
          <w:szCs w:val="20"/>
          <w:color w:val="auto"/>
        </w:rPr>
      </w:pPr>
      <w:r>
        <w:rPr>
          <w:rFonts w:ascii="Arial" w:cs="Arial" w:eastAsia="Arial" w:hAnsi="Arial"/>
          <w:sz w:val="18"/>
          <w:szCs w:val="18"/>
          <w:color w:val="auto"/>
        </w:rPr>
        <w:t>All securities reported in this schedule are owned by advisory clients of Dimensional Fund Advisors Inc., no one of which, to the knowledge of Dimensional Fund Advisors, Inc., owns more than 5% of the class. Dimensional Fund Advisors Inc. disclaims beneficial ownership of all such securities.</w:t>
      </w:r>
    </w:p>
    <w:p>
      <w:pPr>
        <w:ind w:left="920" w:right="340" w:hanging="917"/>
        <w:spacing w:after="0" w:line="261"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40"/>
          </w:cols>
          <w:pgMar w:left="240" w:top="239" w:right="31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Catherine L.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2019-12-12T01:42:53Z</dcterms:created>
  <dcterms:modified xsi:type="dcterms:W3CDTF">2019-12-12T01:42:53Z</dcterms:modified>
</cp:coreProperties>
</file>