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3"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June 30, 2024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4"/>
          <w:szCs w:val="24"/>
          <w:color w:val="auto"/>
        </w:rPr>
      </w:pPr>
    </w:p>
    <w:tbl>
      <w:tblPr>
        <w:tblLayout w:type="fixed"/>
        <w:tblInd w:w="1620" w:type="dxa"/>
        <w:tblCellMar>
          <w:top w:w="0" w:type="dxa"/>
          <w:left w:w="0" w:type="dxa"/>
          <w:bottom w:w="0" w:type="dxa"/>
          <w:right w:w="0" w:type="dxa"/>
        </w:tblCellMar>
      </w:tblP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2"/>
        </w:trPr>
        <w:tc>
          <w:tcPr>
            <w:tcW w:w="6160" w:type="dxa"/>
            <w:vAlign w:val="bottom"/>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48"/>
        </w:trPr>
        <w:tc>
          <w:tcPr>
            <w:tcW w:w="6160" w:type="dxa"/>
            <w:vAlign w:val="bottom"/>
          </w:tcPr>
          <w:p>
            <w:pPr>
              <w:jc w:val="center"/>
              <w:ind w:right="3708"/>
              <w:spacing w:after="0" w:line="149" w:lineRule="exact"/>
              <w:rPr>
                <w:sz w:val="20"/>
                <w:szCs w:val="20"/>
                <w:color w:val="auto"/>
              </w:rPr>
            </w:pPr>
            <w:r>
              <w:rPr>
                <w:rFonts w:ascii="Times New Roman" w:cs="Times New Roman" w:eastAsia="Times New Roman" w:hAnsi="Times New Roman"/>
                <w:sz w:val="14"/>
                <w:szCs w:val="14"/>
                <w:b w:val="1"/>
                <w:bCs w:val="1"/>
                <w:color w:val="auto"/>
              </w:rPr>
              <w:t>4514 Cole Ave, Suite 1600</w:t>
            </w:r>
          </w:p>
        </w:tc>
        <w:tc>
          <w:tcPr>
            <w:tcW w:w="122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75205</w:t>
            </w: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Dallas, TX</w:t>
            </w:r>
          </w:p>
        </w:tc>
        <w:tc>
          <w:tcPr>
            <w:tcW w:w="1220" w:type="dxa"/>
            <w:vAlign w:val="bottom"/>
          </w:tcPr>
          <w:p>
            <w:pPr>
              <w:spacing w:after="0"/>
              <w:rPr>
                <w:sz w:val="14"/>
                <w:szCs w:val="14"/>
                <w:color w:val="auto"/>
              </w:rPr>
            </w:pP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1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1220" w:type="dxa"/>
            <w:vAlign w:val="bottom"/>
          </w:tcPr>
          <w:p>
            <w:pPr>
              <w:spacing w:after="0"/>
              <w:rPr>
                <w:sz w:val="16"/>
                <w:szCs w:val="16"/>
                <w:color w:val="auto"/>
              </w:rPr>
            </w:pPr>
          </w:p>
        </w:tc>
      </w:tr>
    </w:tbl>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19"/>
        </w:trPr>
        <w:tc>
          <w:tcPr>
            <w:tcW w:w="496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auto"/>
              </w:rPr>
              <w:t>Class A Common Stock, $0.001 par value per share</w:t>
            </w:r>
          </w:p>
        </w:tc>
        <w:tc>
          <w:tcPr>
            <w:tcW w:w="1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PX</w:t>
            </w:r>
          </w:p>
        </w:tc>
        <w:tc>
          <w:tcPr>
            <w:tcW w:w="220" w:type="dxa"/>
            <w:vAlign w:val="bottom"/>
          </w:tcPr>
          <w:p>
            <w:pPr>
              <w:spacing w:after="0"/>
              <w:rPr>
                <w:sz w:val="10"/>
                <w:szCs w:val="10"/>
                <w:color w:val="auto"/>
              </w:rPr>
            </w:pPr>
          </w:p>
        </w:tc>
        <w:tc>
          <w:tcPr>
            <w:tcW w:w="48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NYSE</w:t>
            </w:r>
          </w:p>
        </w:tc>
      </w:tr>
      <w:tr>
        <w:trPr>
          <w:trHeight w:val="188"/>
        </w:trPr>
        <w:tc>
          <w:tcPr>
            <w:tcW w:w="4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Series A Junior Participating Preferred Stock Purchase Rights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tcPr>
          <w:p>
            <w:pPr>
              <w:spacing w:after="0"/>
              <w:rPr>
                <w:sz w:val="16"/>
                <w:szCs w:val="16"/>
                <w:color w:val="auto"/>
              </w:rPr>
            </w:pPr>
          </w:p>
        </w:tc>
      </w:tr>
    </w:tbl>
    <w:p>
      <w:pPr>
        <w:spacing w:after="0" w:line="122"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52"/>
        </w:trPr>
        <w:tc>
          <w:tcPr>
            <w:tcW w:w="6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2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00" w:type="dxa"/>
            <w:vAlign w:val="bottom"/>
          </w:tcPr>
          <w:p>
            <w:pPr>
              <w:spacing w:after="0"/>
              <w:rPr>
                <w:sz w:val="13"/>
                <w:szCs w:val="13"/>
                <w:color w:val="auto"/>
              </w:rPr>
            </w:pPr>
          </w:p>
        </w:tc>
      </w:tr>
      <w:tr>
        <w:trPr>
          <w:trHeight w:val="148"/>
        </w:trPr>
        <w:tc>
          <w:tcPr>
            <w:tcW w:w="10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300" w:type="dxa"/>
            <w:vAlign w:val="bottom"/>
          </w:tcPr>
          <w:p>
            <w:pPr>
              <w:spacing w:after="0"/>
              <w:rPr>
                <w:sz w:val="12"/>
                <w:szCs w:val="12"/>
                <w:color w:val="auto"/>
              </w:rPr>
            </w:pPr>
          </w:p>
        </w:tc>
      </w:tr>
      <w:tr>
        <w:trPr>
          <w:trHeight w:val="188"/>
        </w:trPr>
        <w:tc>
          <w:tcPr>
            <w:tcW w:w="10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300" w:type="dxa"/>
            <w:vAlign w:val="bottom"/>
          </w:tcPr>
          <w:p>
            <w:pPr>
              <w:spacing w:after="0"/>
              <w:rPr>
                <w:sz w:val="16"/>
                <w:szCs w:val="16"/>
                <w:color w:val="auto"/>
              </w:rPr>
            </w:pPr>
          </w:p>
        </w:tc>
      </w:tr>
      <w:tr>
        <w:trPr>
          <w:trHeight w:val="26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4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5, 2024, there were 53,971,647 shares of the registrant's Class A common stock and 57,707,251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4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30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560" w:type="dxa"/>
            <w:vAlign w:val="bottom"/>
            <w:gridSpan w:val="3"/>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20" w:type="dxa"/>
            <w:vAlign w:val="bottom"/>
            <w:tcBorders>
              <w:bottom w:val="single" w:sz="8" w:color="0000EE"/>
            </w:tcBorders>
          </w:tcPr>
          <w:p>
            <w:pPr>
              <w:spacing w:after="0"/>
              <w:rPr>
                <w:sz w:val="18"/>
                <w:szCs w:val="18"/>
                <w:color w:val="auto"/>
              </w:rPr>
            </w:pPr>
          </w:p>
        </w:tc>
        <w:tc>
          <w:tcPr>
            <w:tcW w:w="53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9"/>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gridSpan w:val="2"/>
          </w:tcPr>
          <w:p>
            <w:pPr>
              <w:spacing w:after="0"/>
              <w:rPr>
                <w:sz w:val="24"/>
                <w:szCs w:val="24"/>
                <w:color w:val="auto"/>
              </w:rPr>
            </w:pPr>
          </w:p>
        </w:tc>
        <w:tc>
          <w:tcPr>
            <w:tcW w:w="930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13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337"/>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5"/>
        </w:trPr>
        <w:tc>
          <w:tcPr>
            <w:tcW w:w="5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31,244</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receivable</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57,696</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subsidiaries</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payments to customers</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37,518</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 net</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110,320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100" w:type="dxa"/>
            <w:vAlign w:val="bottom"/>
            <w:tcBorders>
              <w:bottom w:val="single" w:sz="8" w:color="CFF0FC"/>
            </w:tcBorders>
          </w:tcPr>
          <w:p>
            <w:pPr>
              <w:spacing w:after="0"/>
              <w:rPr>
                <w:sz w:val="20"/>
                <w:szCs w:val="20"/>
                <w:color w:val="auto"/>
              </w:rPr>
            </w:pPr>
          </w:p>
        </w:tc>
      </w:tr>
      <w:tr>
        <w:trPr>
          <w:trHeight w:val="277"/>
        </w:trPr>
        <w:tc>
          <w:tcPr>
            <w:tcW w:w="5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823,222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related parties</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contingent liabilities</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shd w:val="clear" w:color="auto" w:fill="CFF0FC"/>
          </w:tcPr>
          <w:p>
            <w:pPr>
              <w:spacing w:after="0"/>
              <w:rPr>
                <w:sz w:val="21"/>
                <w:szCs w:val="21"/>
                <w:color w:val="auto"/>
              </w:rPr>
            </w:pPr>
          </w:p>
        </w:tc>
      </w:tr>
      <w:tr>
        <w:trPr>
          <w:trHeight w:val="26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obligations</w:t>
            </w:r>
          </w:p>
        </w:tc>
        <w:tc>
          <w:tcPr>
            <w:tcW w:w="2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300,631</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100" w:type="dxa"/>
            <w:vAlign w:val="bottom"/>
          </w:tcPr>
          <w:p>
            <w:pPr>
              <w:spacing w:after="0"/>
              <w:rPr>
                <w:sz w:val="22"/>
                <w:szCs w:val="22"/>
                <w:color w:val="auto"/>
              </w:rPr>
            </w:pPr>
          </w:p>
        </w:tc>
      </w:tr>
      <w:tr>
        <w:trPr>
          <w:trHeight w:val="230"/>
        </w:trPr>
        <w:tc>
          <w:tcPr>
            <w:tcW w:w="554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13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426,355</w:t>
            </w:r>
          </w:p>
        </w:tc>
        <w:tc>
          <w:tcPr>
            <w:tcW w:w="2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408,912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common stock, $0.001 par value; 510,000,000 shares authorized;</w:t>
            </w:r>
          </w:p>
        </w:tc>
        <w:tc>
          <w:tcPr>
            <w:tcW w:w="23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60,405,928 issued and</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53,471,354 outstanding as of June 30, 2024, and 59,340,269 issued and 57,622,895 outstanding as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December 31, 2023, respectively</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18"/>
        </w:trPr>
        <w:tc>
          <w:tcPr>
            <w:tcW w:w="78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B common stock, $0.001 par value; 180,000,000 shares authorized; 58,330,995 shares</w:t>
            </w: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58,207,544 shares outstanding as of June 30, 2024, and 58,597,718 shares issued and</w:t>
            </w: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58,474,267 shares outstanding as of December 31, 2023, respectively</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(60,085 )</w:t>
            </w:r>
          </w:p>
        </w:tc>
        <w:tc>
          <w:tcPr>
            <w:tcW w:w="2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(17,588 )</w:t>
            </w: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637,971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636,073</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(220,998 )</w:t>
            </w:r>
          </w:p>
        </w:tc>
        <w:tc>
          <w:tcPr>
            <w:tcW w:w="2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(233,012 )</w:t>
            </w:r>
          </w:p>
        </w:tc>
      </w:tr>
      <w:tr>
        <w:trPr>
          <w:trHeight w:val="243"/>
        </w:trPr>
        <w:tc>
          <w:tcPr>
            <w:tcW w:w="5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39,868</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396,867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100" w:type="dxa"/>
            <w:vAlign w:val="bottom"/>
          </w:tcPr>
          <w:p>
            <w:pPr>
              <w:spacing w:after="0"/>
              <w:rPr>
                <w:sz w:val="20"/>
                <w:szCs w:val="20"/>
                <w:color w:val="auto"/>
              </w:rPr>
            </w:pPr>
          </w:p>
        </w:tc>
      </w:tr>
      <w:tr>
        <w:trPr>
          <w:trHeight w:val="279"/>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823,222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-4028440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-4011295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-4191000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1960" w:type="dxa"/>
            <w:vAlign w:val="bottom"/>
            <w:gridSpan w:val="5"/>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Pr>
          <w:p>
            <w:pPr>
              <w:spacing w:after="0"/>
              <w:rPr>
                <w:sz w:val="16"/>
                <w:szCs w:val="16"/>
                <w:color w:val="auto"/>
              </w:rPr>
            </w:pPr>
          </w:p>
        </w:tc>
        <w:tc>
          <w:tcPr>
            <w:tcW w:w="196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2"/>
        </w:trPr>
        <w:tc>
          <w:tcPr>
            <w:tcW w:w="6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5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68,475</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61,657</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133,597</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118,244</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119,725</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71,953</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54,237</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52,148</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108,253</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104,530</w:t>
            </w:r>
          </w:p>
        </w:tc>
        <w:tc>
          <w:tcPr>
            <w:tcW w:w="100" w:type="dxa"/>
            <w:vAlign w:val="bottom"/>
          </w:tcPr>
          <w:p>
            <w:pPr>
              <w:spacing w:after="0"/>
              <w:rPr>
                <w:sz w:val="20"/>
                <w:szCs w:val="20"/>
                <w:color w:val="auto"/>
              </w:rPr>
            </w:pPr>
          </w:p>
        </w:tc>
      </w:tr>
      <w:tr>
        <w:trPr>
          <w:trHeight w:val="241"/>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28,938</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00" w:type="dxa"/>
            <w:vAlign w:val="bottom"/>
            <w:shd w:val="clear" w:color="auto" w:fill="CFF0FC"/>
          </w:tcPr>
          <w:p>
            <w:pPr>
              <w:spacing w:after="0"/>
              <w:rPr>
                <w:sz w:val="20"/>
                <w:szCs w:val="20"/>
                <w:color w:val="auto"/>
              </w:rPr>
            </w:pPr>
          </w:p>
        </w:tc>
      </w:tr>
      <w:tr>
        <w:trPr>
          <w:trHeight w:val="241"/>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8"/>
                <w:szCs w:val="18"/>
                <w:color w:val="auto"/>
              </w:rPr>
              <w:t>(6,115 )</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(5,426 )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(11,891 )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(10,598 )</w:t>
            </w:r>
          </w:p>
        </w:tc>
      </w:tr>
      <w:tr>
        <w:trPr>
          <w:trHeight w:val="263"/>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(loss)</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(832 )</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(719 )</w:t>
            </w:r>
          </w:p>
        </w:tc>
      </w:tr>
      <w:tr>
        <w:trPr>
          <w:trHeight w:val="226"/>
        </w:trPr>
        <w:tc>
          <w:tcPr>
            <w:tcW w:w="674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420" w:type="dxa"/>
            <w:vAlign w:val="bottom"/>
            <w:tcBorders>
              <w:top w:val="single" w:sz="8" w:color="CFF0FC"/>
            </w:tcBorders>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300" w:type="dxa"/>
            <w:vAlign w:val="bottom"/>
            <w:tcBorders>
              <w:top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(10,829 )</w:t>
            </w: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8"/>
        </w:trPr>
        <w:tc>
          <w:tcPr>
            <w:tcW w:w="6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4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18,109</w:t>
            </w:r>
          </w:p>
        </w:tc>
        <w:tc>
          <w:tcPr>
            <w:tcW w:w="3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top w:val="single" w:sz="8" w:color="CFF0FC"/>
            </w:tcBorders>
          </w:tcPr>
          <w:p>
            <w:pPr>
              <w:spacing w:after="0"/>
              <w:rPr>
                <w:sz w:val="21"/>
                <w:szCs w:val="21"/>
                <w:color w:val="auto"/>
              </w:rPr>
            </w:pPr>
          </w:p>
        </w:tc>
      </w:tr>
      <w:tr>
        <w:trPr>
          <w:trHeight w:val="27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8"/>
                <w:szCs w:val="18"/>
                <w:color w:val="auto"/>
              </w:rPr>
              <w:t>(3,718 )</w:t>
            </w:r>
          </w:p>
        </w:tc>
        <w:tc>
          <w:tcPr>
            <w:tcW w:w="180" w:type="dxa"/>
            <w:vAlign w:val="bottom"/>
            <w:shd w:val="clear" w:color="auto" w:fill="CFF0FC"/>
          </w:tcPr>
          <w:p>
            <w:pPr>
              <w:spacing w:after="0"/>
              <w:rPr>
                <w:sz w:val="23"/>
                <w:szCs w:val="23"/>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(1,964 )</w:t>
            </w:r>
          </w:p>
        </w:tc>
        <w:tc>
          <w:tcPr>
            <w:tcW w:w="180" w:type="dxa"/>
            <w:vAlign w:val="bottom"/>
            <w:shd w:val="clear" w:color="auto" w:fill="CFF0FC"/>
          </w:tcPr>
          <w:p>
            <w:pPr>
              <w:spacing w:after="0"/>
              <w:rPr>
                <w:sz w:val="23"/>
                <w:szCs w:val="23"/>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(5,476 )</w:t>
            </w:r>
          </w:p>
        </w:tc>
        <w:tc>
          <w:tcPr>
            <w:tcW w:w="16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(1,007 )</w:t>
            </w:r>
          </w:p>
        </w:tc>
      </w:tr>
      <w:tr>
        <w:trPr>
          <w:trHeight w:val="226"/>
        </w:trPr>
        <w:tc>
          <w:tcPr>
            <w:tcW w:w="6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42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38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CFF0FC"/>
            </w:tcBorders>
          </w:tcPr>
          <w:p>
            <w:pPr>
              <w:spacing w:after="0"/>
              <w:rPr>
                <w:sz w:val="19"/>
                <w:szCs w:val="19"/>
                <w:color w:val="auto"/>
              </w:rPr>
            </w:pPr>
          </w:p>
        </w:tc>
      </w:tr>
      <w:tr>
        <w:trPr>
          <w:trHeight w:val="254"/>
        </w:trPr>
        <w:tc>
          <w:tcPr>
            <w:tcW w:w="6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in P10 Intermediate</w:t>
            </w: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8"/>
                <w:szCs w:val="18"/>
                <w:color w:val="auto"/>
              </w:rPr>
              <w:t>(397 )</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(339 )</w:t>
            </w: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(619 )</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(503 )</w:t>
            </w:r>
          </w:p>
        </w:tc>
      </w:tr>
      <w:tr>
        <w:trPr>
          <w:trHeight w:val="238"/>
        </w:trPr>
        <w:tc>
          <w:tcPr>
            <w:tcW w:w="6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P10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4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3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top w:val="single" w:sz="8" w:color="CFF0FC"/>
            </w:tcBorders>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r>
      <w:tr>
        <w:trPr>
          <w:trHeight w:val="22"/>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116,063</w:t>
            </w:r>
          </w:p>
        </w:tc>
        <w:tc>
          <w:tcPr>
            <w:tcW w:w="100" w:type="dxa"/>
            <w:vAlign w:val="bottom"/>
          </w:tcPr>
          <w:p>
            <w:pPr>
              <w:spacing w:after="0"/>
              <w:rPr>
                <w:sz w:val="20"/>
                <w:szCs w:val="20"/>
                <w:color w:val="auto"/>
              </w:rPr>
            </w:pPr>
          </w:p>
        </w:tc>
      </w:tr>
      <w:tr>
        <w:trPr>
          <w:trHeight w:val="22"/>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120,098</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123,874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121,469</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100" w:type="dxa"/>
            <w:vAlign w:val="bottom"/>
            <w:shd w:val="clear" w:color="auto" w:fill="CFF0FC"/>
          </w:tcPr>
          <w:p>
            <w:pPr>
              <w:spacing w:after="0"/>
              <w:rPr>
                <w:sz w:val="20"/>
                <w:szCs w:val="20"/>
                <w:color w:val="auto"/>
              </w:rPr>
            </w:pPr>
          </w:p>
        </w:tc>
      </w:tr>
      <w:tr>
        <w:trPr>
          <w:trHeight w:val="22"/>
        </w:trPr>
        <w:tc>
          <w:tcPr>
            <w:tcW w:w="67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-4191000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-4191000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-4191000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-2948305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-2948305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-2948305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-2163445</wp:posOffset>
            </wp:positionV>
            <wp:extent cx="10287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-2163445</wp:posOffset>
            </wp:positionV>
            <wp:extent cx="10287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-1988185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-2163445</wp:posOffset>
            </wp:positionV>
            <wp:extent cx="93980"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-1662430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-1666240</wp:posOffset>
            </wp:positionV>
            <wp:extent cx="10287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-1666240</wp:posOffset>
            </wp:positionV>
            <wp:extent cx="10287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-1165225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-1165225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-1165225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ectPr>
          <w:pgSz w:w="11900" w:h="16838" w:orient="portrait"/>
          <w:cols w:equalWidth="0" w:num="1">
            <w:col w:w="11180"/>
          </w:cols>
          <w:pgMar w:left="320" w:top="108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p>
      <w:pPr>
        <w:spacing w:after="0" w:line="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Net Income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p>
      <w:pPr>
        <w:spacing w:after="0" w:line="2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Exchange of Class B common stock for Class A common stock</w:t>
      </w:r>
    </w:p>
    <w:p>
      <w:pPr>
        <w:ind w:left="200" w:right="160"/>
        <w:spacing w:after="0" w:line="256" w:lineRule="auto"/>
        <w:rPr>
          <w:sz w:val="20"/>
          <w:szCs w:val="20"/>
          <w:color w:val="auto"/>
        </w:rPr>
      </w:pPr>
      <w:r>
        <w:rPr>
          <w:rFonts w:ascii="Times New Roman" w:cs="Times New Roman" w:eastAsia="Times New Roman" w:hAnsi="Times New Roman"/>
          <w:sz w:val="11"/>
          <w:szCs w:val="11"/>
          <w:color w:val="auto"/>
        </w:rPr>
        <w:t>Exercise of stock options (net of tax and strike price)</w:t>
      </w:r>
    </w:p>
    <w:p>
      <w:pPr>
        <w:ind w:left="200" w:right="20"/>
        <w:spacing w:after="0" w:line="243" w:lineRule="auto"/>
        <w:rPr>
          <w:sz w:val="20"/>
          <w:szCs w:val="20"/>
          <w:color w:val="auto"/>
        </w:rPr>
      </w:pPr>
      <w:r>
        <w:rPr>
          <w:rFonts w:ascii="Times New Roman" w:cs="Times New Roman" w:eastAsia="Times New Roman" w:hAnsi="Times New Roman"/>
          <w:sz w:val="11"/>
          <w:szCs w:val="11"/>
          <w:color w:val="auto"/>
        </w:rPr>
        <w:t>Repurchase of common stock for employee tax witholding and exercised stock option strike price</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right="8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right="38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ind w:left="200"/>
        <w:spacing w:after="0"/>
        <w:rPr>
          <w:sz w:val="20"/>
          <w:szCs w:val="20"/>
          <w:color w:val="auto"/>
        </w:rPr>
      </w:pPr>
      <w:r>
        <w:rPr>
          <w:rFonts w:ascii="Times New Roman" w:cs="Times New Roman" w:eastAsia="Times New Roman" w:hAnsi="Times New Roman"/>
          <w:sz w:val="11"/>
          <w:szCs w:val="11"/>
          <w:color w:val="auto"/>
        </w:rPr>
        <w:t>Dividends declared</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p>
      <w:pPr>
        <w:spacing w:after="0" w:line="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Net Income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p>
      <w:pPr>
        <w:spacing w:after="0" w:line="2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Exchange of Class B common stock for Class A common stock</w:t>
      </w:r>
    </w:p>
    <w:p>
      <w:pPr>
        <w:ind w:left="200" w:right="160"/>
        <w:spacing w:after="0" w:line="256" w:lineRule="auto"/>
        <w:rPr>
          <w:sz w:val="20"/>
          <w:szCs w:val="20"/>
          <w:color w:val="auto"/>
        </w:rPr>
      </w:pPr>
      <w:r>
        <w:rPr>
          <w:rFonts w:ascii="Times New Roman" w:cs="Times New Roman" w:eastAsia="Times New Roman" w:hAnsi="Times New Roman"/>
          <w:sz w:val="11"/>
          <w:szCs w:val="11"/>
          <w:color w:val="auto"/>
        </w:rPr>
        <w:t>Exercise of stock options (net of tax and strike price)</w:t>
      </w:r>
    </w:p>
    <w:p>
      <w:pPr>
        <w:ind w:left="200" w:right="20"/>
        <w:spacing w:after="0" w:line="243" w:lineRule="auto"/>
        <w:rPr>
          <w:sz w:val="20"/>
          <w:szCs w:val="20"/>
          <w:color w:val="auto"/>
        </w:rPr>
      </w:pPr>
      <w:r>
        <w:rPr>
          <w:rFonts w:ascii="Times New Roman" w:cs="Times New Roman" w:eastAsia="Times New Roman" w:hAnsi="Times New Roman"/>
          <w:sz w:val="11"/>
          <w:szCs w:val="11"/>
          <w:color w:val="auto"/>
        </w:rPr>
        <w:t>Repurchase of common stock for employee tax witholding and exercised stock option strike price</w:t>
      </w:r>
    </w:p>
    <w:p>
      <w:pPr>
        <w:spacing w:after="0" w:line="7" w:lineRule="exact"/>
        <w:rPr>
          <w:sz w:val="20"/>
          <w:szCs w:val="20"/>
          <w:color w:val="auto"/>
        </w:rPr>
      </w:pPr>
    </w:p>
    <w:p>
      <w:pPr>
        <w:ind w:left="200" w:right="38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ind w:left="200"/>
        <w:spacing w:after="0"/>
        <w:rPr>
          <w:sz w:val="20"/>
          <w:szCs w:val="20"/>
          <w:color w:val="auto"/>
        </w:rPr>
      </w:pPr>
      <w:r>
        <w:rPr>
          <w:rFonts w:ascii="Times New Roman" w:cs="Times New Roman" w:eastAsia="Times New Roman" w:hAnsi="Times New Roman"/>
          <w:sz w:val="11"/>
          <w:szCs w:val="11"/>
          <w:color w:val="auto"/>
        </w:rPr>
        <w:t>Dividends declared</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760" w:type="dxa"/>
            <w:vAlign w:val="bottom"/>
            <w:gridSpan w:val="4"/>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240" w:type="dxa"/>
            <w:vAlign w:val="bottom"/>
          </w:tcPr>
          <w:p>
            <w:pPr>
              <w:spacing w:after="0"/>
              <w:rPr>
                <w:sz w:val="11"/>
                <w:szCs w:val="11"/>
                <w:color w:val="auto"/>
              </w:rPr>
            </w:pPr>
          </w:p>
        </w:tc>
        <w:tc>
          <w:tcPr>
            <w:tcW w:w="19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1600" w:type="dxa"/>
            <w:vAlign w:val="bottom"/>
            <w:gridSpan w:val="4"/>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1"/>
              </w:rPr>
              <w:t>Non</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5"/>
            <w:vMerge w:val="continue"/>
          </w:tcPr>
          <w:p>
            <w:pPr>
              <w:spacing w:after="0"/>
              <w:rPr>
                <w:sz w:val="11"/>
                <w:szCs w:val="11"/>
                <w:color w:val="auto"/>
              </w:rPr>
            </w:pPr>
          </w:p>
        </w:tc>
        <w:tc>
          <w:tcPr>
            <w:tcW w:w="16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80" w:type="dxa"/>
            <w:vAlign w:val="bottom"/>
            <w:gridSpan w:val="3"/>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160" w:type="dxa"/>
            <w:vAlign w:val="bottom"/>
          </w:tcPr>
          <w:p>
            <w:pPr>
              <w:spacing w:after="0"/>
              <w:rPr>
                <w:sz w:val="11"/>
                <w:szCs w:val="11"/>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9"/>
        </w:trPr>
        <w:tc>
          <w:tcPr>
            <w:tcW w:w="8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Paid-in-capital</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Interst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40" w:type="dxa"/>
            <w:vAlign w:val="bottom"/>
            <w:gridSpan w:val="4"/>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42,365</w:t>
            </w:r>
          </w:p>
        </w:tc>
        <w:tc>
          <w:tcPr>
            <w:tcW w:w="2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2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73,008</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(9,926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628,828</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(225,879</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40,745</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433,883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605</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164</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769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(76 )</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7"/>
                <w:szCs w:val="17"/>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70"/>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8"/>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(3,038 )</w:t>
            </w:r>
          </w:p>
        </w:tc>
        <w:tc>
          <w:tcPr>
            <w:tcW w:w="80" w:type="dxa"/>
            <w:vAlign w:val="bottom"/>
          </w:tcPr>
          <w:p>
            <w:pPr>
              <w:spacing w:after="0"/>
              <w:rPr>
                <w:sz w:val="24"/>
                <w:szCs w:val="24"/>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(3,038 )</w:t>
            </w:r>
          </w:p>
        </w:tc>
        <w:tc>
          <w:tcPr>
            <w:tcW w:w="0" w:type="dxa"/>
            <w:vAlign w:val="bottom"/>
          </w:tcPr>
          <w:p>
            <w:pPr>
              <w:spacing w:after="0"/>
              <w:rPr>
                <w:sz w:val="1"/>
                <w:szCs w:val="1"/>
                <w:color w:val="auto"/>
              </w:rPr>
            </w:pPr>
          </w:p>
        </w:tc>
      </w:tr>
      <w:tr>
        <w:trPr>
          <w:trHeight w:val="270"/>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(100 )</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(851 )</w:t>
            </w:r>
          </w:p>
        </w:tc>
        <w:tc>
          <w:tcPr>
            <w:tcW w:w="80" w:type="dxa"/>
            <w:vAlign w:val="bottom"/>
          </w:tcPr>
          <w:p>
            <w:pPr>
              <w:spacing w:after="0"/>
              <w:rPr>
                <w:sz w:val="23"/>
                <w:szCs w:val="23"/>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(851 )</w:t>
            </w:r>
          </w:p>
        </w:tc>
        <w:tc>
          <w:tcPr>
            <w:tcW w:w="0" w:type="dxa"/>
            <w:vAlign w:val="bottom"/>
          </w:tcPr>
          <w:p>
            <w:pPr>
              <w:spacing w:after="0"/>
              <w:rPr>
                <w:sz w:val="1"/>
                <w:szCs w:val="1"/>
                <w:color w:val="auto"/>
              </w:rPr>
            </w:pPr>
          </w:p>
        </w:tc>
      </w:tr>
      <w:tr>
        <w:trPr>
          <w:trHeight w:val="203"/>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80" w:type="dxa"/>
            <w:vAlign w:val="bottom"/>
          </w:tcPr>
          <w:p>
            <w:pPr>
              <w:spacing w:after="0"/>
              <w:rPr>
                <w:sz w:val="17"/>
                <w:szCs w:val="17"/>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270"/>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(122 )</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(122 )</w:t>
            </w:r>
          </w:p>
        </w:tc>
        <w:tc>
          <w:tcPr>
            <w:tcW w:w="0" w:type="dxa"/>
            <w:vAlign w:val="bottom"/>
          </w:tcPr>
          <w:p>
            <w:pPr>
              <w:spacing w:after="0"/>
              <w:rPr>
                <w:sz w:val="1"/>
                <w:szCs w:val="1"/>
                <w:color w:val="auto"/>
              </w:rPr>
            </w:pP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80" w:type="dxa"/>
            <w:vAlign w:val="bottom"/>
          </w:tcPr>
          <w:p>
            <w:pPr>
              <w:spacing w:after="0"/>
              <w:rPr>
                <w:sz w:val="18"/>
                <w:szCs w:val="18"/>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(3,477 )</w:t>
            </w:r>
          </w:p>
        </w:tc>
        <w:tc>
          <w:tcPr>
            <w:tcW w:w="80" w:type="dxa"/>
            <w:vAlign w:val="bottom"/>
          </w:tcPr>
          <w:p>
            <w:pPr>
              <w:spacing w:after="0"/>
              <w:rPr>
                <w:sz w:val="13"/>
                <w:szCs w:val="13"/>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(3,477 )</w:t>
            </w:r>
          </w:p>
        </w:tc>
        <w:tc>
          <w:tcPr>
            <w:tcW w:w="0" w:type="dxa"/>
            <w:vAlign w:val="bottom"/>
          </w:tcPr>
          <w:p>
            <w:pPr>
              <w:spacing w:after="0"/>
              <w:rPr>
                <w:sz w:val="1"/>
                <w:szCs w:val="1"/>
                <w:color w:val="auto"/>
              </w:rPr>
            </w:pPr>
          </w:p>
        </w:tc>
      </w:tr>
      <w:tr>
        <w:trPr>
          <w:trHeight w:val="142"/>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43,089</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72,832</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(9,926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624,706</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(225,274</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40,787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430,409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1,763</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339</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2,102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(451 )</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(1 )</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7"/>
                <w:szCs w:val="17"/>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70"/>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38"/>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(1,958 )</w:t>
            </w:r>
          </w:p>
        </w:tc>
        <w:tc>
          <w:tcPr>
            <w:tcW w:w="80" w:type="dxa"/>
            <w:vAlign w:val="bottom"/>
          </w:tcPr>
          <w:p>
            <w:pPr>
              <w:spacing w:after="0"/>
              <w:rPr>
                <w:sz w:val="24"/>
                <w:szCs w:val="24"/>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(1,958 )</w:t>
            </w:r>
          </w:p>
        </w:tc>
        <w:tc>
          <w:tcPr>
            <w:tcW w:w="0" w:type="dxa"/>
            <w:vAlign w:val="bottom"/>
          </w:tcPr>
          <w:p>
            <w:pPr>
              <w:spacing w:after="0"/>
              <w:rPr>
                <w:sz w:val="1"/>
                <w:szCs w:val="1"/>
                <w:color w:val="auto"/>
              </w:rPr>
            </w:pPr>
          </w:p>
        </w:tc>
      </w:tr>
      <w:tr>
        <w:trPr>
          <w:trHeight w:val="324"/>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(149 )</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(149 )</w:t>
            </w:r>
          </w:p>
        </w:tc>
        <w:tc>
          <w:tcPr>
            <w:tcW w:w="0" w:type="dxa"/>
            <w:vAlign w:val="bottom"/>
          </w:tcPr>
          <w:p>
            <w:pPr>
              <w:spacing w:after="0"/>
              <w:rPr>
                <w:sz w:val="1"/>
                <w:szCs w:val="1"/>
                <w:color w:val="auto"/>
              </w:rPr>
            </w:pPr>
          </w:p>
        </w:tc>
      </w:tr>
      <w:tr>
        <w:trPr>
          <w:trHeight w:val="216"/>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80" w:type="dxa"/>
            <w:vAlign w:val="bottom"/>
          </w:tcPr>
          <w:p>
            <w:pPr>
              <w:spacing w:after="0"/>
              <w:rPr>
                <w:sz w:val="18"/>
                <w:szCs w:val="18"/>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80" w:type="dxa"/>
            <w:vAlign w:val="bottom"/>
          </w:tcPr>
          <w:p>
            <w:pPr>
              <w:spacing w:after="0"/>
              <w:rPr>
                <w:sz w:val="13"/>
                <w:szCs w:val="13"/>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(3,774 )</w:t>
            </w:r>
          </w:p>
        </w:tc>
        <w:tc>
          <w:tcPr>
            <w:tcW w:w="0" w:type="dxa"/>
            <w:vAlign w:val="bottom"/>
          </w:tcPr>
          <w:p>
            <w:pPr>
              <w:spacing w:after="0"/>
              <w:rPr>
                <w:sz w:val="1"/>
                <w:szCs w:val="1"/>
                <w:color w:val="auto"/>
              </w:rPr>
            </w:pPr>
          </w:p>
        </w:tc>
      </w:tr>
      <w:tr>
        <w:trPr>
          <w:trHeight w:val="142"/>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43,824</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72,381</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(9,926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627,420</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(223,511</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40,977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435,076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-2896870</wp:posOffset>
            </wp:positionV>
            <wp:extent cx="7132320"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-2708275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-2365375</wp:posOffset>
            </wp:positionV>
            <wp:extent cx="7132320" cy="248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-2022475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-1679575</wp:posOffset>
            </wp:positionV>
            <wp:extent cx="71323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-1268095</wp:posOffset>
            </wp:positionV>
            <wp:extent cx="713232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-1079500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-736600</wp:posOffset>
            </wp:positionV>
            <wp:extent cx="713232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-316865</wp:posOffset>
            </wp:positionV>
            <wp:extent cx="7132320" cy="93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-3110865</wp:posOffset>
            </wp:positionV>
            <wp:extent cx="713232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-1482090</wp:posOffset>
            </wp:positionV>
            <wp:extent cx="71323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-119380</wp:posOffset>
            </wp:positionV>
            <wp:extent cx="713232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920" w:space="20"/>
            <w:col w:w="9240"/>
          </w:cols>
          <w:pgMar w:left="320" w:top="1089"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1940" w:type="dxa"/>
            <w:vAlign w:val="bottom"/>
          </w:tcPr>
          <w:p>
            <w:pPr>
              <w:spacing w:after="0"/>
              <w:rPr>
                <w:sz w:val="11"/>
                <w:szCs w:val="11"/>
                <w:color w:val="auto"/>
              </w:rPr>
            </w:pPr>
          </w:p>
        </w:tc>
        <w:tc>
          <w:tcPr>
            <w:tcW w:w="1620" w:type="dxa"/>
            <w:vAlign w:val="bottom"/>
            <w:gridSpan w:val="3"/>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220" w:type="dxa"/>
            <w:vAlign w:val="bottom"/>
          </w:tcPr>
          <w:p>
            <w:pPr>
              <w:spacing w:after="0"/>
              <w:rPr>
                <w:sz w:val="11"/>
                <w:szCs w:val="11"/>
                <w:color w:val="auto"/>
              </w:rPr>
            </w:pPr>
          </w:p>
        </w:tc>
        <w:tc>
          <w:tcPr>
            <w:tcW w:w="1860" w:type="dxa"/>
            <w:vAlign w:val="bottom"/>
            <w:gridSpan w:val="5"/>
            <w:vMerge w:val="restart"/>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1"/>
              </w:rPr>
              <w:t>Non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4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80" w:type="dxa"/>
            <w:vAlign w:val="bottom"/>
            <w:gridSpan w:val="3"/>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Controlling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6"/>
        </w:trPr>
        <w:tc>
          <w:tcPr>
            <w:tcW w:w="194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Paid-in-capital</w:t>
            </w:r>
          </w:p>
        </w:tc>
        <w:tc>
          <w:tcPr>
            <w:tcW w:w="80" w:type="dxa"/>
            <w:vAlign w:val="bottom"/>
          </w:tcPr>
          <w:p>
            <w:pPr>
              <w:spacing w:after="0"/>
              <w:rPr>
                <w:sz w:val="11"/>
                <w:szCs w:val="11"/>
                <w:color w:val="auto"/>
              </w:rPr>
            </w:pPr>
          </w:p>
        </w:tc>
        <w:tc>
          <w:tcPr>
            <w:tcW w:w="880" w:type="dxa"/>
            <w:vAlign w:val="bottom"/>
            <w:gridSpan w:val="3"/>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57,623</w:t>
            </w:r>
          </w:p>
        </w:tc>
        <w:tc>
          <w:tcPr>
            <w:tcW w:w="2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58,474</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1,841</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(17,588</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636,073</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(233,012</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425,162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5,021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4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w w:val="98"/>
              </w:rPr>
              <w:t>Exchange of Class B common stock for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(35 )</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3"/>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4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Class A common stock</w:t>
            </w:r>
          </w:p>
        </w:tc>
        <w:tc>
          <w:tcPr>
            <w:tcW w:w="8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9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94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employee tax witholding and strike</w:t>
            </w:r>
          </w:p>
        </w:tc>
        <w:tc>
          <w:tcPr>
            <w:tcW w:w="106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(300 )</w:t>
            </w:r>
          </w:p>
        </w:tc>
        <w:tc>
          <w:tcPr>
            <w:tcW w:w="5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(2,207 )</w:t>
            </w:r>
          </w:p>
        </w:tc>
        <w:tc>
          <w:tcPr>
            <w:tcW w:w="80" w:type="dxa"/>
            <w:vAlign w:val="bottom"/>
          </w:tcPr>
          <w:p>
            <w:pPr>
              <w:spacing w:after="0"/>
              <w:rPr>
                <w:sz w:val="10"/>
                <w:szCs w:val="10"/>
                <w:color w:val="auto"/>
              </w:rPr>
            </w:pPr>
          </w:p>
        </w:tc>
        <w:tc>
          <w:tcPr>
            <w:tcW w:w="880" w:type="dxa"/>
            <w:vAlign w:val="bottom"/>
            <w:gridSpan w:val="3"/>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(2,207 )</w:t>
            </w:r>
          </w:p>
        </w:tc>
        <w:tc>
          <w:tcPr>
            <w:tcW w:w="0" w:type="dxa"/>
            <w:vAlign w:val="bottom"/>
          </w:tcPr>
          <w:p>
            <w:pPr>
              <w:spacing w:after="0"/>
              <w:rPr>
                <w:sz w:val="1"/>
                <w:szCs w:val="1"/>
                <w:color w:val="auto"/>
              </w:rPr>
            </w:pPr>
          </w:p>
        </w:tc>
      </w:tr>
      <w:tr>
        <w:trPr>
          <w:trHeight w:val="140"/>
        </w:trPr>
        <w:tc>
          <w:tcPr>
            <w:tcW w:w="19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price</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104" w:right="339" w:bottom="1440" w:gutter="0" w:footer="0" w:header="0"/>
        </w:sect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right="30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91"/>
              </w:rPr>
              <w:t>(3,683 )</w:t>
            </w:r>
          </w:p>
        </w:tc>
        <w:tc>
          <w:tcPr>
            <w:tcW w:w="10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(4 )</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3,683</w:t>
            </w: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(30,034 )</w:t>
            </w:r>
          </w:p>
        </w:tc>
        <w:tc>
          <w:tcPr>
            <w:tcW w:w="90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(30,038 )</w:t>
            </w:r>
          </w:p>
        </w:tc>
      </w:tr>
      <w:tr>
        <w:trPr>
          <w:trHeight w:val="203"/>
        </w:trPr>
        <w:tc>
          <w:tcPr>
            <w:tcW w:w="7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(300 )</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(300 )</w:t>
            </w:r>
          </w:p>
        </w:tc>
      </w:tr>
      <w:tr>
        <w:trPr>
          <w:trHeight w:val="270"/>
        </w:trPr>
        <w:tc>
          <w:tcPr>
            <w:tcW w:w="7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(153 )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-388620</wp:posOffset>
            </wp:positionV>
            <wp:extent cx="713232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-122555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840" w:space="620"/>
            <w:col w:w="8780"/>
          </w:cols>
          <w:pgMar w:left="320" w:top="1104"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19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Dividends declared</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220" w:type="dxa"/>
            <w:vAlign w:val="bottom"/>
          </w:tcPr>
          <w:p>
            <w:pPr>
              <w:spacing w:after="0"/>
              <w:rPr>
                <w:sz w:val="12"/>
                <w:szCs w:val="12"/>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9"/>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2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54,583</w:t>
            </w:r>
          </w:p>
        </w:tc>
        <w:tc>
          <w:tcPr>
            <w:tcW w:w="26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55</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58,439</w:t>
            </w:r>
          </w:p>
        </w:tc>
        <w:tc>
          <w:tcPr>
            <w:tcW w:w="22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58</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5,524</w:t>
            </w: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(47,622 )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635,944</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(227,991 )  $</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39,642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6,993</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19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194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w w:val="98"/>
              </w:rPr>
              <w:t>Exchange of Class B common stock for</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128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(231 )</w:t>
            </w:r>
          </w:p>
        </w:tc>
        <w:tc>
          <w:tcPr>
            <w:tcW w:w="32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gridSpan w:val="3"/>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900" w:type="dxa"/>
            <w:vAlign w:val="bottom"/>
            <w:gridSpan w:val="3"/>
            <w:vMerge w:val="restart"/>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4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Class A common stock</w:t>
            </w:r>
          </w:p>
        </w:tc>
        <w:tc>
          <w:tcPr>
            <w:tcW w:w="80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vMerge w:val="continue"/>
            <w:shd w:val="clear" w:color="auto" w:fill="CFF0FC"/>
          </w:tcPr>
          <w:p>
            <w:pPr>
              <w:spacing w:after="0"/>
              <w:rPr>
                <w:sz w:val="6"/>
                <w:szCs w:val="6"/>
                <w:color w:val="auto"/>
              </w:rPr>
            </w:pPr>
          </w:p>
        </w:tc>
        <w:tc>
          <w:tcPr>
            <w:tcW w:w="1280" w:type="dxa"/>
            <w:vAlign w:val="bottom"/>
            <w:gridSpan w:val="3"/>
            <w:vMerge w:val="continue"/>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40" w:type="dxa"/>
            <w:vAlign w:val="bottom"/>
            <w:gridSpan w:val="3"/>
            <w:vMerge w:val="continue"/>
            <w:shd w:val="clear" w:color="auto" w:fill="CFF0FC"/>
          </w:tcPr>
          <w:p>
            <w:pPr>
              <w:spacing w:after="0"/>
              <w:rPr>
                <w:sz w:val="6"/>
                <w:szCs w:val="6"/>
                <w:color w:val="auto"/>
              </w:rPr>
            </w:pPr>
          </w:p>
        </w:tc>
        <w:tc>
          <w:tcPr>
            <w:tcW w:w="640" w:type="dxa"/>
            <w:vAlign w:val="bottom"/>
            <w:gridSpan w:val="2"/>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900" w:type="dxa"/>
            <w:vAlign w:val="bottom"/>
            <w:gridSpan w:val="3"/>
            <w:vMerge w:val="continue"/>
            <w:shd w:val="clear" w:color="auto" w:fill="CFF0FC"/>
          </w:tcPr>
          <w:p>
            <w:pPr>
              <w:spacing w:after="0"/>
              <w:rPr>
                <w:sz w:val="6"/>
                <w:szCs w:val="6"/>
                <w:color w:val="auto"/>
              </w:rPr>
            </w:pPr>
          </w:p>
        </w:tc>
        <w:tc>
          <w:tcPr>
            <w:tcW w:w="5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64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940" w:type="dxa"/>
            <w:vAlign w:val="bottom"/>
            <w:vMerge w:val="continue"/>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194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8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FF0FC"/>
          </w:tcPr>
          <w:p>
            <w:pPr>
              <w:ind w:left="200"/>
              <w:spacing w:after="0" w:line="122" w:lineRule="exact"/>
              <w:rPr>
                <w:sz w:val="20"/>
                <w:szCs w:val="20"/>
                <w:color w:val="auto"/>
              </w:rPr>
            </w:pPr>
            <w:r>
              <w:rPr>
                <w:rFonts w:ascii="Times New Roman" w:cs="Times New Roman" w:eastAsia="Times New Roman" w:hAnsi="Times New Roman"/>
                <w:sz w:val="11"/>
                <w:szCs w:val="11"/>
                <w:color w:val="auto"/>
              </w:rPr>
              <w:t>employee tax witholding and strike</w:t>
            </w:r>
          </w:p>
        </w:tc>
        <w:tc>
          <w:tcPr>
            <w:tcW w:w="1060" w:type="dxa"/>
            <w:vAlign w:val="bottom"/>
            <w:gridSpan w:val="2"/>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(60 )</w:t>
            </w:r>
          </w:p>
        </w:tc>
        <w:tc>
          <w:tcPr>
            <w:tcW w:w="320" w:type="dxa"/>
            <w:vAlign w:val="bottom"/>
            <w:shd w:val="clear" w:color="auto" w:fill="CFF0FC"/>
          </w:tcPr>
          <w:p>
            <w:pPr>
              <w:spacing w:after="0"/>
              <w:rPr>
                <w:sz w:val="10"/>
                <w:szCs w:val="10"/>
                <w:color w:val="auto"/>
              </w:rPr>
            </w:pPr>
          </w:p>
        </w:tc>
        <w:tc>
          <w:tcPr>
            <w:tcW w:w="38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0"/>
                <w:szCs w:val="10"/>
                <w:color w:val="auto"/>
              </w:rPr>
            </w:pPr>
          </w:p>
        </w:tc>
        <w:tc>
          <w:tcPr>
            <w:tcW w:w="380" w:type="dxa"/>
            <w:vAlign w:val="bottom"/>
            <w:shd w:val="clear" w:color="auto" w:fill="CFF0FC"/>
          </w:tcPr>
          <w:p>
            <w:pPr>
              <w:ind w:lef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gridSpan w:val="3"/>
            <w:shd w:val="clear" w:color="auto" w:fill="CFF0FC"/>
          </w:tcPr>
          <w:p>
            <w:pPr>
              <w:jc w:val="right"/>
              <w:ind w:right="3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(470 )</w:t>
            </w:r>
          </w:p>
        </w:tc>
        <w:tc>
          <w:tcPr>
            <w:tcW w:w="220" w:type="dxa"/>
            <w:vAlign w:val="bottom"/>
            <w:shd w:val="clear" w:color="auto" w:fill="CFF0FC"/>
          </w:tcPr>
          <w:p>
            <w:pPr>
              <w:spacing w:after="0"/>
              <w:rPr>
                <w:sz w:val="10"/>
                <w:szCs w:val="10"/>
                <w:color w:val="auto"/>
              </w:rPr>
            </w:pPr>
          </w:p>
        </w:tc>
        <w:tc>
          <w:tcPr>
            <w:tcW w:w="900" w:type="dxa"/>
            <w:vAlign w:val="bottom"/>
            <w:gridSpan w:val="3"/>
            <w:shd w:val="clear" w:color="auto" w:fill="CFF0FC"/>
          </w:tcPr>
          <w:p>
            <w:pPr>
              <w:jc w:val="right"/>
              <w:ind w:righ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(470 )</w:t>
            </w:r>
          </w:p>
        </w:tc>
        <w:tc>
          <w:tcPr>
            <w:tcW w:w="0" w:type="dxa"/>
            <w:vAlign w:val="bottom"/>
          </w:tcPr>
          <w:p>
            <w:pPr>
              <w:spacing w:after="0"/>
              <w:rPr>
                <w:sz w:val="1"/>
                <w:szCs w:val="1"/>
                <w:color w:val="auto"/>
              </w:rPr>
            </w:pPr>
          </w:p>
        </w:tc>
      </w:tr>
      <w:tr>
        <w:trPr>
          <w:trHeight w:val="149"/>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price</w:t>
            </w: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-1019810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-1019810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-1019810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-1019810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-1019810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-1019810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-1019810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-1019810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-1019810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right="30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91"/>
              </w:rPr>
              <w:t>(1,534 )</w:t>
            </w:r>
          </w:p>
        </w:tc>
        <w:tc>
          <w:tcPr>
            <w:tcW w:w="10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(2 )</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1,534</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(12,463 )</w:t>
            </w:r>
          </w:p>
        </w:tc>
        <w:tc>
          <w:tcPr>
            <w:tcW w:w="8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(12,465 )</w:t>
            </w:r>
          </w:p>
        </w:tc>
      </w:tr>
      <w:tr>
        <w:trPr>
          <w:trHeight w:val="202"/>
        </w:trPr>
        <w:tc>
          <w:tcPr>
            <w:tcW w:w="7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(61 )</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(61 )</w:t>
            </w:r>
          </w:p>
        </w:tc>
      </w:tr>
      <w:tr>
        <w:trPr>
          <w:trHeight w:val="270"/>
        </w:trPr>
        <w:tc>
          <w:tcPr>
            <w:tcW w:w="7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(171 )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-294005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1840" w:space="620"/>
            <w:col w:w="8780"/>
          </w:cols>
          <w:pgMar w:left="320" w:top="1104" w:right="3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1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declared</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(162 )</w:t>
            </w:r>
          </w:p>
        </w:tc>
        <w:tc>
          <w:tcPr>
            <w:tcW w:w="220" w:type="dxa"/>
            <w:vAlign w:val="bottom"/>
            <w:shd w:val="clear" w:color="auto" w:fill="CFF0FC"/>
          </w:tcPr>
          <w:p>
            <w:pPr>
              <w:spacing w:after="0"/>
              <w:rPr>
                <w:sz w:val="11"/>
                <w:szCs w:val="11"/>
                <w:color w:val="auto"/>
              </w:rPr>
            </w:pPr>
          </w:p>
        </w:tc>
        <w:tc>
          <w:tcPr>
            <w:tcW w:w="9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(162 )</w:t>
            </w:r>
          </w:p>
        </w:tc>
      </w:tr>
      <w:tr>
        <w:trPr>
          <w:trHeight w:val="144"/>
        </w:trPr>
        <w:tc>
          <w:tcPr>
            <w:tcW w:w="19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Dividends paid per share $0.04</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(3,934 )</w:t>
            </w:r>
          </w:p>
        </w:tc>
        <w:tc>
          <w:tcPr>
            <w:tcW w:w="220" w:type="dxa"/>
            <w:vAlign w:val="bottom"/>
          </w:tcPr>
          <w:p>
            <w:pPr>
              <w:spacing w:after="0"/>
              <w:rPr>
                <w:sz w:val="12"/>
                <w:szCs w:val="12"/>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(3,934 )</w:t>
            </w:r>
          </w:p>
        </w:tc>
      </w:tr>
      <w:tr>
        <w:trPr>
          <w:trHeight w:val="20"/>
        </w:trPr>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53,471</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53</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58,208</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58</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7,058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(60,085 )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637,971</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(220,998 )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39,868</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396,867</w:t>
            </w:r>
          </w:p>
        </w:tc>
        <w:tc>
          <w:tcPr>
            <w:tcW w:w="100" w:type="dxa"/>
            <w:vAlign w:val="bottom"/>
            <w:shd w:val="clear" w:color="auto" w:fill="CFF0FC"/>
          </w:tcPr>
          <w:p>
            <w:pPr>
              <w:spacing w:after="0"/>
              <w:rPr>
                <w:sz w:val="14"/>
                <w:szCs w:val="14"/>
                <w:color w:val="auto"/>
              </w:rPr>
            </w:pPr>
          </w:p>
        </w:tc>
      </w:tr>
      <w:tr>
        <w:trPr>
          <w:trHeight w:val="20"/>
        </w:trPr>
        <w:tc>
          <w:tcPr>
            <w:tcW w:w="19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right="1100" w:hanging="179"/>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CASH FLOWS FROM OPERATING ACTIVITIES </w:t>
      </w:r>
      <w:r>
        <w:rPr>
          <w:rFonts w:ascii="Times New Roman" w:cs="Times New Roman" w:eastAsia="Times New Roman" w:hAnsi="Times New Roman"/>
          <w:sz w:val="13"/>
          <w:szCs w:val="13"/>
          <w:color w:val="auto"/>
        </w:rPr>
        <w:t>Net income</w:t>
      </w:r>
    </w:p>
    <w:p>
      <w:pPr>
        <w:spacing w:after="0" w:line="1" w:lineRule="exact"/>
        <w:rPr>
          <w:sz w:val="20"/>
          <w:szCs w:val="20"/>
          <w:color w:val="auto"/>
        </w:rPr>
      </w:pPr>
    </w:p>
    <w:p>
      <w:pPr>
        <w:ind w:left="480" w:hanging="93"/>
        <w:spacing w:after="0" w:line="238" w:lineRule="auto"/>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Depreciation expense</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Amortization of intangibles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Amortization of debt issuance costs and debt discount</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Income from unconsolidated subsidiaries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Deferred tax expense</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Amortization of contingent payment to customers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Remeasurement of contingent consideration</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Change in operating assets and liabilities: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Due from related parties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Right-of-use assets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Accounts payable and accrued expenses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Accrued compensation and benefits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Due to related parties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Other liabilities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Deferred revenues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Lease liabilities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provided by operating activities</w:t>
      </w:r>
    </w:p>
    <w:p>
      <w:pPr>
        <w:spacing w:after="0" w:line="15" w:lineRule="exact"/>
        <w:rPr>
          <w:sz w:val="20"/>
          <w:szCs w:val="20"/>
          <w:color w:val="auto"/>
        </w:rPr>
      </w:pPr>
    </w:p>
    <w:p>
      <w:pPr>
        <w:ind w:left="200" w:right="1040" w:hanging="179"/>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CASH FLOWS USED IN INVESTING ACTIVITIES </w:t>
      </w:r>
      <w:r>
        <w:rPr>
          <w:rFonts w:ascii="Times New Roman" w:cs="Times New Roman" w:eastAsia="Times New Roman" w:hAnsi="Times New Roman"/>
          <w:sz w:val="13"/>
          <w:szCs w:val="13"/>
          <w:color w:val="auto"/>
        </w:rPr>
        <w:t>Purchase of intangible assets</w:t>
      </w:r>
    </w:p>
    <w:p>
      <w:pPr>
        <w:ind w:left="200"/>
        <w:spacing w:after="0"/>
        <w:rPr>
          <w:sz w:val="20"/>
          <w:szCs w:val="20"/>
          <w:color w:val="auto"/>
        </w:rPr>
      </w:pPr>
      <w:r>
        <w:rPr>
          <w:rFonts w:ascii="Times New Roman" w:cs="Times New Roman" w:eastAsia="Times New Roman" w:hAnsi="Times New Roman"/>
          <w:sz w:val="13"/>
          <w:szCs w:val="13"/>
          <w:color w:val="auto"/>
        </w:rPr>
        <w:t>Funding of notes receivable</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Proceeds from notes receivable</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Investments in unconsolidated subsidiaries</w:t>
      </w:r>
    </w:p>
    <w:p>
      <w:pPr>
        <w:spacing w:after="0" w:line="13" w:lineRule="exact"/>
        <w:rPr>
          <w:sz w:val="20"/>
          <w:szCs w:val="20"/>
          <w:color w:val="auto"/>
        </w:rPr>
      </w:pPr>
    </w:p>
    <w:p>
      <w:pPr>
        <w:ind w:left="200" w:right="620"/>
        <w:spacing w:after="0" w:line="260" w:lineRule="auto"/>
        <w:rPr>
          <w:sz w:val="20"/>
          <w:szCs w:val="20"/>
          <w:color w:val="auto"/>
        </w:rPr>
      </w:pPr>
      <w:r>
        <w:rPr>
          <w:rFonts w:ascii="Times New Roman" w:cs="Times New Roman" w:eastAsia="Times New Roman" w:hAnsi="Times New Roman"/>
          <w:sz w:val="13"/>
          <w:szCs w:val="13"/>
          <w:color w:val="auto"/>
        </w:rPr>
        <w:t>Distributions from investments in unconsolidated subsidiaries Software capitalization</w:t>
      </w:r>
    </w:p>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p>
      <w:pPr>
        <w:spacing w:after="0" w:line="15" w:lineRule="exact"/>
        <w:rPr>
          <w:sz w:val="20"/>
          <w:szCs w:val="20"/>
          <w:color w:val="auto"/>
        </w:rPr>
      </w:pPr>
    </w:p>
    <w:p>
      <w:pPr>
        <w:ind w:left="200" w:right="1020" w:hanging="179"/>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CASH FLOWS USED IN FINANCING ACTIVITIES </w:t>
      </w:r>
      <w:r>
        <w:rPr>
          <w:rFonts w:ascii="Times New Roman" w:cs="Times New Roman" w:eastAsia="Times New Roman" w:hAnsi="Times New Roman"/>
          <w:sz w:val="13"/>
          <w:szCs w:val="13"/>
          <w:color w:val="auto"/>
        </w:rPr>
        <w:t>Borrowings on debt obligations</w:t>
      </w:r>
    </w:p>
    <w:p>
      <w:pPr>
        <w:ind w:left="200"/>
        <w:spacing w:after="0"/>
        <w:rPr>
          <w:sz w:val="20"/>
          <w:szCs w:val="20"/>
          <w:color w:val="auto"/>
        </w:rPr>
      </w:pPr>
      <w:r>
        <w:rPr>
          <w:rFonts w:ascii="Times New Roman" w:cs="Times New Roman" w:eastAsia="Times New Roman" w:hAnsi="Times New Roman"/>
          <w:sz w:val="13"/>
          <w:szCs w:val="13"/>
          <w:color w:val="auto"/>
        </w:rPr>
        <w:t>Repayments on debt obligations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A common stock</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B common stock</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Payment of contingent consideration</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Dividends paid</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used in financing activities</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p>
      <w:pPr>
        <w:spacing w:after="0" w:line="15" w:lineRule="exact"/>
        <w:rPr>
          <w:sz w:val="20"/>
          <w:szCs w:val="20"/>
          <w:color w:val="auto"/>
        </w:rPr>
      </w:pPr>
    </w:p>
    <w:p>
      <w:pPr>
        <w:ind w:left="120" w:right="100" w:hanging="94"/>
        <w:spacing w:after="0" w:line="238" w:lineRule="auto"/>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period</w:t>
      </w:r>
    </w:p>
    <w:p>
      <w:pPr>
        <w:spacing w:after="0" w:line="1" w:lineRule="exact"/>
        <w:rPr>
          <w:sz w:val="20"/>
          <w:szCs w:val="20"/>
          <w:color w:val="auto"/>
        </w:rPr>
      </w:pPr>
    </w:p>
    <w:p>
      <w:pPr>
        <w:ind w:left="120" w:right="300" w:hanging="94"/>
        <w:spacing w:after="0" w:line="238" w:lineRule="auto"/>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24" w:lineRule="exact"/>
        <w:rPr>
          <w:sz w:val="20"/>
          <w:szCs w:val="20"/>
          <w:color w:val="auto"/>
        </w:rPr>
      </w:pPr>
    </w:p>
    <w:p>
      <w:pPr>
        <w:jc w:val="center"/>
        <w:ind w:left="-3999"/>
        <w:spacing w:after="0"/>
        <w:rPr>
          <w:sz w:val="20"/>
          <w:szCs w:val="20"/>
          <w:color w:val="auto"/>
        </w:rPr>
      </w:pPr>
      <w:r>
        <w:rPr>
          <w:rFonts w:ascii="Times New Roman" w:cs="Times New Roman" w:eastAsia="Times New Roman" w:hAnsi="Times New Roman"/>
          <w:sz w:val="13"/>
          <w:szCs w:val="13"/>
          <w:b w:val="1"/>
          <w:bCs w:val="1"/>
          <w:color w:val="auto"/>
        </w:rPr>
        <w:t>For the Six Months</w:t>
      </w:r>
    </w:p>
    <w:p>
      <w:pPr>
        <w:spacing w:after="0" w:line="2" w:lineRule="exact"/>
        <w:rPr>
          <w:sz w:val="20"/>
          <w:szCs w:val="20"/>
          <w:color w:val="auto"/>
        </w:rPr>
      </w:pPr>
    </w:p>
    <w:p>
      <w:pPr>
        <w:jc w:val="center"/>
        <w:ind w:left="-3999"/>
        <w:spacing w:after="0"/>
        <w:rPr>
          <w:sz w:val="20"/>
          <w:szCs w:val="20"/>
          <w:color w:val="auto"/>
        </w:rPr>
      </w:pPr>
      <w:r>
        <w:rPr>
          <w:rFonts w:ascii="Times New Roman" w:cs="Times New Roman" w:eastAsia="Times New Roman" w:hAnsi="Times New Roman"/>
          <w:sz w:val="13"/>
          <w:szCs w:val="13"/>
          <w:b w:val="1"/>
          <w:bCs w:val="1"/>
          <w:color w:val="auto"/>
        </w:rPr>
        <w:t>Ended June 30,</w:t>
      </w:r>
    </w:p>
    <w:p>
      <w:pPr>
        <w:spacing w:after="0" w:line="145" w:lineRule="exact"/>
        <w:rPr>
          <w:sz w:val="20"/>
          <w:szCs w:val="20"/>
          <w:color w:val="auto"/>
        </w:rPr>
      </w:pPr>
    </w:p>
    <w:tbl>
      <w:tblPr>
        <w:tblLayout w:type="fixed"/>
        <w:tblInd w:w="4460" w:type="dxa"/>
        <w:tblCellMar>
          <w:top w:w="0" w:type="dxa"/>
          <w:left w:w="0" w:type="dxa"/>
          <w:bottom w:w="0" w:type="dxa"/>
          <w:right w:w="0" w:type="dxa"/>
        </w:tblCellMar>
      </w:tblPr>
      <w:tr>
        <w:trPr>
          <w:trHeight w:val="175"/>
        </w:trPr>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r>
      <w:tr>
        <w:trPr>
          <w:trHeight w:val="315"/>
        </w:trPr>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12,633</w:t>
            </w:r>
          </w:p>
        </w:tc>
        <w:tc>
          <w:tcPr>
            <w:tcW w:w="26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40" w:type="dxa"/>
            <w:vAlign w:val="bottom"/>
          </w:tcPr>
          <w:p>
            <w:pPr>
              <w:spacing w:after="0"/>
              <w:rPr>
                <w:sz w:val="24"/>
                <w:szCs w:val="24"/>
                <w:color w:val="auto"/>
              </w:rPr>
            </w:pPr>
          </w:p>
        </w:tc>
      </w:tr>
      <w:tr>
        <w:trPr>
          <w:trHeight w:val="457"/>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15,171</w:t>
            </w:r>
          </w:p>
        </w:tc>
        <w:tc>
          <w:tcPr>
            <w:tcW w:w="40" w:type="dxa"/>
            <w:vAlign w:val="bottom"/>
          </w:tcPr>
          <w:p>
            <w:pPr>
              <w:spacing w:after="0"/>
              <w:rPr>
                <w:sz w:val="24"/>
                <w:szCs w:val="2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14,574</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(436 )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(531 )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40" w:type="dxa"/>
            <w:vAlign w:val="bottom"/>
          </w:tcPr>
          <w:p>
            <w:pPr>
              <w:spacing w:after="0"/>
              <w:rPr>
                <w:sz w:val="14"/>
                <w:szCs w:val="14"/>
                <w:color w:val="auto"/>
              </w:rPr>
            </w:pPr>
          </w:p>
        </w:tc>
      </w:tr>
      <w:tr>
        <w:trPr>
          <w:trHeight w:val="164"/>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40" w:type="dxa"/>
            <w:vAlign w:val="bottom"/>
          </w:tcPr>
          <w:p>
            <w:pPr>
              <w:spacing w:after="0"/>
              <w:rPr>
                <w:sz w:val="14"/>
                <w:szCs w:val="14"/>
                <w:color w:val="auto"/>
              </w:rPr>
            </w:pPr>
          </w:p>
        </w:tc>
      </w:tr>
      <w:tr>
        <w:trPr>
          <w:trHeight w:val="322"/>
        </w:trPr>
        <w:tc>
          <w:tcPr>
            <w:tcW w:w="260" w:type="dxa"/>
            <w:vAlign w:val="bottom"/>
          </w:tcPr>
          <w:p>
            <w:pPr>
              <w:spacing w:after="0"/>
              <w:rPr>
                <w:sz w:val="24"/>
                <w:szCs w:val="2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(2,825 )</w:t>
            </w: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(2,748 )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(11,000 )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(8,339 )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12,907</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(1,084 )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(1,570 )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(633 )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(7,951 )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(1,268 )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(444 )</w:t>
            </w:r>
          </w:p>
        </w:tc>
      </w:tr>
      <w:tr>
        <w:trPr>
          <w:trHeight w:val="165"/>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(2,354 )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(814 )</w:t>
            </w:r>
          </w:p>
        </w:tc>
      </w:tr>
      <w:tr>
        <w:trPr>
          <w:trHeight w:val="159"/>
        </w:trPr>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45,786</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29,207</w:t>
            </w:r>
          </w:p>
        </w:tc>
        <w:tc>
          <w:tcPr>
            <w:tcW w:w="40" w:type="dxa"/>
            <w:vAlign w:val="bottom"/>
          </w:tcPr>
          <w:p>
            <w:pPr>
              <w:spacing w:after="0"/>
              <w:rPr>
                <w:sz w:val="13"/>
                <w:szCs w:val="13"/>
                <w:color w:val="auto"/>
              </w:rPr>
            </w:pPr>
          </w:p>
        </w:tc>
      </w:tr>
      <w:tr>
        <w:trPr>
          <w:trHeight w:val="317"/>
        </w:trPr>
        <w:tc>
          <w:tcPr>
            <w:tcW w:w="260" w:type="dxa"/>
            <w:vAlign w:val="bottom"/>
          </w:tcPr>
          <w:p>
            <w:pPr>
              <w:spacing w:after="0"/>
              <w:rPr>
                <w:sz w:val="24"/>
                <w:szCs w:val="24"/>
                <w:color w:val="auto"/>
              </w:rPr>
            </w:pPr>
          </w:p>
        </w:tc>
        <w:tc>
          <w:tcPr>
            <w:tcW w:w="116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(323 )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(160 )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165"/>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(1,195 )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(853 )</w:t>
            </w:r>
          </w:p>
        </w:tc>
      </w:tr>
      <w:tr>
        <w:trPr>
          <w:trHeight w:val="159"/>
        </w:trPr>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2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317"/>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64,000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w:t>
            </w:r>
          </w:p>
        </w:tc>
        <w:tc>
          <w:tcPr>
            <w:tcW w:w="40" w:type="dxa"/>
            <w:vAlign w:val="bottom"/>
          </w:tcPr>
          <w:p>
            <w:pPr>
              <w:spacing w:after="0"/>
              <w:rPr>
                <w:sz w:val="24"/>
                <w:szCs w:val="2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(53,912 )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(40,213 )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(42,503 )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(2,677 )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(4,996 )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(851 )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(1,244 )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(1,588 )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(7,708 )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(7,251 )</w:t>
            </w:r>
          </w:p>
        </w:tc>
      </w:tr>
      <w:tr>
        <w:trPr>
          <w:trHeight w:val="165"/>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(462 )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(312 )</w:t>
            </w:r>
          </w:p>
        </w:tc>
      </w:tr>
      <w:tr>
        <w:trPr>
          <w:trHeight w:val="157"/>
        </w:trPr>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(44,506</w:t>
            </w:r>
          </w:p>
        </w:tc>
        <w:tc>
          <w:tcPr>
            <w:tcW w:w="2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(33,211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8"/>
        </w:trPr>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80"/>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32,057</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29,492</w:t>
            </w:r>
          </w:p>
        </w:tc>
        <w:tc>
          <w:tcPr>
            <w:tcW w:w="40" w:type="dxa"/>
            <w:vAlign w:val="bottom"/>
          </w:tcPr>
          <w:p>
            <w:pPr>
              <w:spacing w:after="0"/>
              <w:rPr>
                <w:sz w:val="24"/>
                <w:szCs w:val="24"/>
                <w:color w:val="auto"/>
              </w:rPr>
            </w:pPr>
          </w:p>
        </w:tc>
      </w:tr>
      <w:tr>
        <w:trPr>
          <w:trHeight w:val="250"/>
        </w:trPr>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32,202</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24,861</w:t>
            </w:r>
          </w:p>
        </w:tc>
        <w:tc>
          <w:tcPr>
            <w:tcW w:w="40" w:type="dxa"/>
            <w:vAlign w:val="bottom"/>
          </w:tcPr>
          <w:p>
            <w:pPr>
              <w:spacing w:after="0"/>
              <w:rPr>
                <w:sz w:val="21"/>
                <w:szCs w:val="2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-4919980</wp:posOffset>
            </wp:positionV>
            <wp:extent cx="713232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-4714240</wp:posOffset>
            </wp:positionV>
            <wp:extent cx="713232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-4422775</wp:posOffset>
            </wp:positionV>
            <wp:extent cx="713232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-4217035</wp:posOffset>
            </wp:positionV>
            <wp:extent cx="713232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-4011295</wp:posOffset>
            </wp:positionV>
            <wp:extent cx="713232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-3805555</wp:posOffset>
            </wp:positionV>
            <wp:extent cx="713232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-3599815</wp:posOffset>
            </wp:positionV>
            <wp:extent cx="713232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-3394075</wp:posOffset>
            </wp:positionV>
            <wp:extent cx="713232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-3188335</wp:posOffset>
            </wp:positionV>
            <wp:extent cx="713232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-2982595</wp:posOffset>
            </wp:positionV>
            <wp:extent cx="713232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-2776855</wp:posOffset>
            </wp:positionV>
            <wp:extent cx="713232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-2562860</wp:posOffset>
            </wp:positionV>
            <wp:extent cx="7132320"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-2357120</wp:posOffset>
            </wp:positionV>
            <wp:extent cx="713232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-2150745</wp:posOffset>
            </wp:positionV>
            <wp:extent cx="713232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-1945640</wp:posOffset>
            </wp:positionV>
            <wp:extent cx="713232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-1525270</wp:posOffset>
            </wp:positionV>
            <wp:extent cx="713232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-1319530</wp:posOffset>
            </wp:positionV>
            <wp:extent cx="713232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-1113790</wp:posOffset>
            </wp:positionV>
            <wp:extent cx="713232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-908050</wp:posOffset>
            </wp:positionV>
            <wp:extent cx="713232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-479425</wp:posOffset>
            </wp:positionV>
            <wp:extent cx="713232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-1739265</wp:posOffset>
            </wp:positionV>
            <wp:extent cx="7132320" cy="111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-702310</wp:posOffset>
            </wp:positionV>
            <wp:extent cx="7132320" cy="111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-187960</wp:posOffset>
            </wp:positionV>
            <wp:extent cx="713232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40" w:space="240"/>
            <w:col w:w="7000"/>
          </w:cols>
          <w:pgMar w:left="320" w:top="1089" w:right="3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 the Six Months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8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86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864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r>
      <w:tr>
        <w:trPr>
          <w:trHeight w:val="155"/>
        </w:trPr>
        <w:tc>
          <w:tcPr>
            <w:tcW w:w="8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w:t>
            </w:r>
          </w:p>
        </w:tc>
        <w:tc>
          <w:tcPr>
            <w:tcW w:w="72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11,042</w:t>
            </w:r>
          </w:p>
        </w:tc>
        <w:tc>
          <w:tcPr>
            <w:tcW w:w="640" w:type="dxa"/>
            <w:vAlign w:val="bottom"/>
            <w:gridSpan w:val="3"/>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w:t>
            </w:r>
          </w:p>
        </w:tc>
        <w:tc>
          <w:tcPr>
            <w:tcW w:w="100" w:type="dxa"/>
            <w:vAlign w:val="bottom"/>
          </w:tcPr>
          <w:p>
            <w:pPr>
              <w:spacing w:after="0"/>
              <w:rPr>
                <w:sz w:val="14"/>
                <w:szCs w:val="14"/>
                <w:color w:val="auto"/>
              </w:rPr>
            </w:pPr>
          </w:p>
        </w:tc>
      </w:tr>
      <w:tr>
        <w:trPr>
          <w:trHeight w:val="20"/>
        </w:trPr>
        <w:tc>
          <w:tcPr>
            <w:tcW w:w="8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640" w:type="dxa"/>
            <w:vAlign w:val="bottom"/>
            <w:shd w:val="clear" w:color="auto" w:fill="CFF0FC"/>
          </w:tcPr>
          <w:p>
            <w:pPr>
              <w:ind w:left="200"/>
              <w:spacing w:after="0" w:line="143"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720" w:type="dxa"/>
            <w:vAlign w:val="bottom"/>
            <w:shd w:val="clear" w:color="auto" w:fill="CFF0FC"/>
          </w:tcPr>
          <w:p>
            <w:pPr>
              <w:jc w:val="right"/>
              <w:ind w:right="57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1,049</w:t>
            </w:r>
          </w:p>
        </w:tc>
        <w:tc>
          <w:tcPr>
            <w:tcW w:w="640" w:type="dxa"/>
            <w:vAlign w:val="bottom"/>
            <w:gridSpan w:val="3"/>
            <w:shd w:val="clear" w:color="auto" w:fill="CFF0FC"/>
          </w:tcPr>
          <w:p>
            <w:pPr>
              <w:jc w:val="right"/>
              <w:ind w:right="237"/>
              <w:spacing w:after="0" w:line="143"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1,088</w:t>
            </w:r>
          </w:p>
        </w:tc>
        <w:tc>
          <w:tcPr>
            <w:tcW w:w="100" w:type="dxa"/>
            <w:vAlign w:val="bottom"/>
            <w:shd w:val="clear" w:color="auto" w:fill="CFF0FC"/>
          </w:tcPr>
          <w:p>
            <w:pPr>
              <w:spacing w:after="0"/>
              <w:rPr>
                <w:sz w:val="15"/>
                <w:szCs w:val="15"/>
                <w:color w:val="auto"/>
              </w:rPr>
            </w:pPr>
          </w:p>
        </w:tc>
      </w:tr>
      <w:tr>
        <w:trPr>
          <w:trHeight w:val="143"/>
        </w:trPr>
        <w:tc>
          <w:tcPr>
            <w:tcW w:w="864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8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Additions to right-of-use assets</w:t>
            </w:r>
          </w:p>
        </w:tc>
        <w:tc>
          <w:tcPr>
            <w:tcW w:w="72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640" w:type="dxa"/>
            <w:vAlign w:val="bottom"/>
            <w:gridSpan w:val="3"/>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100" w:type="dxa"/>
            <w:vAlign w:val="bottom"/>
            <w:shd w:val="clear" w:color="auto" w:fill="CFF0FC"/>
          </w:tcPr>
          <w:p>
            <w:pPr>
              <w:spacing w:after="0"/>
              <w:rPr>
                <w:sz w:val="14"/>
                <w:szCs w:val="14"/>
                <w:color w:val="auto"/>
              </w:rPr>
            </w:pP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Additions to lease liabilities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100" w:type="dxa"/>
            <w:vAlign w:val="bottom"/>
          </w:tcPr>
          <w:p>
            <w:pPr>
              <w:spacing w:after="0"/>
              <w:rPr>
                <w:sz w:val="14"/>
                <w:szCs w:val="14"/>
                <w:color w:val="auto"/>
              </w:rPr>
            </w:pPr>
          </w:p>
        </w:tc>
      </w:tr>
      <w:tr>
        <w:trPr>
          <w:trHeight w:val="202"/>
        </w:trPr>
        <w:tc>
          <w:tcPr>
            <w:tcW w:w="8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71"/>
        </w:trPr>
        <w:tc>
          <w:tcPr>
            <w:tcW w:w="8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7"/>
        </w:trPr>
        <w:tc>
          <w:tcPr>
            <w:tcW w:w="8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2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31,244</w:t>
            </w:r>
          </w:p>
        </w:tc>
        <w:tc>
          <w:tcPr>
            <w:tcW w:w="640" w:type="dxa"/>
            <w:vAlign w:val="bottom"/>
            <w:gridSpan w:val="3"/>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23,361</w:t>
            </w:r>
          </w:p>
        </w:tc>
        <w:tc>
          <w:tcPr>
            <w:tcW w:w="100" w:type="dxa"/>
            <w:vAlign w:val="bottom"/>
            <w:shd w:val="clear" w:color="auto" w:fill="CFF0FC"/>
          </w:tcPr>
          <w:p>
            <w:pPr>
              <w:spacing w:after="0"/>
              <w:rPr>
                <w:sz w:val="14"/>
                <w:szCs w:val="14"/>
                <w:color w:val="auto"/>
              </w:rPr>
            </w:pP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4"/>
                <w:szCs w:val="14"/>
                <w:color w:val="auto"/>
              </w:rPr>
            </w:pPr>
          </w:p>
        </w:tc>
      </w:tr>
      <w:tr>
        <w:trPr>
          <w:trHeight w:val="196"/>
        </w:trPr>
        <w:tc>
          <w:tcPr>
            <w:tcW w:w="8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720" w:type="dxa"/>
            <w:vAlign w:val="bottom"/>
            <w:tcBorders>
              <w:bottom w:val="single" w:sz="8" w:color="auto"/>
            </w:tcBorders>
            <w:shd w:val="clear" w:color="auto" w:fill="CFF0FC"/>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32,202</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24,861</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-1096645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-1079500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-659130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-642620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 2017, the Company changed its name from P10 Industries, Inc. to P10 Holdings, Inc. We were founded as a Texas corporation in 1992 and reincorporated in Delaware in 2000. Our headquarters are in Dallas, Texas.</w:t>
      </w:r>
    </w:p>
    <w:p>
      <w:pPr>
        <w:spacing w:after="0" w:line="16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and other socially responsible end markets including renewable energy, historic building renovations, and affordable housing. ECP is a registered investment advisor with the United States Securities and Exchange Commission.</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P10 Advisors, a wholly-owned consolidated subsidiary, to manage investment opportunities that are sourced across the P10 platform but do not fit within an existing investment mandate.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June 30, 2024, no units have been exchanged into shares of P10 Class A common stock.</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On February 27, 2024, the Board approved an additional $40.0 million to be used towards repurchases. These shares may be repurchased from time to time in the open market at prevailing market prices, in privately negotiated transactions, in block trades, in accordance with Rule 10b5-1 trading plans and/or through other legally permissible means. As of June 30, 2024, $71.9 million has been spent to buy back shares under this program.</w:t>
      </w:r>
    </w:p>
    <w:p>
      <w:pPr>
        <w:spacing w:after="0" w:line="180" w:lineRule="exact"/>
        <w:rPr>
          <w:sz w:val="20"/>
          <w:szCs w:val="20"/>
          <w:color w:val="auto"/>
        </w:rPr>
      </w:pPr>
    </w:p>
    <w:p>
      <w:pPr>
        <w:ind w:right="100" w:firstLine="554"/>
        <w:spacing w:after="0" w:line="253" w:lineRule="auto"/>
        <w:rPr>
          <w:sz w:val="20"/>
          <w:szCs w:val="20"/>
          <w:color w:val="auto"/>
        </w:rPr>
      </w:pPr>
      <w:r>
        <w:rPr>
          <w:rFonts w:ascii="Times New Roman" w:cs="Times New Roman" w:eastAsia="Times New Roman" w:hAnsi="Times New Roman"/>
          <w:sz w:val="18"/>
          <w:szCs w:val="18"/>
          <w:color w:val="auto"/>
        </w:rPr>
        <w:t>On October 20, 2023, the Company had a transition of executives ("Executive Transition") and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one-year transition period to continue serving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Chairman of the Board and the board of the Company appointed CEO and President Mr. Sarsfield to Chairman of the Board. In connection with Mr. Alpert's resignation as Executive Chairman, the Company and Mr. Alpert agreed to the early termination of Mr. Alpert's Transition Agreement. The associated expenses were recorded in compensation and benefits on the Consolidated Statements of Operations. See Note 15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and six months ended June 30, 2024 are not necessarily indicative of the results to be expected for the full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6 for more information on both consolidated and unconsolidated VIEs.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within the Consolidated Financial Statements to conform prior periods with current period presentations.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June 30, 2024, and December 31, 2023, cash equivalents include money market funds of $11.4 million and $11.1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June 30, 2024 and December 31, 2023 was primarily cash on deposit related to RCP's lease and cash on deposit from third parties related to pending tax credit projects. There are deposit liabilities associated with restricted cash reported in other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related to contractual amounts owed from signed, secured promissory notes with BCP Partners Holdings, LP ("BCP") as well as certain employees. In addition to contractual amounts, borrowers are obligated to pay interest on outstanding amounts. Refer to Note 5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80"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accordingly, no allowances have been established as of June 30, 2024 and December 31, 2023. If accounts are subsequently determined to be uncollectible they will be expensed in the period that determination is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June 30, 2024 and December 31, 2023, respectively, there is $0 and $9.6 million within prepaid expenses and other assets on the Consolidated Balance Sheets associated with allocable state tax credits purchases.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240"/>
          </w:cols>
          <w:pgMar w:left="320" w:top="765" w:right="339" w:bottom="1440" w:gutter="0" w:footer="0" w:header="0"/>
        </w:sectPr>
      </w:pPr>
    </w:p>
    <w:p>
      <w:pPr>
        <w:spacing w:after="0" w:line="224"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Computers and purchased software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17"/>
          <w:szCs w:val="17"/>
          <w:color w:val="auto"/>
        </w:rPr>
        <w:t>3 - 5 years</w:t>
      </w:r>
    </w:p>
    <w:p>
      <w:pPr>
        <w:spacing w:after="0" w:line="48" w:lineRule="exact"/>
        <w:rPr>
          <w:sz w:val="20"/>
          <w:szCs w:val="20"/>
          <w:color w:val="auto"/>
        </w:rPr>
      </w:pPr>
    </w:p>
    <w:p>
      <w:pPr>
        <w:sectPr>
          <w:pgSz w:w="11900" w:h="16838" w:orient="portrait"/>
          <w:cols w:equalWidth="0" w:num="2">
            <w:col w:w="7060" w:space="720"/>
            <w:col w:w="3460"/>
          </w:cols>
          <w:pgMar w:left="320" w:top="765" w:right="33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7 - 10 years</w:t>
      </w:r>
    </w:p>
    <w:p>
      <w:pPr>
        <w:spacing w:after="0" w:line="200" w:lineRule="exact"/>
        <w:rPr>
          <w:sz w:val="20"/>
          <w:szCs w:val="20"/>
          <w:color w:val="auto"/>
        </w:rPr>
      </w:pPr>
    </w:p>
    <w:p>
      <w:pPr>
        <w:sectPr>
          <w:pgSz w:w="11900" w:h="16838" w:orient="portrait"/>
          <w:cols w:equalWidth="0" w:num="2">
            <w:col w:w="6960" w:space="720"/>
            <w:col w:w="3560"/>
          </w:cols>
          <w:pgMar w:left="320" w:top="765"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Additionally, upon amendments or other events, the Company may be required to remeasure our lease liability and right-of-use asset.</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the fair value at each reporting period. Refer to Note 13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June 30, 2024, goodwill recorded on our Consolidated Balance Sheets relates to the acquisitions of RCP 2, RCP 3, Five Points, TrueBridge, Enhanced, Bonaccord, Hark, and WTI. As of June 30, 2024, the intangible assets are comprised of indefinite-lived intangible assets and finite-lived intangible assets related to the acquisitions of RCP 2, RCP 3, Five Points, TrueBridge, Enhanced, Bonaccord, Hark, and WTI.</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June 30, 2024 and December 31, 2023, the contingent consideration is related to the acquisition of Bonaccord on the Consolidated Balance Sheets.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12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has not yet been paid. The acquisition-related earnout contingent on employment is a result of the acquisition of WTI. The sellers and certain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through December 31, 2027 with the potential to extend an additional two years. Refer to Note 13 for further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income attributable to holders of non-controlling interest. NCI is allocated a share of income or loss in the respective consolidated subsidiaries in proportion to their relative ownership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 dealer quotations, and other methods by which all significant inputs were observable at the measurement date.</w:t>
      </w:r>
    </w:p>
    <w:p>
      <w:pPr>
        <w:spacing w:after="0" w:line="54" w:lineRule="exact"/>
        <w:rPr>
          <w:sz w:val="20"/>
          <w:szCs w:val="20"/>
          <w:color w:val="auto"/>
        </w:rPr>
      </w:pPr>
    </w:p>
    <w:p>
      <w:pPr>
        <w:ind w:left="520" w:right="740"/>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The Company estimates the fair value of the credit facility using level two inputs. The Company discounts the future cash flows using current interest rates which the Company could obtain similar borrowings. The Company estimates the fair value of the due from related parties associated with the Advisory Agreements based on the current expectation of payments. If the payments are not expected to be made on a short-term basis, the fair value is estimated using level three inputs and a discounted cash flow. See Note 12 for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 details. The Company has a contingent consideration liability related to the acquisition of Bonaccord that is measured at fair value and is remeasured on a recurring basis. The Company also had a contingent consideration liability related to the acquisition of Hark, which was paid in full on July 27, 2023. See Note 10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192"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Advisory service fees are determined using fixed-rate fees and are recognized over time as the related services are completed. Other advisory services include transaction and management fees associated with managing the origination and ongoing compliance of certain investments.</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20" w:firstLine="554"/>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16 for additional information.</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graded-vesting, and vesting only requires a service condition, the Company elected,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for further discussion. Forfeitures are recognized as they occur.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According to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operating segments are defined as components of an enterprise for which discrete financial information is evaluated regularly by the chief operating decision maker in deciding how to allocate resources and in assessing performance. The Company operates our business as a single operating segment, which is how our chief operating decision maker (our Chief Executive Officer) evaluates financial performance and makes decisions regarding the allocation of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Recently Adopted</w:t>
      </w:r>
    </w:p>
    <w:p>
      <w:pPr>
        <w:spacing w:after="0" w:line="117"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2024, the Company adopted ASU 2022-03, </w:t>
      </w:r>
      <w:r>
        <w:rPr>
          <w:rFonts w:ascii="Times New Roman" w:cs="Times New Roman" w:eastAsia="Times New Roman" w:hAnsi="Times New Roman"/>
          <w:sz w:val="18"/>
          <w:szCs w:val="18"/>
          <w:i w:val="1"/>
          <w:iCs w:val="1"/>
          <w:color w:val="auto"/>
        </w:rPr>
        <w:t>Fair Value Measurement of Equity Securities Subject to Contractual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Restrictions </w:t>
      </w:r>
      <w:r>
        <w:rPr>
          <w:rFonts w:ascii="Times New Roman" w:cs="Times New Roman" w:eastAsia="Times New Roman" w:hAnsi="Times New Roman"/>
          <w:sz w:val="18"/>
          <w:szCs w:val="18"/>
          <w:color w:val="auto"/>
        </w:rPr>
        <w:t>("ASU 2022-03"). The amendments in this update affect all entities that have investments in equity securities measured at fair value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Times New Roman" w:cs="Times New Roman" w:eastAsia="Times New Roman" w:hAnsi="Times New Roman"/>
          <w:sz w:val="18"/>
          <w:szCs w:val="18"/>
          <w:color w:val="auto"/>
        </w:rPr>
        <w:t>ments also clarify that an entity cannot, as a separate unit of account, recognize and measure a contractual sale restriction. The adoption of ASU 2022-03 did not have a material impact on the Company's Consolidated Financial Statements.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Improvements to Reportable Segment Disclosure</w:t>
      </w:r>
      <w:r>
        <w:rPr>
          <w:rFonts w:ascii="Times New Roman" w:cs="Times New Roman" w:eastAsia="Times New Roman" w:hAnsi="Times New Roman"/>
          <w:sz w:val="18"/>
          <w:szCs w:val="18"/>
          <w:color w:val="auto"/>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We will adopt the standard in our financial statements for the fiscal year ending December 31, 2024 and the Company expects to expand its segment disclosures.</w:t>
      </w:r>
    </w:p>
    <w:p>
      <w:pPr>
        <w:spacing w:after="0" w:line="188"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ASU 2023-09 is effective for our annual periods beginning January 1, 2025. We are evaluating the effects of these amendments on our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presents revenues disaggregated by product offering:</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2"/>
        </w:trPr>
        <w:tc>
          <w:tcPr>
            <w:tcW w:w="5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60,382</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131,083</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115,918</w:t>
            </w:r>
          </w:p>
        </w:tc>
        <w:tc>
          <w:tcPr>
            <w:tcW w:w="100" w:type="dxa"/>
            <w:vAlign w:val="bottom"/>
            <w:shd w:val="clear" w:color="auto" w:fill="CFF0FC"/>
          </w:tcPr>
          <w:p>
            <w:pPr>
              <w:spacing w:after="0"/>
              <w:rPr>
                <w:sz w:val="20"/>
                <w:szCs w:val="20"/>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r>
      <w:tr>
        <w:trPr>
          <w:trHeight w:val="277"/>
        </w:trPr>
        <w:tc>
          <w:tcPr>
            <w:tcW w:w="5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62,472</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Strategic Alliance Expense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three and six months ended June 30, 2024, the strategic alliance expense reported was $0.9 million and $1.5 million, respectively. For the three and six months ended June 30, 2023, the strategic alliance expense reported was $0.4 million and $0.8 million, respectively. This is reported on the Consolidated Statements of Operations as strategic alliance expense in operating expenses.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June 30, 2024. Fund II has not yet reached the final close, but the Company believes it is probable that the third-party will exercise the option to acquire equity in Bonaccord and has begun to accrue an additional 5% of net management fee earnings, which is included in the strategic alliance expense. If executed, the purchase price shall be reduced by the amount of management fee distributions which the third-party would have been paid as of the initial closing of Fund II.</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Similar terms apply for Bonaccord Fund III ("Fund III") with the exception that the third-party can acquire 9.8 basis points for every $5.0 million committed up to 4.9%. This commitment has not yet been met as of June 30, 2024 as Fund III</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has not yet started raising capital and as such, there is no impact to the consolidated financial statements.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Notes Receivable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$4.9 million was drawn as of June 30, 2024 with a maturity date of September 30, 2031.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is collateralized by such employees' privately owned shares of the Company. The term of the additional notes is five years, maturing on October 13, 2028 with all principal due at maturity. The notes will accrue interest at SOFR plus 2.10% and is payable annually in arrears.</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notes receivable balance associated with these notes was $5.9 million and $5.8 million, respectively. The Company recognized interest income of $0.1 million and $0.2 million for the three and six months ended June 30, 2024, respectively, and $0.1 million and $0.1 million for the three and six months ended June 30,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jc w:val="both"/>
        <w:ind w:right="180" w:firstLine="509"/>
        <w:spacing w:after="0" w:line="277" w:lineRule="auto"/>
        <w:rPr>
          <w:sz w:val="20"/>
          <w:szCs w:val="20"/>
          <w:color w:val="auto"/>
        </w:rPr>
      </w:pPr>
      <w:r>
        <w:rPr>
          <w:rFonts w:ascii="Times New Roman" w:cs="Times New Roman" w:eastAsia="Times New Roman" w:hAnsi="Times New Roman"/>
          <w:sz w:val="17"/>
          <w:szCs w:val="17"/>
          <w:color w:val="auto"/>
        </w:rPr>
        <w:t>VIEs consist of certain operating entities not wholly owned by the Company and include P10 Intermediate, Holdco, RCP 2, RCP 3, TrueBridge, Hark, Bonaccord, and WTI. The assets of the consolidated VIEs totaled $559.6 million and $579.4 million as of June 30, 2024 and December 31, 2023, respectively. The liabilities of the consolidated VIEs totaled $414.6 million and $397.6 million as of June 30, 2024 and December 31, 2023, respectively. The assets of our consolidated VIEs are owned by those entities and not generally available to satisfy P10’s obligations. With the exception of the Credit Facility, the liabilities of our consolidated VIEs are obligations of those entities and their creditors do not generally have recourse to the assets of P10.</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Unconsolidated Subsidiaries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investment in unconsolidated subsidiaries totaled $2.5 million, of which $0.9 million related to RCP's investment in a privately held investment manager, $1.7 million related to ECG’s asset management businesses, and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$0 related to ECG’s tax credit finance businesses. As of December 31, 2023, investment in unconsolidated subsidiaries totaled $1.7 million, of which $0 related to RCP's investment in a privately held investment manager, $1.7 million related to ECG’s asset management businesses, and $0 related to ECG’s tax credit finance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18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67"/>
        </w:trPr>
        <w:tc>
          <w:tcPr>
            <w:tcW w:w="7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5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Computers and purchased software</w:t>
            </w: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shd w:val="clear" w:color="auto" w:fill="CFF0FC"/>
          </w:tcPr>
          <w:p>
            <w:pPr>
              <w:spacing w:after="0"/>
              <w:rPr>
                <w:sz w:val="13"/>
                <w:szCs w:val="13"/>
                <w:color w:val="auto"/>
              </w:rPr>
            </w:pPr>
          </w:p>
        </w:tc>
      </w:tr>
      <w:tr>
        <w:trPr>
          <w:trHeight w:val="162"/>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w:t>
            </w:r>
          </w:p>
        </w:tc>
        <w:tc>
          <w:tcPr>
            <w:tcW w:w="100" w:type="dxa"/>
            <w:vAlign w:val="bottom"/>
          </w:tcPr>
          <w:p>
            <w:pPr>
              <w:spacing w:after="0"/>
              <w:rPr>
                <w:sz w:val="14"/>
                <w:szCs w:val="14"/>
                <w:color w:val="auto"/>
              </w:rPr>
            </w:pPr>
          </w:p>
        </w:tc>
      </w:tr>
      <w:tr>
        <w:trPr>
          <w:trHeight w:val="162"/>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3,776</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100" w:type="dxa"/>
            <w:vAlign w:val="bottom"/>
          </w:tcPr>
          <w:p>
            <w:pPr>
              <w:spacing w:after="0"/>
              <w:rPr>
                <w:sz w:val="13"/>
                <w:szCs w:val="13"/>
                <w:color w:val="auto"/>
              </w:rPr>
            </w:pPr>
          </w:p>
        </w:tc>
      </w:tr>
      <w:tr>
        <w:trPr>
          <w:trHeight w:val="162"/>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6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(3,170 )</w:t>
            </w:r>
          </w:p>
        </w:tc>
        <w:tc>
          <w:tcPr>
            <w:tcW w:w="1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(2,763 )</w:t>
            </w:r>
          </w:p>
        </w:tc>
      </w:tr>
      <w:tr>
        <w:trPr>
          <w:trHeight w:val="156"/>
        </w:trPr>
        <w:tc>
          <w:tcPr>
            <w:tcW w:w="75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3"/>
                <w:szCs w:val="13"/>
                <w:color w:val="auto"/>
              </w:rPr>
              <w:t>Total property and equipment, net</w:t>
            </w: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100" w:type="dxa"/>
            <w:vAlign w:val="bottom"/>
            <w:tcBorders>
              <w:top w:val="single" w:sz="8" w:color="CFF0FC"/>
            </w:tcBorders>
          </w:tcPr>
          <w:p>
            <w:pPr>
              <w:spacing w:after="0"/>
              <w:rPr>
                <w:sz w:val="13"/>
                <w:szCs w:val="13"/>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-350520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-136525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goodwill for the six months ended June 30, 2024 are as follows: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740" w:type="dxa"/>
            <w:vAlign w:val="bottom"/>
          </w:tcPr>
          <w:p>
            <w:pPr>
              <w:spacing w:after="0"/>
              <w:rPr>
                <w:sz w:val="21"/>
                <w:szCs w:val="21"/>
                <w:color w:val="auto"/>
              </w:rPr>
            </w:pPr>
          </w:p>
        </w:tc>
        <w:tc>
          <w:tcPr>
            <w:tcW w:w="55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r>
      <w:tr>
        <w:trPr>
          <w:trHeight w:val="277"/>
        </w:trPr>
        <w:tc>
          <w:tcPr>
            <w:tcW w:w="1740" w:type="dxa"/>
            <w:vAlign w:val="bottom"/>
          </w:tcPr>
          <w:p>
            <w:pPr>
              <w:spacing w:after="0"/>
              <w:rPr>
                <w:sz w:val="24"/>
                <w:szCs w:val="24"/>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19"/>
        </w:trPr>
        <w:tc>
          <w:tcPr>
            <w:tcW w:w="17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Increase from acquisitions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81"/>
        </w:trPr>
        <w:tc>
          <w:tcPr>
            <w:tcW w:w="1740" w:type="dxa"/>
            <w:vAlign w:val="bottom"/>
          </w:tcPr>
          <w:p>
            <w:pPr>
              <w:spacing w:after="0"/>
              <w:rPr>
                <w:sz w:val="24"/>
                <w:szCs w:val="24"/>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-367665</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-350520</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-530860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consists of the following:</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r>
      <w:tr>
        <w:trPr>
          <w:trHeight w:val="250"/>
        </w:trPr>
        <w:tc>
          <w:tcPr>
            <w:tcW w:w="4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r>
      <w:tr>
        <w:trPr>
          <w:trHeight w:val="26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(7,055 )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80" w:type="dxa"/>
            <w:vAlign w:val="bottom"/>
          </w:tcPr>
          <w:p>
            <w:pPr>
              <w:spacing w:after="0"/>
              <w:rPr>
                <w:sz w:val="21"/>
                <w:szCs w:val="21"/>
                <w:color w:val="auto"/>
              </w:rPr>
            </w:pPr>
          </w:p>
        </w:tc>
      </w:tr>
      <w:tr>
        <w:trPr>
          <w:trHeight w:val="263"/>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(123,184 )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71,482</w:t>
            </w:r>
          </w:p>
        </w:tc>
        <w:tc>
          <w:tcPr>
            <w:tcW w:w="80" w:type="dxa"/>
            <w:vAlign w:val="bottom"/>
            <w:shd w:val="clear" w:color="auto" w:fill="CFF0FC"/>
          </w:tcPr>
          <w:p>
            <w:pPr>
              <w:spacing w:after="0"/>
              <w:rPr>
                <w:sz w:val="22"/>
                <w:szCs w:val="22"/>
                <w:color w:val="auto"/>
              </w:rPr>
            </w:pP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(2,132 )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(132,371 )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92,915</w:t>
            </w:r>
          </w:p>
        </w:tc>
        <w:tc>
          <w:tcPr>
            <w:tcW w:w="80" w:type="dxa"/>
            <w:vAlign w:val="bottom"/>
            <w:shd w:val="clear" w:color="auto" w:fill="CFF0FC"/>
          </w:tcPr>
          <w:p>
            <w:pPr>
              <w:spacing w:after="0"/>
              <w:rPr>
                <w:sz w:val="20"/>
                <w:szCs w:val="20"/>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2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(132,371 )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110,320</w:t>
            </w:r>
          </w:p>
        </w:tc>
        <w:tc>
          <w:tcPr>
            <w:tcW w:w="8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4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r>
      <w:tr>
        <w:trPr>
          <w:trHeight w:val="250"/>
        </w:trPr>
        <w:tc>
          <w:tcPr>
            <w:tcW w:w="4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r>
      <w:tr>
        <w:trPr>
          <w:trHeight w:val="26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(5,789 )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80" w:type="dxa"/>
            <w:vAlign w:val="bottom"/>
          </w:tcPr>
          <w:p>
            <w:pPr>
              <w:spacing w:after="0"/>
              <w:rPr>
                <w:sz w:val="21"/>
                <w:szCs w:val="21"/>
                <w:color w:val="auto"/>
              </w:rPr>
            </w:pPr>
          </w:p>
        </w:tc>
      </w:tr>
      <w:tr>
        <w:trPr>
          <w:trHeight w:val="263"/>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(111,873 )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82,793</w:t>
            </w:r>
          </w:p>
        </w:tc>
        <w:tc>
          <w:tcPr>
            <w:tcW w:w="80" w:type="dxa"/>
            <w:vAlign w:val="bottom"/>
            <w:shd w:val="clear" w:color="auto" w:fill="CFF0FC"/>
          </w:tcPr>
          <w:p>
            <w:pPr>
              <w:spacing w:after="0"/>
              <w:rPr>
                <w:sz w:val="22"/>
                <w:szCs w:val="22"/>
                <w:color w:val="auto"/>
              </w:rPr>
            </w:pP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(1,834 )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105,790</w:t>
            </w:r>
          </w:p>
        </w:tc>
        <w:tc>
          <w:tcPr>
            <w:tcW w:w="80" w:type="dxa"/>
            <w:vAlign w:val="bottom"/>
            <w:shd w:val="clear" w:color="auto" w:fill="CFF0FC"/>
          </w:tcPr>
          <w:p>
            <w:pPr>
              <w:spacing w:after="0"/>
              <w:rPr>
                <w:sz w:val="20"/>
                <w:szCs w:val="20"/>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2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8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-3299460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-3299460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-3299460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-2322195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-2322195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-2322195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-1165225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-1165225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-187960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7 - 16 years and are being amortized in line in which the economic benefits that are expected to occur. Technology is amortized on a straight-line basis over 4 years. The amortization expense for each of the next five years and thereafter are as follows:</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60" w:type="dxa"/>
            <w:vAlign w:val="bottom"/>
            <w:shd w:val="clear" w:color="auto" w:fill="CFF0F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60" w:type="dxa"/>
            <w:vAlign w:val="bottom"/>
          </w:tcPr>
          <w:p>
            <w:pPr>
              <w:spacing w:after="0"/>
              <w:rPr>
                <w:sz w:val="21"/>
                <w:szCs w:val="21"/>
                <w:color w:val="auto"/>
              </w:rPr>
            </w:pPr>
          </w:p>
        </w:tc>
      </w:tr>
      <w:tr>
        <w:trPr>
          <w:trHeight w:val="250"/>
        </w:trPr>
        <w:tc>
          <w:tcPr>
            <w:tcW w:w="5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92,915</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recognized at Fair Value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liabilities at fair value on a recurring basis, which are discussed below. Our financial instruments not recognized at fair value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9"/>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Fair Value Level</w:t>
            </w:r>
          </w:p>
        </w:tc>
        <w:tc>
          <w:tcPr>
            <w:tcW w:w="2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Reference</w:t>
            </w:r>
          </w:p>
        </w:tc>
      </w:tr>
      <w:tr>
        <w:trPr>
          <w:trHeight w:val="16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6"/>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Due from related party - Advisory Agreements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58,486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34,949</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Note 12</w:t>
            </w:r>
          </w:p>
        </w:tc>
      </w:tr>
      <w:tr>
        <w:trPr>
          <w:trHeight w:val="175"/>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Debt Obligations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300,631</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300,631</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289,844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289,844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Note 11</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and December 31, 2023, debt obligations' carrying value approximates fair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Earnouts associated with the acquisitions of Bonaccord and Hark</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Included in total consideration of the acquisition of Bonaccord is an earnout payment not to exceed $20 million. The amount ultimately owed to the sellers is based on achieving specific fundraising targets and any amounts paid to the sellers will be paid by October 2027, at which point the earnout expires. Payments are made after each close. As of June 30, 2024, $14.4 million has been paid in total contingent consideration associated with the earnout, of which $1.2 million was paid in the six months ended June 30, 2024. Total remeasurement expense recognized for the three and six months ended June 30, 2024 was $0.1 million and $0.1 million, respectively. Total remeasurement expense recognized for the three and six months ended June 30, 2023 was $0.1 million and $0.5 million, respectively. This is included in contingent consideration expense on the Consolidated Statements of Operations. The Company's contingent consideration is considered to be a Level 3 fair value measurement as the significant inputs are unobservable and require significant judgment or estimation. The remainder of the earnout is highly probable to be achieved given the fundraising amount to date and projected fundraising should satisfy the targets. As of June 30, 2024, the estimated fair value of the remaining contingent consideration totaled $5.6 million. Following June 30, 2024, the Company has paid $1.3 million towards the remaining contingent consideration.</w:t>
      </w:r>
    </w:p>
    <w:p>
      <w:pPr>
        <w:spacing w:after="0" w:line="19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Included in the total consideration of the acquisition of Hark is an earnout not to exceed $5.4 million. Total remeasurement expense recognized for the three and six months ended June 30, 2024 totaled $0 and $0, respectively. Total remeasurement expense recognized for the three and six months ended June 30, 2023, respectively, totaled $0 and $0.1 million, which was included in contingent consideration expense on the Consolidated Statements of Operations. The entirety of the Hark contingent consideration of $5.4 million was paid during the year ended December 31, 2023.</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regarding the classification of these liabilities within the fair value hierarchy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As of June 30,</w:t>
            </w:r>
          </w:p>
        </w:tc>
        <w:tc>
          <w:tcPr>
            <w:tcW w:w="1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360" w:type="dxa"/>
            <w:vAlign w:val="bottom"/>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7"/>
              </w:rPr>
              <w:t>Level III</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21"/>
                <w:szCs w:val="21"/>
                <w:color w:val="auto"/>
              </w:rPr>
            </w:pP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-25400</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360" w:type="dxa"/>
            <w:vAlign w:val="bottom"/>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1"/>
                <w:szCs w:val="21"/>
                <w:color w:val="auto"/>
              </w:rPr>
            </w:pPr>
          </w:p>
        </w:tc>
      </w:tr>
      <w:tr>
        <w:trPr>
          <w:trHeight w:val="27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the liabilities presented in the tables above, there were no changes in fair value hierarchy levels during the six months ended June 30, 2024 and December 31, 2023.</w:t>
      </w:r>
    </w:p>
    <w:p>
      <w:pPr>
        <w:sectPr>
          <w:pgSz w:w="11900" w:h="16838" w:orient="portrait"/>
          <w:cols w:equalWidth="0" w:num="1">
            <w:col w:w="11240"/>
          </w:cols>
          <w:pgMar w:left="320" w:top="765" w:right="339" w:bottom="1440" w:gutter="0" w:footer="0" w:header="0"/>
        </w:sectPr>
      </w:pP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Settlements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0"/>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6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20"/>
                <w:szCs w:val="20"/>
                <w:color w:val="auto"/>
              </w:rPr>
            </w:pPr>
          </w:p>
        </w:tc>
      </w:tr>
      <w:tr>
        <w:trPr>
          <w:trHeight w:val="250"/>
        </w:trPr>
        <w:tc>
          <w:tcPr>
            <w:tcW w:w="3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(1,244 )</w:t>
            </w:r>
          </w:p>
        </w:tc>
        <w:tc>
          <w:tcPr>
            <w:tcW w:w="3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(1,588 )</w:t>
            </w:r>
          </w:p>
        </w:tc>
      </w:tr>
      <w:tr>
        <w:trPr>
          <w:trHeight w:val="23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180" w:space="720"/>
            <w:col w:w="3340"/>
          </w:cols>
          <w:pgMar w:left="320" w:top="765" w:right="339" w:bottom="1440" w:gutter="0" w:footer="0" w:header="0"/>
          <w:type w:val="continuous"/>
        </w:sect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consists of the following:</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5"/>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r>
      <w:tr>
        <w:trPr>
          <w:trHeight w:val="237"/>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(1,382 )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(1,848 )</w:t>
            </w:r>
          </w:p>
        </w:tc>
      </w:tr>
      <w:tr>
        <w:trPr>
          <w:trHeight w:val="23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104,718</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47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80" w:type="dxa"/>
            <w:vAlign w:val="bottom"/>
          </w:tcPr>
          <w:p>
            <w:pPr>
              <w:spacing w:after="0"/>
              <w:rPr>
                <w:sz w:val="24"/>
                <w:szCs w:val="24"/>
                <w:color w:val="auto"/>
              </w:rPr>
            </w:pPr>
          </w:p>
        </w:tc>
      </w:tr>
      <w:tr>
        <w:trPr>
          <w:trHeight w:val="25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37"/>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195,913</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80" w:type="dxa"/>
            <w:vAlign w:val="bottom"/>
            <w:tcBorders>
              <w:top w:val="single" w:sz="8" w:color="CFF0FC"/>
            </w:tcBorders>
          </w:tcPr>
          <w:p>
            <w:pPr>
              <w:spacing w:after="0"/>
              <w:rPr>
                <w:sz w:val="20"/>
                <w:szCs w:val="20"/>
                <w:color w:val="auto"/>
              </w:rPr>
            </w:pP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300,631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-822325</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-822325</wp:posOffset>
            </wp:positionV>
            <wp:extent cx="43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-350520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r>
        <w:trPr>
          <w:trHeight w:val="157"/>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240" w:type="dxa"/>
            <w:vAlign w:val="bottom"/>
          </w:tcPr>
          <w:p>
            <w:pPr>
              <w:spacing w:after="0"/>
              <w:rPr>
                <w:sz w:val="13"/>
                <w:szCs w:val="13"/>
                <w:color w:val="auto"/>
              </w:rPr>
            </w:pPr>
          </w:p>
        </w:tc>
        <w:tc>
          <w:tcPr>
            <w:tcW w:w="236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Base Rate</w:t>
            </w: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SOFR Rate</w:t>
            </w:r>
          </w:p>
        </w:tc>
        <w:tc>
          <w:tcPr>
            <w:tcW w:w="1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Rate Expiration Date</w:t>
            </w:r>
          </w:p>
        </w:tc>
      </w:tr>
      <w:tr>
        <w:trPr>
          <w:trHeight w:val="318"/>
        </w:trPr>
        <w:tc>
          <w:tcPr>
            <w:tcW w:w="3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115,625</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5.34 %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7/29/2024</w:t>
            </w:r>
          </w:p>
        </w:tc>
      </w:tr>
      <w:tr>
        <w:trPr>
          <w:trHeight w:val="164"/>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80,938</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5.30 %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10/18/2024</w:t>
            </w:r>
          </w:p>
        </w:tc>
      </w:tr>
      <w:tr>
        <w:trPr>
          <w:trHeight w:val="160"/>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5.34 %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5.32 %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5.34 %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9/27/2024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5.35 %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5.34 %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5.30 %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5.33 %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5.33 %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5.33 %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5.33 %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5.32 %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7/22/2024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5.33 %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5.33 %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44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5.33 %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7/11/2024</w:t>
            </w:r>
          </w:p>
        </w:tc>
      </w:tr>
      <w:tr>
        <w:trPr>
          <w:trHeight w:val="19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302,663</w:t>
            </w:r>
          </w:p>
        </w:tc>
        <w:tc>
          <w:tcPr>
            <w:tcW w:w="24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a split of $87.5 million worth of term loan and $37.5 million of revolver.</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for the Term Loan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83"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typical of such financing transactions, and specific financial covenants which require P10 to maintain a minimum leverage ratio. As of June 30, 2024, P10 was in compliance with its financial and other covenants required under the facility. For the three and six months ended June 30, 2024, $5.8 million and $11.2 million of interest expense was incurred, respectively. For the three and six months ended June 30, 2023, $5.0 million and $9.9 million of interest expense was incurred,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principal maturities of debt as of June 30, 2024 are as follows: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4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45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302,663</w:t>
            </w:r>
          </w:p>
        </w:tc>
        <w:tc>
          <w:tcPr>
            <w:tcW w:w="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w:t>
      </w:r>
    </w:p>
    <w:p>
      <w:pPr>
        <w:sectPr>
          <w:pgSz w:w="11900" w:h="16838" w:orient="portrait"/>
          <w:cols w:equalWidth="0" w:num="1">
            <w:col w:w="11240"/>
          </w:cols>
          <w:pgMar w:left="320" w:top="765"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contributed an additional $3.4 thousand monthly. P10 has paid $0.1 million and $0.1 million in rent to 210 Capital, LLC for the three and six months ended June 30, 2024, respectively, and $0.1 million and $0.1 million for the three and six months ended June 30, 2023, respectively.</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June 30, 2024, the total accounts receivable from the Funds totaled $24.6 million, of which $8.4 million related to reimbursable expenses and $16.2 million related to fees earned but not yet received. As of December 31, 2023, the total accounts receivable from the Funds totaled $18.9 million, of which $5.5 million related to reimbursable expenses and $13.4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18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as the projects expire. The Company allocates a portion of the consideration received under this arrangement to a financing component when it determines that a significant financing component exists. As of June 30, 2024, one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$5.0 thousand and $5.6 thousand for the three and six months ended June 30, 2024, respectively. No significant financing components were identified for the three and six months ended June 30, 2023. As of June 30, 2024, the total advisory fees are $110.1 million over ten years. These agreements are subject to customary termination provisions. Since inception, $70.4 million of the total $110.1 million advisory fees have been recognized as revenue. There was $39.7 million in remaining performance obligations related to these agreements, which will be recognized between July 1, 2024 and December 31, 2031. For the three and six months ended June 30, 2024, advisory fees earned or recognized under these agreements were $4.2 million and $8.4 million, respectively, and $5.3 million and $10.2 million for the three and six months ended June 30, 2023, respectively, and is reported in management and advisory fees on the Consolidated Statements of Operations. The Company invoices Enhanced PC quarterly in arrears and earns interest on balances not paid within 30 days. Revenues from interest were $0.3 million and $0.5 million for the three and six months ended June 30, 2024, respectively, and $0.1 million and $0.3 million for the three and six months ended June 30, 2023, respectively, which is included in management and advisory fees on the Consolidated Statements of Operations. As of June 30, 2024 and December 31, 2023, the associated receivable was $56.9 million and $48.5 million, respectively, and is included in due from related parties on the Consolidated Balance Sheets. Payment is expected to be collected as the permanent capital subsidiaries complete and liquidate multi-year projects covered under this agreement.</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invoice associated with this agreement is paid quarterly in arrears and subject to 5% of interest per annum. The Company recognized $3.2 million and $6.4 million for the three and six months ended June 30, 2024, respectively, and $3.0 million and $6.2 million for the three and six months ended June 30, 2023, respectively, related to this agreement within compensation and benefits on the Consolidated Statements of Operations. As of June 30, 2024 and December 31, 2023, the associated accrual was $1.0 million and $2.1 million, respectively, and is included in due to related parties on the Consolidated Balance Sheets.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$2.1 million and $4.3 million for the three and six months ended June 30, 2024, respectively, and $2.6 million and $5.0 million for the three and six months ended June 30, 2023, respectively, which is included in management and advisory fees on the Consolidated Statements of Operations.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The funds managed by the Company do not have the ability to change the investment strategy of Crossroads. Two members of the Board of Directors of the Company, including the Vice-Executive Chairman, are directors of Crossroads and have recused themselves from any decisions related to Crossroads or CPF. The Company recognizes an annual fee from the funds of $20 thousand of which $5 thousand and $10 thousand has been recognized for the three and six months ended June 30, 2024, respectively, which is included in management and advisory fees on the Consolidated Statements of Operations. The Company recognized $5 thousand and $10 thousand for the three and six months ended June 30, 2023, respectively.</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$1.1 million and $2.1 million for the three and six months ended June 30, 2024, respectively, and $1.1 million and $1.9 million for the three and six months ended June 30, 2023, respectively.</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June 30, 2024:</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six months ended June 30, 2024 for operating lease</w:t>
            </w:r>
          </w:p>
        </w:tc>
        <w:tc>
          <w:tcPr>
            <w:tcW w:w="42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0" w:type="dxa"/>
            <w:vAlign w:val="bottom"/>
          </w:tcPr>
          <w:p>
            <w:pPr>
              <w:spacing w:after="0"/>
              <w:rPr>
                <w:sz w:val="1"/>
                <w:szCs w:val="1"/>
                <w:color w:val="auto"/>
              </w:rPr>
            </w:pPr>
          </w:p>
        </w:tc>
      </w:tr>
      <w:tr>
        <w:trPr>
          <w:trHeight w:val="445"/>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June 30, 2024 are as follows: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5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FF0FC"/>
          </w:tcPr>
          <w:p>
            <w:pPr>
              <w:spacing w:after="0"/>
              <w:rPr>
                <w:sz w:val="21"/>
                <w:szCs w:val="2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FF0FC"/>
          </w:tcPr>
          <w:p>
            <w:pPr>
              <w:spacing w:after="0"/>
              <w:rPr>
                <w:sz w:val="21"/>
                <w:szCs w:val="2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20" w:type="dxa"/>
            <w:vAlign w:val="bottom"/>
            <w:shd w:val="clear" w:color="auto" w:fill="CFF0FC"/>
          </w:tcPr>
          <w:p>
            <w:pPr>
              <w:spacing w:after="0"/>
              <w:rPr>
                <w:sz w:val="20"/>
                <w:szCs w:val="2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4"/>
                <w:szCs w:val="24"/>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0" w:type="dxa"/>
            <w:vAlign w:val="bottom"/>
            <w:tcBorders>
              <w:top w:val="single" w:sz="8" w:color="auto"/>
              <w:bottom w:val="single" w:sz="8" w:color="auto"/>
            </w:tcBorders>
            <w:shd w:val="clear" w:color="auto" w:fill="CFF0FC"/>
          </w:tcPr>
          <w:p>
            <w:pPr>
              <w:jc w:val="right"/>
              <w:ind w:right="25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-2013585</wp:posOffset>
            </wp:positionV>
            <wp:extent cx="427736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at which point the earnout has the potential to extend an additional two years. The Company will evaluate whether each earn-out hurdle is probable of occurring and recognize an expense over the period the hurdle is expected to be achieved. As of June 30, 2024, the Company has determined that only the first two EBITDA hurdles are probable of being achieved. For the three and six months ended June 30, 2024, $3.1 million and $6.1 million of expense, respectively, was recognized and for the three and six months ended June 30, 2023, $5.9 million and $11.8 million was recognized, respectively, which is included in compensation and benefits in the Consolidated Statements of Operations. As of June 30, 2024 and December 31, 2023, the balance was $32.3 million and $26.2 million, respectively, which is included in accrued compensation and benefits in the Consolidated Balance Sheets. No payments have been made on the earnout.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and six months ended June 30, 2024, the Company recognized $0.5 million and $1.0 million of expense, respectively, and for the three and six months ended June 30, 2023, $0.5 million and $1.0 million was recognized, respectively, which is included in compensation and benefits on the Consolidated Statements of Operations. As of June 30, 2024 and December 31, 2023, the balance was $3.4 million and $2.4 million, respectively, and is included in accrued compensation and benefits in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the Consolidated Balance Sheets for agreements that exist between ECG and third party customers.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Both options are not exercisable until a certain period of time has lapsed per the agreements.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revenue share agreements. As of June 30, 2024, the Company has determined that the put options are probable of being exercised and have accrued estimated contingent liabilities and contingent payments to customers. As of June 30, 2024 and December 31, 2023, the associated liabilities were $16.2 million and $16.2 million, respectively, and are included in accrued contingent liabilities on the Consolidated Balance Sheets. The associated contingent payments to customers assets were $13.2 million and $14.0 million as of June 30, 2024 and December 31, 2023, respectively. The Company recognized $0.3 million and $0.7 million of amortization of contingent payments to customers for the three and six months ended June 30, 2024, respectively, and $0.6 million and $0.2 million of amortization of contingent payments to customers for the three and six months ended June 30, 2023, respectively, which is included in management and advisory fees on the Consolidated Statements of Operations. The Company will reassess each period and recognize all changes as if they occurred at inception.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the Chief Operating Officer</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William "Fritz" Souder, the Company's Chief Operating Officer ("COO"), retired from P10 in May of 2024. Associated with his retirement, the COO received $1.2 million of severance payments. As of June 30, 2024 and December 31, 2023,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Company has $0 and $1.2 million of severance payable related to the retirement, which is included in accrued compensation and benefits in the Consolidated Balance Sheets. The severance expense was accrued in the fourth quarter of 2023 and has no impact on the Consolidated Statements of Operations for the three and six months ended June 30, 2024 and for the three and six months ended June 30, 2023. The severance payment was made in May 2024. In addition, the COO was granted options to purchase 34,608 shares of common stock of the Company in May 2024, which remain exercisable for a period of 90 days following the termination.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Based on these methodologies, the Company’s effective income tax rate was 31.76% and 30.24% for the three and six months ended June 30, 2024, respectively. The Company's effective income tax rate was 59.62% and 29.80% for the three and six months ended June 30, 2023, respectively. The effective tax rate differs from the federal statutory rate of 21% due to executive compensation subject to Section 162(m) limitation, state taxes, and a discrete period recognition of windfall tax adjustments related to options exercised year-to-date.</w:t>
      </w:r>
    </w:p>
    <w:p>
      <w:pPr>
        <w:spacing w:after="0" w:line="20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June 30, 2024, the Company has recorded a $12.8 million valuation allowance against deferred tax assets, primarily related to a note impairment. There was no change to the valuation allowance during the six months ended June 30, 2024.</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that may be issued under the Plan, resulting in a total of 29,300,000 shares available for grant under the Plan and the 2018 Plan. As of June 30, 2024, there are 9,635,674 shares available for grant under the Plan.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six months ended June 30, 2024 is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3100" w:type="dxa"/>
            <w:vAlign w:val="bottom"/>
          </w:tcPr>
          <w:p>
            <w:pPr>
              <w:spacing w:after="0"/>
              <w:rPr>
                <w:sz w:val="15"/>
                <w:szCs w:val="15"/>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4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87"/>
        </w:trPr>
        <w:tc>
          <w:tcPr>
            <w:tcW w:w="3100" w:type="dxa"/>
            <w:vAlign w:val="bottom"/>
          </w:tcPr>
          <w:p>
            <w:pPr>
              <w:spacing w:after="0"/>
              <w:rPr>
                <w:sz w:val="16"/>
                <w:szCs w:val="16"/>
                <w:color w:val="auto"/>
              </w:rPr>
            </w:pPr>
          </w:p>
        </w:tc>
        <w:tc>
          <w:tcPr>
            <w:tcW w:w="17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(whole dollars)</w:t>
            </w:r>
          </w:p>
        </w:tc>
      </w:tr>
      <w:tr>
        <w:trPr>
          <w:trHeight w:val="250"/>
        </w:trPr>
        <w:tc>
          <w:tcPr>
            <w:tcW w:w="3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12,715,381</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30,872,113</w:t>
            </w:r>
          </w:p>
        </w:tc>
        <w:tc>
          <w:tcPr>
            <w:tcW w:w="100" w:type="dxa"/>
            <w:vAlign w:val="bottom"/>
            <w:shd w:val="clear" w:color="auto" w:fill="CFF0FC"/>
          </w:tcPr>
          <w:p>
            <w:pPr>
              <w:spacing w:after="0"/>
              <w:rPr>
                <w:sz w:val="22"/>
                <w:szCs w:val="22"/>
                <w:color w:val="auto"/>
              </w:rPr>
            </w:pPr>
          </w:p>
        </w:tc>
      </w:tr>
      <w:tr>
        <w:trPr>
          <w:trHeight w:val="250"/>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2,539,309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(314,405 )</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FF0FC"/>
          </w:tcPr>
          <w:p>
            <w:pPr>
              <w:spacing w:after="0"/>
              <w:rPr>
                <w:sz w:val="22"/>
                <w:szCs w:val="22"/>
                <w:color w:val="auto"/>
              </w:rPr>
            </w:pPr>
          </w:p>
        </w:tc>
        <w:tc>
          <w:tcPr>
            <w:tcW w:w="16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(257,260 )</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14,683,025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19,711,039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3,028,622</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11,086,732</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-205105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-187960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-205105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-205105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in the Consolidated Statements of Operations.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$2.5 million and $5.3 million for the three and six months ended June 30, 2024, respectively, and $1.8 million and $3.4 million for the three and six months ended June 30, 2023, respectively. Unrecognized stock-based compensation expense related to outstanding unvested stock options as of June 30, 2024 was $12.8 million and is expected to be recognized over a weighted average period of 3.07 years. Any future forfeitures will impact this amount.</w:t>
      </w:r>
    </w:p>
    <w:p>
      <w:pPr>
        <w:spacing w:after="0" w:line="19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six months ended June 30, 2024 and June 30, 2023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200" w:type="dxa"/>
            <w:vAlign w:val="bottom"/>
            <w:gridSpan w:val="4"/>
          </w:tcPr>
          <w:p>
            <w:pPr>
              <w:jc w:val="right"/>
              <w:ind w:right="19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1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0" w:type="dxa"/>
            <w:vAlign w:val="bottom"/>
          </w:tcPr>
          <w:p>
            <w:pPr>
              <w:spacing w:after="0"/>
              <w:rPr>
                <w:sz w:val="14"/>
                <w:szCs w:val="14"/>
                <w:color w:val="auto"/>
              </w:rPr>
            </w:pPr>
          </w:p>
        </w:tc>
      </w:tr>
      <w:tr>
        <w:trPr>
          <w:trHeight w:val="236"/>
        </w:trPr>
        <w:tc>
          <w:tcPr>
            <w:tcW w:w="1820" w:type="dxa"/>
            <w:vAlign w:val="bottom"/>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shd w:val="clear" w:color="auto" w:fill="CFF0FC"/>
          </w:tcPr>
          <w:p>
            <w:pPr>
              <w:spacing w:after="0"/>
              <w:rPr>
                <w:sz w:val="20"/>
                <w:szCs w:val="20"/>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0" w:type="dxa"/>
            <w:vAlign w:val="bottom"/>
          </w:tcPr>
          <w:p>
            <w:pPr>
              <w:spacing w:after="0"/>
              <w:rPr>
                <w:sz w:val="20"/>
                <w:szCs w:val="20"/>
                <w:color w:val="auto"/>
              </w:rPr>
            </w:pPr>
          </w:p>
        </w:tc>
      </w:tr>
      <w:tr>
        <w:trPr>
          <w:trHeight w:val="234"/>
        </w:trPr>
        <w:tc>
          <w:tcPr>
            <w:tcW w:w="1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37.50 %</w:t>
            </w:r>
          </w:p>
        </w:tc>
        <w:tc>
          <w:tcPr>
            <w:tcW w:w="2920" w:type="dxa"/>
            <w:vAlign w:val="bottom"/>
            <w:gridSpan w:val="2"/>
          </w:tcPr>
          <w:p>
            <w:pPr>
              <w:jc w:val="right"/>
              <w:ind w:right="1700"/>
              <w:spacing w:after="0"/>
              <w:rPr>
                <w:sz w:val="20"/>
                <w:szCs w:val="20"/>
                <w:color w:val="auto"/>
              </w:rPr>
            </w:pPr>
            <w:r>
              <w:rPr>
                <w:rFonts w:ascii="Times New Roman" w:cs="Times New Roman" w:eastAsia="Times New Roman" w:hAnsi="Times New Roman"/>
                <w:sz w:val="18"/>
                <w:szCs w:val="18"/>
                <w:color w:val="auto"/>
              </w:rPr>
              <w:t>38.60 %</w:t>
            </w:r>
          </w:p>
        </w:tc>
      </w:tr>
      <w:tr>
        <w:trPr>
          <w:trHeight w:val="238"/>
        </w:trPr>
        <w:tc>
          <w:tcPr>
            <w:tcW w:w="18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4.23 %</w:t>
            </w:r>
          </w:p>
        </w:tc>
        <w:tc>
          <w:tcPr>
            <w:tcW w:w="2920" w:type="dxa"/>
            <w:vAlign w:val="bottom"/>
            <w:gridSpan w:val="2"/>
          </w:tcPr>
          <w:p>
            <w:pPr>
              <w:jc w:val="right"/>
              <w:ind w:right="1700"/>
              <w:spacing w:after="0"/>
              <w:rPr>
                <w:sz w:val="20"/>
                <w:szCs w:val="20"/>
                <w:color w:val="auto"/>
              </w:rPr>
            </w:pPr>
            <w:r>
              <w:rPr>
                <w:rFonts w:ascii="Times New Roman" w:cs="Times New Roman" w:eastAsia="Times New Roman" w:hAnsi="Times New Roman"/>
                <w:sz w:val="18"/>
                <w:szCs w:val="18"/>
                <w:color w:val="auto"/>
              </w:rPr>
              <w:t>4.07 %</w:t>
            </w:r>
          </w:p>
        </w:tc>
      </w:tr>
      <w:tr>
        <w:trPr>
          <w:trHeight w:val="243"/>
        </w:trPr>
        <w:tc>
          <w:tcPr>
            <w:tcW w:w="1820" w:type="dxa"/>
            <w:vAlign w:val="bottom"/>
          </w:tcPr>
          <w:p>
            <w:pPr>
              <w:spacing w:after="0"/>
              <w:rPr>
                <w:sz w:val="21"/>
                <w:szCs w:val="21"/>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c>
          <w:tcPr>
            <w:tcW w:w="2920" w:type="dxa"/>
            <w:vAlign w:val="bottom"/>
            <w:gridSpan w:val="2"/>
          </w:tcPr>
          <w:p>
            <w:pPr>
              <w:jc w:val="right"/>
              <w:ind w:right="1700"/>
              <w:spacing w:after="0"/>
              <w:rPr>
                <w:sz w:val="20"/>
                <w:szCs w:val="20"/>
                <w:color w:val="auto"/>
              </w:rPr>
            </w:pPr>
            <w:r>
              <w:rPr>
                <w:rFonts w:ascii="Times New Roman" w:cs="Times New Roman" w:eastAsia="Times New Roman" w:hAnsi="Times New Roman"/>
                <w:sz w:val="18"/>
                <w:szCs w:val="18"/>
                <w:color w:val="auto"/>
              </w:rPr>
              <w:t>1.20 %</w:t>
            </w:r>
          </w:p>
        </w:tc>
      </w:tr>
      <w:tr>
        <w:trPr>
          <w:trHeight w:val="554"/>
        </w:trPr>
        <w:tc>
          <w:tcPr>
            <w:tcW w:w="1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63"/>
        </w:trPr>
        <w:tc>
          <w:tcPr>
            <w:tcW w:w="18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-1148080</wp:posOffset>
            </wp:positionV>
            <wp:extent cx="4843145"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4314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stock awards ("RSAs") to certain non-employee directors. Holders of RSAs have no voting rights and accrue dividends until vesting with payment being made once they vest. All of the shares currently vest one year from the grant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84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40" w:type="dxa"/>
            <w:vAlign w:val="bottom"/>
          </w:tcPr>
          <w:p>
            <w:pPr>
              <w:spacing w:after="0"/>
              <w:rPr>
                <w:sz w:val="16"/>
                <w:szCs w:val="16"/>
                <w:color w:val="auto"/>
              </w:rPr>
            </w:pPr>
          </w:p>
        </w:tc>
        <w:tc>
          <w:tcPr>
            <w:tcW w:w="1840" w:type="dxa"/>
            <w:vAlign w:val="bottom"/>
            <w:tcBorders>
              <w:bottom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RSAs</w:t>
            </w:r>
          </w:p>
        </w:tc>
        <w:tc>
          <w:tcPr>
            <w:tcW w:w="8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100" w:type="dxa"/>
            <w:vAlign w:val="bottom"/>
          </w:tcPr>
          <w:p>
            <w:pPr>
              <w:spacing w:after="0"/>
              <w:rPr>
                <w:sz w:val="16"/>
                <w:szCs w:val="16"/>
                <w:color w:val="auto"/>
              </w:rPr>
            </w:pPr>
          </w:p>
        </w:tc>
      </w:tr>
      <w:tr>
        <w:trPr>
          <w:trHeight w:val="236"/>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6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20"/>
                <w:szCs w:val="20"/>
                <w:color w:val="auto"/>
              </w:rPr>
            </w:pPr>
          </w:p>
        </w:tc>
      </w:tr>
      <w:tr>
        <w:trPr>
          <w:trHeight w:val="239"/>
        </w:trPr>
        <w:tc>
          <w:tcPr>
            <w:tcW w:w="7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47"/>
        </w:trPr>
        <w:tc>
          <w:tcPr>
            <w:tcW w:w="73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84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126,195</w:t>
            </w:r>
          </w:p>
        </w:tc>
        <w:tc>
          <w:tcPr>
            <w:tcW w:w="3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restricted stock units ("RSUs") to certain employees. Holders of RSUs have no voting rights but generally are eligible to receive dividends or other distributions paid with respect to any RSUs that have not vested. Most of the shares currently vest one year from the grant date excluding the Hark, Bonaccord, and Executive Market Units, which are discussed in more detail below.</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of Restricted Stock Units ("Bonaccord Units") to be allocated to employees at a later date for meeting certain performance metrics. The Bonaccord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may not be transferred, sold, pledged, exchanged, assigned or otherwise encumbered or disposed of by any grantee until it has become vested.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2022, allocations were finalized pursuant to which an aggregate value of $17.5 million of units may vest at each future achievement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metrics. As of June 30, 2024, certain performance metrics have been met and specific employees have earned $9.6 million in value,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million was issued in shares and $3.0 million was issued in cash. The Company evaluates whether it is probable that the Bonaccord Units will vest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applies the tranche method to determine the amount of expense to recognize during the period. Future vested tranches will be settled in cash. An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and $0.1 million has been recorded for the three and six months ended June 30, 2024, respectively, and $1.6 million and $5.2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and six months ended June 30, 2023 on the Consolidated Statements of Operations. As of June 30, 2024, the Company deemed $13.0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probable and $0.2 million is unrecognized expense.</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All Hark Units have vested and been issued. An expense of $0 has been recorded for the three and six months ended June 30, 2024, and $0.3 million for the three and six months ended June 30, 2023 on the Consolidated Statements of Operations.</w:t>
      </w:r>
    </w:p>
    <w:p>
      <w:pPr>
        <w:spacing w:after="0" w:line="183"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w:t>
      </w:r>
    </w:p>
    <w:p>
      <w:pPr>
        <w:spacing w:after="0" w:line="5" w:lineRule="exact"/>
        <w:rPr>
          <w:sz w:val="20"/>
          <w:szCs w:val="20"/>
          <w:color w:val="auto"/>
        </w:rPr>
      </w:pPr>
    </w:p>
    <w:p>
      <w:pPr>
        <w:ind w:right="80" w:firstLine="8"/>
        <w:spacing w:after="0" w:line="277" w:lineRule="auto"/>
        <w:tabs>
          <w:tab w:leader="none" w:pos="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2024, $3.0 million has been issued. For the three and six months ended June 30, 2024, $0.6 million and $1.2 million of stock compensation expense was recognized on the Consolidated Statements of Operations. No stock compensation expense for these units was incurred for the three and six months ended June 30, 2023. The unrecognized expense associated with the Executive Transition Units was $2.3 million as of June 30, 2024.</w:t>
      </w:r>
    </w:p>
    <w:p>
      <w:pPr>
        <w:spacing w:after="0" w:line="169"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volume-weighted average price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June 30, 2024, none of the Executive Market Units have vested. For the three and six months ended June 30, 2024, $0.7 million and $1.4 million of stock compensation expense was recognized on the Consolidated Statements of Operations. No stock compensation expense for these units was incurred for the three and six months ended June 30, 2023. The unrecognized expense associated with the Executive Market Units was $8.9 million as of June 30, 2024.</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shows the assumptions used in the Monte Carlo simulation for the Executive Market Units' fair value.</w:t>
      </w:r>
    </w:p>
    <w:p>
      <w:pPr>
        <w:spacing w:after="0" w:line="286" w:lineRule="exact"/>
        <w:rPr>
          <w:sz w:val="20"/>
          <w:szCs w:val="20"/>
          <w:color w:val="auto"/>
        </w:rPr>
      </w:pPr>
    </w:p>
    <w:tbl>
      <w:tblPr>
        <w:tblLayout w:type="fixed"/>
        <w:tblInd w:w="182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23, 2023</w:t>
            </w:r>
          </w:p>
        </w:tc>
        <w:tc>
          <w:tcPr>
            <w:tcW w:w="0" w:type="dxa"/>
            <w:vAlign w:val="bottom"/>
          </w:tcPr>
          <w:p>
            <w:pPr>
              <w:spacing w:after="0"/>
              <w:rPr>
                <w:sz w:val="1"/>
                <w:szCs w:val="1"/>
                <w:color w:val="auto"/>
              </w:rPr>
            </w:pPr>
          </w:p>
        </w:tc>
      </w:tr>
      <w:tr>
        <w:trPr>
          <w:trHeight w:val="23"/>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20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4.81%</w:t>
            </w: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below table excludes Executive Market Units that the market conditions have not been satisfied, Executive Transition Units that have not vested and are recorded as a liability, and Bonaccord or Hark Units that were issued outside of the Plan, that have not vested and are recorded as a liability or vested and settled in cash.</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7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40" w:type="dxa"/>
            <w:vAlign w:val="bottom"/>
          </w:tcPr>
          <w:p>
            <w:pPr>
              <w:spacing w:after="0"/>
              <w:rPr>
                <w:sz w:val="16"/>
                <w:szCs w:val="16"/>
                <w:color w:val="auto"/>
              </w:rPr>
            </w:pPr>
          </w:p>
        </w:tc>
        <w:tc>
          <w:tcPr>
            <w:tcW w:w="17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RSUs</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r>
      <w:tr>
        <w:trPr>
          <w:trHeight w:val="232"/>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1,418,094</w:t>
            </w:r>
          </w:p>
        </w:tc>
        <w:tc>
          <w:tcPr>
            <w:tcW w:w="3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r>
      <w:tr>
        <w:trPr>
          <w:trHeight w:val="247"/>
        </w:trPr>
        <w:tc>
          <w:tcPr>
            <w:tcW w:w="7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1,062,007</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(750,714 )</w:t>
            </w: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(3,819 )</w:t>
            </w: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21"/>
                <w:szCs w:val="21"/>
                <w:color w:val="auto"/>
              </w:rPr>
            </w:pPr>
          </w:p>
        </w:tc>
      </w:tr>
      <w:tr>
        <w:trPr>
          <w:trHeight w:val="236"/>
        </w:trPr>
        <w:tc>
          <w:tcPr>
            <w:tcW w:w="5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7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1,725,568</w:t>
            </w:r>
          </w:p>
        </w:tc>
        <w:tc>
          <w:tcPr>
            <w:tcW w:w="3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FF0FC"/>
            </w:tcBorders>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Earnings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and six months ended June 30, 2024,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Numerator for basic calculation—Net income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basic calculation—Net income</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attributable to P10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 in P10</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Intermediate</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earnings per share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earnings per share assuming dilution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Denominator for basic calculation—Weighted-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average shares outstanding, basic attributable to P10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112,359</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earnings per share assuming dilution</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120,098</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123,874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121,469</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 per Class A share—basic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Class A share—diluted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 per Class B share—basic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Class B share—diluted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-2025650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-2025650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-2025650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-2025650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-1691005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-1691005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-1691005</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-1691005</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-799465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-799465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-799465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-799465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6"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computations of diluted earnings per share on a weighted average basis would exclude 11.9 million and 11.1 million options for the three and six months ended June 30, 2024, respectively, because the options were anti-dilutive. The computations of diluted earnings per share on a weighted average basis exclude 5.2 million and 4.0 million options for the three and six months ended June 30, 2023, respectively, because the options were anti-dilutive.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declared a quarterly cash dividend of $0.035 per share of Class A and Class B common stock, payable on September 20, 2024, to the holders of record as of the close of business on August 30, 2024.</w:t>
      </w:r>
    </w:p>
    <w:p>
      <w:pPr>
        <w:spacing w:after="0" w:line="162"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On August 1, 2024, the Company entered into a restatement agreement, which amends and restates the Company's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secured term loan facility in the amount of $325 million (the "New Term Loan" and, together with the New Revolving Facility, the "New Credit Facilities"), both scheduled to mature on August 1, 2028 (the "Maturity Date"). The Amended and Restated Credit Agreement provides for an ability to increase the amount of the New Credit Facilities by up to $125 million, subject to certain conditions. The New Credit Facilities are to be used to refinance and replace the credit facilities under the Credit Agreement and for general corporate purposes, including acquisitions. The New Term Loan requires quarterly amortization payments, beginning on December 31, 2025, in an annual amount equal to 5.00% of the original funded amount of the New Term Loan, with remaining amounts required to be repaid on the Maturity Date. The New Revolving Facility does not require scheduled principal payments prior to the Maturity Date. Borrowings under the New Credit Facilities will bear interest from time to time at a per annum rate equal to, at the Company’s election, either an adjusted term SOFR rate plus a margin of 2.50% or a base rate plus a margin of 1.50%. The Company is required to pay a customary commitment fee on undrawn amounts under the New Revolving Facility from time to time as well as customary fees in respect of letters of credit issued under such facility. The Amended and Restated Credit Agreement contains customary representations and warranties and affirmative and negative covenants, including financial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2" w:name="page33"/>
    <w:bookmarkEnd w:id="3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covenants requiring the Company to comply with a maximum leverage ratio and to maintain a minimum level of fee paying assets under management, and customary events of default.</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August 6, 2024, the Board of Directors authorized an additional $12.0 million of repurchases of outstanding Class A and Class B shares of the Company's stock under the Stock Repurchase Program.</w:t>
      </w:r>
    </w:p>
    <w:p>
      <w:pPr>
        <w:spacing w:after="0" w:line="160"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evaluated all material events or transactions that occurred after June 30, 2024, the Consolidated Balance Sheets date, through the date the Consolidated Financial Statements were issued, and determined there have been no additional events or transactions that would materially impact the Consolidated Financial Statements.</w:t>
      </w:r>
    </w:p>
    <w:p>
      <w:pPr>
        <w:spacing w:after="0" w:line="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2023, particularly in "Risk Factors" and the "Forward-Looking Information." Unless otherwise indicated, references in this Quarterly Report on Form 10-Q to fiscal 2024 and 2023 are to our fiscal years ended December 31, 2024 and 2023, respectively.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one-year transition period to continue servicing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the board of the Company appointed CEO and President Mr. Sarsfield to Chairman of the Board. In connection with Mr. Alpert's resignation as Executive Chairman, the Company and Mr. Alpert agreed to the early termination of Mr. Alpert's Transition Agreement. The associated expenses were recorded in compensation and benefits on the Consolidated Statements of Operations.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our private market solutions were comprised of the following:</w:t>
      </w:r>
    </w:p>
    <w:p>
      <w:pPr>
        <w:spacing w:after="0" w:line="115" w:lineRule="exact"/>
        <w:rPr>
          <w:sz w:val="20"/>
          <w:szCs w:val="20"/>
          <w:color w:val="auto"/>
        </w:rPr>
      </w:pPr>
    </w:p>
    <w:p>
      <w:pPr>
        <w:ind w:left="1020" w:right="20" w:hanging="503"/>
        <w:spacing w:after="0" w:line="25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Equity Solutions (PES)</w:t>
      </w:r>
      <w:r>
        <w:rPr>
          <w:rFonts w:ascii="Times New Roman" w:cs="Times New Roman" w:eastAsia="Times New Roman" w:hAnsi="Times New Roman"/>
          <w:sz w:val="18"/>
          <w:szCs w:val="18"/>
          <w:color w:val="auto"/>
        </w:rPr>
        <w:t>. Under PES, we make direct and indirect investments in middle and lower- middle market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North America. PES also makes minority equity investments in a diversified portfolio of mid-sized managers across private equity, private credit, real estate and real assets. The PES investment team, which is comprised of 44 investment professionals with an average of 25+ years of experience, has deep and long-standing investor and fund manager relationships in the middle and lower-middle market which it has cultivated over the past 20 years, including over 2,050+ investors, 220+ fund managers, 550+ private market funds and 4,400+ portfolio companies. We have 54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5,600 investment firms, 10,200 funds, 47,000 individual transactions, 31,000 private companies and 317,000 financial metrics. As of June 30, 2024, PES managed $12.4 billion of Fee-Paying Assets Under Management ("FPAUM").</w:t>
      </w:r>
    </w:p>
    <w:p>
      <w:pPr>
        <w:spacing w:after="0" w:line="8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high-performing, access-constrained opportunities. The VCS investment team, which is comprised of 12 investment professionals with an average of 23+ years of experience, has deep and long-standing investor and fund manager relationships in the venture market which it has cultivated over the past 14+ years, including over 1,900+ investors, 90+ fund managers, 90+ direct investments, 370+ private market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1020" w:right="20"/>
        <w:spacing w:after="0" w:line="261" w:lineRule="auto"/>
        <w:rPr>
          <w:sz w:val="20"/>
          <w:szCs w:val="20"/>
          <w:color w:val="auto"/>
        </w:rPr>
      </w:pPr>
      <w:r>
        <w:rPr>
          <w:rFonts w:ascii="Times New Roman" w:cs="Times New Roman" w:eastAsia="Times New Roman" w:hAnsi="Times New Roman"/>
          <w:sz w:val="18"/>
          <w:szCs w:val="18"/>
          <w:color w:val="auto"/>
        </w:rPr>
        <w:t>funds and 13,100+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June 30, 2024, VCS managed $6.3 billion of FPAUM.</w:t>
      </w:r>
    </w:p>
    <w:p>
      <w:pPr>
        <w:spacing w:after="0" w:line="70" w:lineRule="exact"/>
        <w:rPr>
          <w:sz w:val="20"/>
          <w:szCs w:val="20"/>
          <w:color w:val="auto"/>
        </w:rPr>
      </w:pPr>
    </w:p>
    <w:p>
      <w:pPr>
        <w:ind w:left="1020" w:hanging="503"/>
        <w:spacing w:after="0" w:line="253"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Impact Investing Solutions (IIS). </w:t>
      </w:r>
      <w:r>
        <w:rPr>
          <w:rFonts w:ascii="Times New Roman" w:cs="Times New Roman" w:eastAsia="Times New Roman" w:hAnsi="Times New Roman"/>
          <w:sz w:val="18"/>
          <w:szCs w:val="18"/>
          <w:color w:val="auto"/>
        </w:rPr>
        <w:t>Under IIS, we make equity, tax equity, and debt investments in impact initiatives across North America. IIS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17 investment professionals with an average of 23+ years of experience, has deep and long-standing relationships in the impact market which it has cultivated over the past 20 years, including deploying capital on behalf of over 119 investors. We currently have 36 active investment vehicles. We are differentiated in both the breadth of impact areas served, the type of capital deployed and the duration of our track record. From inception in 1999 through June 30, 2024, inclusive of proprietary assets and assets managed by affiliates, Enhanced Capital has raised a total of $6.0 billion. Of the total AUM, impact assets represent $3.8 billion invested in over 950 projects and businesses across 40 states, Washington DC, and Puerto Rico and does not include investments made by non-impact affiliates. Investments in clean energy have generated an estimate of over 2,229 GWh of renewable energy from inception to December 31, 2023. As of June 30, 2024, IIS managed $1.9 billion of FPAUM</w:t>
      </w:r>
      <w:r>
        <w:rPr>
          <w:rFonts w:ascii="Times New Roman" w:cs="Times New Roman" w:eastAsia="Times New Roman" w:hAnsi="Times New Roman"/>
          <w:sz w:val="18"/>
          <w:szCs w:val="18"/>
          <w:i w:val="1"/>
          <w:iCs w:val="1"/>
          <w:color w:val="auto"/>
        </w:rPr>
        <w:t>.</w:t>
      </w:r>
    </w:p>
    <w:p>
      <w:pPr>
        <w:spacing w:after="0" w:line="83" w:lineRule="exact"/>
        <w:rPr>
          <w:rFonts w:ascii="Times New Roman" w:cs="Times New Roman" w:eastAsia="Times New Roman" w:hAnsi="Times New Roman"/>
          <w:sz w:val="18"/>
          <w:szCs w:val="18"/>
          <w:color w:val="auto"/>
        </w:rPr>
      </w:pPr>
    </w:p>
    <w:p>
      <w:pPr>
        <w:ind w:left="1020" w:right="1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37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655 credit opportunities annually. We currently maintain 75+ active sponsor relationships and have 119+ platform investments. As of June 30, 2024, PCS managed approximately $3.2 billion of FPAUM.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Upon completion of purchases under the prior authorizations, on February 27, 2024, the Board of Directors authorized an additional $40.0 million for repurchases under the Stock Repurchase Program. On August 6, 2024, the Board of Directors authorized an additional $12.0 million for repurchases under the Stock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June 30, 2024, $71.9 million has been spent to buy back shares under this program.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0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right="14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$13.4 billion of our FPAUM as of June 30, 2024.</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1020" w:hanging="503"/>
        <w:spacing w:after="0" w:line="25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$8.8 billion of our FPAUM as of June 30, 2024.</w:t>
      </w:r>
    </w:p>
    <w:p>
      <w:pPr>
        <w:spacing w:after="0" w:line="80"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Secondaries. </w:t>
      </w:r>
      <w:r>
        <w:rPr>
          <w:rFonts w:ascii="Times New Roman" w:cs="Times New Roman" w:eastAsia="Times New Roman" w:hAnsi="Times New Roman"/>
          <w:sz w:val="18"/>
          <w:szCs w:val="18"/>
          <w:color w:val="auto"/>
        </w:rPr>
        <w:t>Secondaries refer to investments in existing private markets funds through the acquisition of an existing interest in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$1.6 billion of our FPAUM as of June 30, 2024.</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hanging="503"/>
        <w:spacing w:after="0" w:line="269"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Accelerating demand for private markets solutions. </w:t>
      </w:r>
      <w:r>
        <w:rPr>
          <w:rFonts w:ascii="Times New Roman" w:cs="Times New Roman" w:eastAsia="Times New Roman" w:hAnsi="Times New Roman"/>
          <w:sz w:val="17"/>
          <w:szCs w:val="17"/>
          <w:color w:val="auto"/>
        </w:rPr>
        <w:t>Our ability to attract new capital is dependent on investor demand for private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1" w:lineRule="exact"/>
        <w:rPr>
          <w:rFonts w:ascii="Times New Roman" w:cs="Times New Roman" w:eastAsia="Times New Roman" w:hAnsi="Times New Roman"/>
          <w:sz w:val="17"/>
          <w:szCs w:val="17"/>
          <w:color w:val="auto"/>
        </w:rPr>
      </w:pPr>
    </w:p>
    <w:p>
      <w:pPr>
        <w:ind w:left="1020" w:right="2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75" w:lineRule="exact"/>
        <w:rPr>
          <w:rFonts w:ascii="Times New Roman" w:cs="Times New Roman" w:eastAsia="Times New Roman" w:hAnsi="Times New Roman"/>
          <w:sz w:val="17"/>
          <w:szCs w:val="17"/>
          <w:color w:val="auto"/>
        </w:rPr>
      </w:pPr>
    </w:p>
    <w:p>
      <w:pPr>
        <w:ind w:left="1020" w:right="4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6" w:name="page37"/>
    <w:bookmarkEnd w:id="36"/>
    <w:p>
      <w:pPr>
        <w:ind w:left="503" w:right="140"/>
        <w:spacing w:after="0" w:line="261" w:lineRule="auto"/>
        <w:rPr>
          <w:sz w:val="20"/>
          <w:szCs w:val="20"/>
          <w:color w:val="auto"/>
        </w:rPr>
      </w:pPr>
      <w:r>
        <w:rPr>
          <w:rFonts w:ascii="Times New Roman" w:cs="Times New Roman" w:eastAsia="Times New Roman" w:hAnsi="Times New Roman"/>
          <w:sz w:val="18"/>
          <w:szCs w:val="18"/>
          <w:color w:val="auto"/>
        </w:rPr>
        <w:t>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70" w:lineRule="exact"/>
        <w:rPr>
          <w:sz w:val="20"/>
          <w:szCs w:val="20"/>
          <w:color w:val="auto"/>
        </w:rPr>
      </w:pPr>
    </w:p>
    <w:p>
      <w:pPr>
        <w:ind w:left="503" w:right="40" w:hanging="503"/>
        <w:spacing w:after="0" w:line="253"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 geographic reach and grow private markets network effect. </w:t>
      </w:r>
      <w:r>
        <w:rPr>
          <w:rFonts w:ascii="Times New Roman" w:cs="Times New Roman" w:eastAsia="Times New Roman" w:hAnsi="Times New Roman"/>
          <w:sz w:val="18"/>
          <w:szCs w:val="18"/>
          <w:color w:val="auto"/>
        </w:rPr>
        <w:t>Our ability to continue growing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81" w:lineRule="exact"/>
        <w:rPr>
          <w:rFonts w:ascii="Times New Roman" w:cs="Times New Roman" w:eastAsia="Times New Roman" w:hAnsi="Times New Roman"/>
          <w:sz w:val="18"/>
          <w:szCs w:val="18"/>
          <w:color w:val="auto"/>
        </w:rPr>
      </w:pPr>
    </w:p>
    <w:p>
      <w:pPr>
        <w:ind w:left="503" w:right="10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regulatory requirements and political uncertainty. </w:t>
      </w:r>
      <w:r>
        <w:rPr>
          <w:rFonts w:ascii="Times New Roman" w:cs="Times New Roman" w:eastAsia="Times New Roman" w:hAnsi="Times New Roman"/>
          <w:sz w:val="18"/>
          <w:szCs w:val="18"/>
          <w:color w:val="auto"/>
        </w:rPr>
        <w:t>The complex regulatory and tax environment could restrict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us to increased compliance costs and administrative burdens, as well as restrictions on our business activities. The SEC recently adopted new rules and rule amendments to enhance the regulation of private fund advisers and update the existing compliance rule that applies to all investment advisers. Compliance with these new rules is expected to increase our compliance costs and further restrict certain business activities. In addition, the SEC recently adopted significant new compliance requirements for investment advisers related to cybersecurity matters that are expected to increase compliance costs. There is additional uncertainty around potential legal, regulatory, and tax changes, which may impact our profitability or impact our ability to operate and grow our business.</w:t>
      </w:r>
    </w:p>
    <w:p>
      <w:pPr>
        <w:spacing w:after="0" w:line="74" w:lineRule="exact"/>
        <w:rPr>
          <w:rFonts w:ascii="Times New Roman" w:cs="Times New Roman" w:eastAsia="Times New Roman" w:hAnsi="Times New Roman"/>
          <w:sz w:val="18"/>
          <w:szCs w:val="18"/>
          <w:color w:val="auto"/>
        </w:rPr>
      </w:pPr>
    </w:p>
    <w:p>
      <w:pPr>
        <w:ind w:left="503" w:right="6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4"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equity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503"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503" w:hanging="503"/>
        <w:spacing w:after="0" w:line="267"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w:t>
      </w:r>
    </w:p>
    <w:p>
      <w:pPr>
        <w:spacing w:after="0" w:line="67"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201" w:right="379" w:bottom="1440" w:gutter="0" w:footer="0" w:header="0"/>
        </w:sectPr>
      </w:pPr>
    </w:p>
    <w:bookmarkStart w:id="37" w:name="page38"/>
    <w:bookmarkEnd w:id="37"/>
    <w:p>
      <w:pPr>
        <w:ind w:left="1020"/>
        <w:spacing w:after="0" w:line="266" w:lineRule="auto"/>
        <w:rPr>
          <w:sz w:val="20"/>
          <w:szCs w:val="20"/>
          <w:color w:val="auto"/>
        </w:rPr>
      </w:pPr>
      <w:r>
        <w:rPr>
          <w:rFonts w:ascii="Times New Roman" w:cs="Times New Roman" w:eastAsia="Times New Roman" w:hAnsi="Times New Roman"/>
          <w:sz w:val="18"/>
          <w:szCs w:val="18"/>
          <w:color w:val="auto"/>
        </w:rPr>
        <w:t>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66" w:lineRule="exact"/>
        <w:rPr>
          <w:sz w:val="20"/>
          <w:szCs w:val="20"/>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Counter-cyclical strategies can thrive in a higher-rate environment. </w:t>
      </w:r>
      <w:r>
        <w:rPr>
          <w:rFonts w:ascii="Times New Roman" w:cs="Times New Roman" w:eastAsia="Times New Roman" w:hAnsi="Times New Roman"/>
          <w:sz w:val="18"/>
          <w:szCs w:val="18"/>
          <w:color w:val="auto"/>
        </w:rPr>
        <w:t>Some strategies are counter-cyclical in nature and can take advantage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earn management and advisory fees based on a percentage of investors’ capital commitments in or, in select cases,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7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8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Both options are not exercisable until a certain period of time has lapsed per the agreements.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length of the management contracts. The amortization is reported in management and advisory fees on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540"/>
        <w:spacing w:after="0" w:line="282" w:lineRule="auto"/>
        <w:rPr>
          <w:sz w:val="20"/>
          <w:szCs w:val="20"/>
          <w:color w:val="auto"/>
        </w:rPr>
      </w:pPr>
      <w:r>
        <w:rPr>
          <w:rFonts w:ascii="Times New Roman" w:cs="Times New Roman" w:eastAsia="Times New Roman" w:hAnsi="Times New Roman"/>
          <w:sz w:val="18"/>
          <w:szCs w:val="18"/>
          <w:color w:val="auto"/>
        </w:rPr>
        <w:t>behalf of our investors. This structure differs from that of most of our competitors, which we believe better aligns the objectives of our stockholders, investors and investment professionals.</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is driven by the Strategic Alliance Agreement that Bonaccord entered into with an investor at the time Bonaccord was acquired in exchange for a portion of net management fee earnings.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Interest expense, net includes interest paid and accrued on our outstanding debt, along with the amortization of deferred financing costs. Other income (loss) includes any income from unconsolidated subsidiaries, interest income earned from bank accounts across management companies, and any accrued expenses related to litigation and regulatory activity as necessary, which would be discussed in Note 13 of our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comprised of current and deferred tax (expense). 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six months ended June 30, 2024 and June 30,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three months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six months</w:t>
            </w:r>
          </w:p>
        </w:tc>
        <w:tc>
          <w:tcPr>
            <w:tcW w:w="940" w:type="dxa"/>
            <w:vAlign w:val="bottom"/>
          </w:tcPr>
          <w:p>
            <w:pPr>
              <w:spacing w:after="0"/>
              <w:rPr>
                <w:sz w:val="12"/>
                <w:szCs w:val="12"/>
                <w:color w:val="auto"/>
              </w:rPr>
            </w:pPr>
          </w:p>
        </w:tc>
      </w:tr>
      <w:tr>
        <w:trPr>
          <w:trHeight w:val="166"/>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94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5"/>
        </w:trPr>
        <w:tc>
          <w:tcPr>
            <w:tcW w:w="3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220" w:type="dxa"/>
            <w:vAlign w:val="bottom"/>
          </w:tcPr>
          <w:p>
            <w:pPr>
              <w:spacing w:after="0"/>
              <w:rPr>
                <w:sz w:val="13"/>
                <w:szCs w:val="13"/>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00" w:type="dxa"/>
            <w:vAlign w:val="bottom"/>
          </w:tcPr>
          <w:p>
            <w:pPr>
              <w:spacing w:after="0"/>
              <w:rPr>
                <w:sz w:val="13"/>
                <w:szCs w:val="13"/>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8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79"/>
              </w:rPr>
              <w:t>thousands)</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w:t>
            </w:r>
          </w:p>
        </w:tc>
        <w:tc>
          <w:tcPr>
            <w:tcW w:w="1020" w:type="dxa"/>
            <w:vAlign w:val="bottom"/>
            <w:gridSpan w:val="3"/>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82"/>
              </w:rPr>
              <w:t>thousands)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Management and advisory fees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68,475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61,657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6,818</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2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133,597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118,244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15,353</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13%</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1,786</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219%</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143%</w:t>
            </w:r>
          </w:p>
        </w:tc>
      </w:tr>
      <w:tr>
        <w:trPr>
          <w:trHeight w:val="155"/>
        </w:trPr>
        <w:tc>
          <w:tcPr>
            <w:tcW w:w="3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71,076</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62,472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8,604</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137,191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119,725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17,466</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15%</w:t>
            </w:r>
          </w:p>
        </w:tc>
      </w:tr>
      <w:tr>
        <w:trPr>
          <w:trHeight w:val="162"/>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36,253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36,311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(58 )</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73,362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71,953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Professional fees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w:t>
            </w: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7,017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13,074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9,894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32%</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Contingent consideration expense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(349 )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(74)%</w:t>
            </w: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(888 )</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14,574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(1,699 )</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Strategic alliance expense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125%</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89%</w:t>
            </w:r>
          </w:p>
        </w:tc>
      </w:tr>
      <w:tr>
        <w:trPr>
          <w:trHeight w:val="156"/>
        </w:trPr>
        <w:tc>
          <w:tcPr>
            <w:tcW w:w="3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54,237</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52,148</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108,253</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104,530</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3,723</w:t>
            </w: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4%</w:t>
            </w:r>
          </w:p>
        </w:tc>
      </w:tr>
      <w:tr>
        <w:trPr>
          <w:trHeight w:val="315"/>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6,515</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28,938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13,743</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90%</w:t>
            </w:r>
          </w:p>
        </w:tc>
      </w:tr>
      <w:tr>
        <w:trPr>
          <w:trHeight w:val="164"/>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323"/>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net</w:t>
            </w:r>
          </w:p>
        </w:tc>
        <w:tc>
          <w:tcPr>
            <w:tcW w:w="180" w:type="dxa"/>
            <w:vAlign w:val="bottom"/>
          </w:tcPr>
          <w:p>
            <w:pPr>
              <w:spacing w:after="0"/>
              <w:rPr>
                <w:sz w:val="24"/>
                <w:szCs w:val="24"/>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(6,115 )</w:t>
            </w:r>
          </w:p>
        </w:tc>
        <w:tc>
          <w:tcPr>
            <w:tcW w:w="2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(5,426 )</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(689 )</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(11,891 )</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(10,598 )</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(1,293 )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12%</w:t>
            </w:r>
          </w:p>
        </w:tc>
      </w:tr>
      <w:tr>
        <w:trPr>
          <w:trHeight w:val="163"/>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income/ (loss)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(832 )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(146)%</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(719 )</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(248)%</w:t>
            </w:r>
          </w:p>
        </w:tc>
      </w:tr>
      <w:tr>
        <w:trPr>
          <w:trHeight w:val="20"/>
        </w:trPr>
        <w:tc>
          <w:tcPr>
            <w:tcW w:w="3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r>
      <w:tr>
        <w:trPr>
          <w:trHeight w:val="156"/>
        </w:trPr>
        <w:tc>
          <w:tcPr>
            <w:tcW w:w="3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other (expense)</w:t>
            </w:r>
          </w:p>
        </w:tc>
        <w:tc>
          <w:tcPr>
            <w:tcW w:w="180" w:type="dxa"/>
            <w:vAlign w:val="bottom"/>
          </w:tcPr>
          <w:p>
            <w:pPr>
              <w:spacing w:after="0"/>
              <w:rPr>
                <w:sz w:val="13"/>
                <w:szCs w:val="13"/>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(5,731 )</w:t>
            </w:r>
          </w:p>
        </w:tc>
        <w:tc>
          <w:tcPr>
            <w:tcW w:w="2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(6,258 )</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(10,829 )</w:t>
            </w: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(11,317 )</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w:t>
            </w:r>
          </w:p>
        </w:tc>
      </w:tr>
      <w:tr>
        <w:trPr>
          <w:trHeight w:val="156"/>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income before income taxes</w:t>
            </w: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11,108</w:t>
            </w:r>
          </w:p>
        </w:tc>
        <w:tc>
          <w:tcPr>
            <w:tcW w:w="24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4,066</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7,042</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173%</w:t>
            </w:r>
          </w:p>
        </w:tc>
        <w:tc>
          <w:tcPr>
            <w:tcW w:w="1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18,109</w:t>
            </w: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3,878</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14,231</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7"/>
              </w:rPr>
              <w:t>(367)%</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80" w:type="dxa"/>
            <w:vAlign w:val="bottom"/>
          </w:tcPr>
          <w:p>
            <w:pPr>
              <w:spacing w:after="0"/>
              <w:rPr>
                <w:sz w:val="14"/>
                <w:szCs w:val="14"/>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(3,718 )</w:t>
            </w:r>
          </w:p>
        </w:tc>
        <w:tc>
          <w:tcPr>
            <w:tcW w:w="2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(1,964 )</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(1,754 )</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(5,476 )</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(1,007 )</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(4,469 )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444%</w:t>
            </w:r>
          </w:p>
        </w:tc>
      </w:tr>
      <w:tr>
        <w:trPr>
          <w:trHeight w:val="195"/>
        </w:trPr>
        <w:tc>
          <w:tcPr>
            <w:tcW w:w="31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7,390</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2,102</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5,288</w:t>
            </w: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2"/>
              </w:rPr>
              <w:t>252%</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12,633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center"/>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2,871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9,762</w:t>
            </w: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-1190625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-1190625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-1190625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-1190625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-1190625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-1190625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-462280</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-462280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-462280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-462280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-462280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-462280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2024 and June 30, 2023</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total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June 30, 2024 and June 30, 2023. For the three months ended June 30, 2024 compared to the three months ended June 30, 2023, revenues increased by $8.6 million or 14% due to organic FPAUM growth across Bonaccord, Enhanced, and TrueBridge.</w:t>
      </w:r>
    </w:p>
    <w:p>
      <w:pPr>
        <w:spacing w:after="0" w:line="180"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Management and advisory fees increased by $6.8 million, or 11%, to $68.5 million for the three months ended June 30, 2024 as compared to the three months ended June 30, 2023 due primarily to organic FPAUM growth generating revenues of $8.6 million at Bonaccord, Enhanced, and TrueBridge. A decrease in catch-up fees at RCP for $2.0 million offset this increase in management fee revenue. Catch-up fees for the three months ended June 30, 2024 were $6.0 million of the $68.5 million in management and advisory fees associated with the fund closings at Bonaccord, TrueBridge, and RCP.</w:t>
      </w:r>
    </w:p>
    <w:p>
      <w:pPr>
        <w:spacing w:after="0" w:line="16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$1.8 million or 219% to $2.6 million for the three months ended June 30, 2024 as compared to the three months ended June 30, 2023 driven by $1.8 million of recognized carried interest income in other revenue at RCP from an uncommon pre-acquisition legacy managed fund.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 and June 30, 2023</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six months ended June 30, 2024 and June 30, 2023. For the six months ended June 30, 2024 compared to the six months ended June 30, 2023, revenues increased by $17.5 million or 15% primarily due to organic FPAUM growth across Bonaccord, Enhanced, and TrueBridge.</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$15.4 million, or 13%, to $133.6 million for the six months ended June 30, 2024 as compared to the six months ended June 30, 2023 due to organic FPAUM growth at Bonaccord, Enhanced, and TrueBridge of $17.7 million offset slightly by a decrease of $2.3 million in management fees at RCP primarily due to a decrease in catch-up fees. Catch-up fees for the six months ended June 30, 2024 were $13.8 million associated with the fund closings at Bonaccord, TrueBridge and RCP.</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0" w:name="page41"/>
    <w:bookmarkEnd w:id="40"/>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$2.1 million or 143% to $3.6 million for the six months ended June 30, 2024 as compared to the six months ended June 30, 2023 primarily driven by $1.8 million of recognized carried interest income from an uncommon pre-acquisition legacy managed fund in other revenue and an increase of $0.4 million of interest income in other revenue at RCP.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7"/>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r>
      <w:tr>
        <w:trPr>
          <w:trHeight w:val="237"/>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20"/>
                <w:szCs w:val="20"/>
                <w:color w:val="auto"/>
              </w:rPr>
            </w:pPr>
          </w:p>
        </w:tc>
        <w:tc>
          <w:tcPr>
            <w:tcW w:w="170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(58 )</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73,362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71,953</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18 %</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32 %</w:t>
            </w: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14 %</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(349 )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(888 )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(1,699 )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46"/>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125 %</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89 %</w:t>
            </w:r>
          </w:p>
        </w:tc>
      </w:tr>
      <w:tr>
        <w:trPr>
          <w:trHeight w:val="226"/>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240" w:type="dxa"/>
            <w:vAlign w:val="bottom"/>
          </w:tcPr>
          <w:p>
            <w:pPr>
              <w:spacing w:after="0"/>
              <w:rPr>
                <w:sz w:val="19"/>
                <w:szCs w:val="19"/>
                <w:color w:val="auto"/>
              </w:rPr>
            </w:pPr>
          </w:p>
        </w:tc>
        <w:tc>
          <w:tcPr>
            <w:tcW w:w="1320" w:type="dxa"/>
            <w:vAlign w:val="bottom"/>
            <w:gridSpan w:val="3"/>
          </w:tcPr>
          <w:p>
            <w:pPr>
              <w:jc w:val="right"/>
              <w:ind w:right="80"/>
              <w:spacing w:after="0" w:line="226" w:lineRule="exact"/>
              <w:rPr>
                <w:sz w:val="20"/>
                <w:szCs w:val="20"/>
                <w:color w:val="auto"/>
              </w:rPr>
            </w:pPr>
            <w:r>
              <w:rPr>
                <w:rFonts w:ascii="Times New Roman" w:cs="Times New Roman" w:eastAsia="Times New Roman" w:hAnsi="Times New Roman"/>
                <w:sz w:val="14"/>
                <w:szCs w:val="14"/>
                <w:color w:val="auto"/>
              </w:rPr>
              <w:t xml:space="preserve">4 % </w:t>
            </w:r>
            <w:r>
              <w:rPr>
                <w:rFonts w:ascii="Times New Roman" w:cs="Times New Roman" w:eastAsia="Times New Roman" w:hAnsi="Times New Roman"/>
                <w:sz w:val="26"/>
                <w:szCs w:val="26"/>
                <w:color w:val="auto"/>
                <w:vertAlign w:val="super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108,253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104,530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r>
      <w:tr>
        <w:trPr>
          <w:trHeight w:val="20"/>
        </w:trPr>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-1054100</wp:posOffset>
            </wp:positionV>
            <wp:extent cx="7132320" cy="145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2024 and June 30, 2023</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by $2.1 million, or 4%, to $54.2 million for the three months ended June 30, 2024 compared to the three months ended June 30, 2023. This increase was primarily due to an increase in general, administrative, and other expenses.</w:t>
      </w:r>
    </w:p>
    <w:p>
      <w:pPr>
        <w:spacing w:after="0" w:line="16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expense was unchanged for the three months ended June 30, 2024 compared to the three months ended June 30, 2023 due to a change of estimate for timing of achieving the earnout payment related to the acquisition of WTI, which prospectively adjusted recognition of the expense and resulted in $2.8 million decrease for the three months ended June 30, 2024 compared to the three months ended June 30, 2023. Additionally, there was a decrease in severance expense of $0.9 million and a decrease in stock compensation of $1.4 million primarily driven by remeasurement for the fair value of the Bonaccord Units and Hark Units related to the acquisition of Bonaccord and Hark. In 2023, the Hark Units were fully earned and recognized, therefore, there was no correlating expense in 2024 associated with the Hark Units. Moreover, the Bonaccord Units, which are recognized using the tranche method, had a decrease in expense for the three months ended June 30, 2024 compared to the three months ended June 30, 2023. These decreases were offset by a $5.1 million increase related to increases in headcount and associated benefits across the Company as well as merit-based salary raises to retain and motivate talent across the Company.</w:t>
      </w:r>
    </w:p>
    <w:p>
      <w:pPr>
        <w:spacing w:after="0" w:line="188"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Professional fees increased by $0.5 million, or 18%, to $3.5 million. The primary increase in professional fees for the three months ended June 30, 2024 compared to the three months ended June 30, 2023 is driven by an increase of $0.8 million in legal fees associated with the Company's transitions related to turnover at the management level, office locations, policies, as well as normal course of business such as filings and due diligence for acquisitions, which was slightly offset by the drop off of $0.3 legal fees associated with Enhanced's Oregon DOJ matter in the second quarter of 2023.</w:t>
      </w:r>
    </w:p>
    <w:p>
      <w:pPr>
        <w:spacing w:after="0" w:line="16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administrative, and other increased by $2.0 million, or 39%, to $7.0 million, due primarily to $0.6 million increase of placement agent fees at Hark, $0.1 million increase in rent at TrueBridge, $0.1 million increase in premises and utilities expense, $0.3 million increase in marketing efforts, $0.3 million increase in conferences, travel, and entertainment expenses, as well as $0.4 million ongoing enhancements to infrastructure, technology, and security across the Company.</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intangibles decreased by $0.9 million, or 12%, to $6.4 million, for the three months ended June 30, 2024 as compared to the three months ended June 30, 2023. This is due to decreases at ECG, RCP, and TrueBridge. The decrease at ECG is driven by unique syndication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 and June 30, 2023</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by $3.7 million, or 4%, to $108.3 million for the six months ended June 30, 2024 compared to the six months ended June 30, 2023. This increase was primarily due to increases in compensation and benefits,</w:t>
      </w:r>
    </w:p>
    <w:p>
      <w:pPr>
        <w:spacing w:after="0" w:line="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9"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general, administrative and other expense, and strategic alliance expense offset slightly by a decrease in amortization of intangibles.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and benefits expense increased by $1.4 million, or 2%, to $73.4 million, for the six months ended June 30, 2024 compared to the six months ended June 30, 2023. The increase was driven by $8.3 million of increases in headcount and associated benefits across the Company as well as merit-based salary raises to retain and motivate talent across the Company. This increase was offset by change of estimate for timing of achieving the earnout payment related to the acquisition of WTI, which prospectively adjusted recognition of the expense and resulted in $5.7 million decrease for the six months ended June 30, 2024 compared to the six months ended June 30, 2023. Additionally, there was a decrease in severance expense of $0.9 million and a decrease in stock compensation of $1.8 million, of which $5.3 million decrease relates to remeasurement for the fair value of the Bonaccord Units and Hark Units related to the acquisition of Bonaccord and Hark offset by $3.8 million increase related to management separation agreements. In 2023, the Hark Units were fully earned and recognized, therefore, there was no correlating expense in 2024 associated with the Hark Units. Moreover, the Bonaccord Units, which are recognized using the tranche method, had a decrease in expense for the six months ended June 30, 2024 compared to the six months ended June 30, 2023.</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increased by $0.5 million, or 7%, to $7.3 million. The primary driver for the increase in professional fees for the six months ended June 30, 2024 compared to the six months ended June 30, 2023 is an increase of $1.0 million legal expenses associated with the Company's transitions related to turnover at the management level, office locations, policies, as well as normal course of business such as filings and due diligence for acquisitions, which was slightly offset by a decrease in audit and tax services incurred in the six months ended June 30, 2024.</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$3.2 million, or 32%, to $13.1 million, due to $0.8 million increase of placement agent fees, $0.2 million increase of rent, $0.2 million increase of consulting expense, $0.5 million increase in marketing efforts, $0.4 million increase in conferences, travel, and entertainment expenses, and $0.6 million increase for ongoing enhancements to infrastructure, technology, and security across the Company.</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expense decreased by $0.3 million, to $0.1 million, for the six months ended June 30, 2024 as compared to the six months ended June 30, 2023. This was driven by remeasurement of contingent consideration payable in connection with the acquisitions of Hark and Bonaccord. The Hark contingent consideration was fully earned and paid in 2023 and the Bonaccord contingent consideration remaining fair value is $5.6 million as of June 30, 2024.</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intangibles decreased by $1.7 million, or 12%, to $12.9 million, for the six months ended June 30, 2024 as compared to the six months ended June 30, 2023. This is due to decreases at ECG, RCP, and TrueBridge. The decrease at ECG is driven by unique syndication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2024 and June 30, 2023</w:t>
      </w:r>
    </w:p>
    <w:p>
      <w:pPr>
        <w:spacing w:after="0" w:line="11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Other expenses decreased by $0.5 million, or 8%, to $5.7 million for the three months ended June 30, 2024 compared to the three months ended June 30, 2023. This decrease was driven by $1.3 million in other income/(losses) related to legal settlements incurred in the three months ended June 30, 2023 compared to no legal settlements incurred in the three months ended June 30, 2024. This was offset by an increase in interest expense of $0.7 million on the credit facility due to higher SOFR rates and a larger outstanding balance on the Revolving Credit Facility in the three months ended June 30,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 and June 30, 2023</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expenses decreased by $0.5 million, or 4%, to $10.8 million for the six months ended June 30, 2024 compared to the six months ended June 30, 2023. This decrease was driven by $1.3 million in other income/(losses) related to legal settlements incurred in the three months ended June 30, 2023 compared to no legal settlements incurred in the three months ended June 30, 2024 and $0.5 million increase in other income primarily as a result of interest earned for money market accounts. This was offset by an increase in interest expense of $1.3 million due to higher SOFR rates and a larger outstanding balance on the Revolving Credit Facility for the six months ended June 30, 2024 compared to the six months ended June 30, 2023.</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June 30, 2024 and June 30, 2023</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increased by $1.8 million to $3.7 million for the three months ended June 30, 2024 compared to the expense of $2.0 million for the three months ended June 30, 2023. The increase was primarily due to additional income during the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 and June 30, 2023</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increased by $4.5 million to $5.5 million for the six months ended June 30, 2024 compared to an expense of $1.0 million for the six months ended June 30, 2023. The increase was primarily due to additional income, and a decrease in stock-based compensation-related tax benefit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00" w:lineRule="exact"/>
        <w:rPr>
          <w:sz w:val="20"/>
          <w:szCs w:val="20"/>
          <w:color w:val="auto"/>
        </w:rPr>
      </w:pPr>
    </w:p>
    <w:p>
      <w:pPr>
        <w:spacing w:after="0" w:line="29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25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75"/>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Pr>
          <w:p>
            <w:pPr>
              <w:spacing w:after="0"/>
              <w:rPr>
                <w:sz w:val="15"/>
                <w:szCs w:val="15"/>
                <w:color w:val="auto"/>
              </w:rPr>
            </w:pPr>
          </w:p>
        </w:tc>
        <w:tc>
          <w:tcPr>
            <w:tcW w:w="25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7"/>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r>
      <w:tr>
        <w:trPr>
          <w:trHeight w:val="24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80" w:type="dxa"/>
            <w:vAlign w:val="bottom"/>
            <w:shd w:val="clear" w:color="auto" w:fill="CFF0FC"/>
          </w:tcPr>
          <w:p>
            <w:pPr>
              <w:spacing w:after="0"/>
              <w:rPr>
                <w:sz w:val="21"/>
                <w:szCs w:val="21"/>
                <w:color w:val="auto"/>
              </w:rPr>
            </w:pPr>
          </w:p>
        </w:tc>
      </w:tr>
      <w:tr>
        <w:trPr>
          <w:trHeight w:val="23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Pr>
          <w:p>
            <w:pPr>
              <w:spacing w:after="0"/>
              <w:rPr>
                <w:sz w:val="21"/>
                <w:szCs w:val="21"/>
                <w:color w:val="auto"/>
              </w:rPr>
            </w:pPr>
          </w:p>
        </w:tc>
      </w:tr>
      <w:tr>
        <w:trPr>
          <w:trHeight w:val="243"/>
        </w:trPr>
        <w:tc>
          <w:tcPr>
            <w:tcW w:w="360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FF0FC"/>
          </w:tcPr>
          <w:p>
            <w:pPr>
              <w:spacing w:after="0"/>
              <w:rPr>
                <w:sz w:val="21"/>
                <w:szCs w:val="21"/>
                <w:color w:val="auto"/>
              </w:rPr>
            </w:pPr>
          </w:p>
        </w:tc>
      </w:tr>
      <w:tr>
        <w:trPr>
          <w:trHeight w:val="243"/>
        </w:trPr>
        <w:tc>
          <w:tcPr>
            <w:tcW w:w="360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3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(105 )</w:t>
            </w:r>
          </w:p>
        </w:tc>
        <w:tc>
          <w:tcPr>
            <w:tcW w:w="1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(214 )</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(162 )</w:t>
            </w:r>
          </w:p>
        </w:tc>
        <w:tc>
          <w:tcPr>
            <w:tcW w:w="1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(284 )</w:t>
            </w:r>
          </w:p>
        </w:tc>
      </w:tr>
      <w:tr>
        <w:trPr>
          <w:trHeight w:val="243"/>
        </w:trPr>
        <w:tc>
          <w:tcPr>
            <w:tcW w:w="3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(746 )</w:t>
            </w:r>
          </w:p>
        </w:tc>
        <w:tc>
          <w:tcPr>
            <w:tcW w:w="1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(465 )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(770 )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(892 )</w:t>
            </w:r>
          </w:p>
        </w:tc>
      </w:tr>
      <w:tr>
        <w:trPr>
          <w:trHeight w:val="237"/>
        </w:trPr>
        <w:tc>
          <w:tcPr>
            <w:tcW w:w="3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80" w:type="dxa"/>
            <w:vAlign w:val="bottom"/>
            <w:tcBorders>
              <w:top w:val="single" w:sz="8" w:color="CFF0FC"/>
            </w:tcBorders>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-187960</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-187960</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-187960</wp:posOffset>
            </wp:positionV>
            <wp:extent cx="514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June 30, 2024</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FPAUM remained flat by staying at $23.8 billion for the three months ended June 30, 2024, due primarily to an increase in capital raised and deployed from our private equity and venture capital solutions being offset by expirations and scheduled fee stepdowns. FPAUM increased by $0.6 billion, or 2.5%, to $23.8 billion for the six months ended June 30, 2024, due primarily to an increase in capital raised and deployed from our private equity and venture capital solutions and offset by stepdowns and expirations.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use Fee-Related Revenue ("FRR"), Fee-Related Earnings ("FRE"), Adjusted Net Income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incentive fees. FRE is a non-GAAP performance measure used to monitor our baseline earnings less any incentive fee revenue and excluding any incentive fee-related expenses. ANI reflects our actual cash flows generated by our core operations. ANI is calculated as Adjusted EBITDA, less actual cash paid for interest and federal and state income taxes.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Adjusted EBITDA, we adjust our GAAP net (loss)/income for the following items:</w:t>
      </w:r>
    </w:p>
    <w:p>
      <w:pPr>
        <w:spacing w:after="0" w:line="117" w:lineRule="exact"/>
        <w:rPr>
          <w:sz w:val="20"/>
          <w:szCs w:val="20"/>
          <w:color w:val="auto"/>
        </w:rPr>
      </w:pPr>
    </w:p>
    <w:p>
      <w:pPr>
        <w:ind w:left="1020" w:right="5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placement/search fees;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cash income taxes paid during the three months ended June 30, 2024 and June 30, 2023 as well as during the six months ended June 30, 2024 and June 30, 2023 differ significantly from the net income tax expense, which is primarily comprised of deferred tax expense as described in the results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21"/>
                <w:szCs w:val="21"/>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Non-recurring expenses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 - acquisitions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00" w:type="dxa"/>
            <w:vAlign w:val="bottom"/>
          </w:tcPr>
          <w:p>
            <w:pPr>
              <w:spacing w:after="0"/>
              <w:rPr>
                <w:sz w:val="20"/>
                <w:szCs w:val="20"/>
                <w:color w:val="auto"/>
              </w:rPr>
            </w:pPr>
          </w:p>
        </w:tc>
      </w:tr>
      <w:tr>
        <w:trPr>
          <w:trHeight w:val="243"/>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 out related compensation</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7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24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63,236</w:t>
            </w:r>
          </w:p>
        </w:tc>
        <w:tc>
          <w:tcPr>
            <w:tcW w:w="100" w:type="dxa"/>
            <w:vAlign w:val="bottom"/>
          </w:tcPr>
          <w:p>
            <w:pPr>
              <w:spacing w:after="0"/>
              <w:rPr>
                <w:sz w:val="24"/>
                <w:szCs w:val="24"/>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interest expense, net</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(5,636 )</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(7,141 )</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(11,042 )</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(10,003 )</w:t>
            </w:r>
          </w:p>
        </w:tc>
      </w:tr>
      <w:tr>
        <w:trPr>
          <w:trHeight w:val="243"/>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paid on income taxes</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(1,030 )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(1,049 )</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(1,088 )</w:t>
            </w:r>
          </w:p>
        </w:tc>
      </w:tr>
      <w:tr>
        <w:trPr>
          <w:trHeight w:val="239"/>
        </w:trPr>
        <w:tc>
          <w:tcPr>
            <w:tcW w:w="4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26,659</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52,145</w:t>
            </w:r>
          </w:p>
        </w:tc>
        <w:tc>
          <w:tcPr>
            <w:tcW w:w="10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4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119,725</w:t>
            </w:r>
          </w:p>
        </w:tc>
        <w:tc>
          <w:tcPr>
            <w:tcW w:w="100" w:type="dxa"/>
            <w:vAlign w:val="bottom"/>
            <w:shd w:val="clear" w:color="auto" w:fill="CFF0FC"/>
          </w:tcPr>
          <w:p>
            <w:pPr>
              <w:spacing w:after="0"/>
              <w:rPr>
                <w:sz w:val="21"/>
                <w:szCs w:val="21"/>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Non-Fee Related Revenue</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(1,282 )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(2,402 )</w:t>
            </w:r>
          </w:p>
        </w:tc>
      </w:tr>
      <w:tr>
        <w:trPr>
          <w:trHeight w:val="236"/>
        </w:trPr>
        <w:tc>
          <w:tcPr>
            <w:tcW w:w="4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68,309</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61,190</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133,316</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117,323</w:t>
            </w:r>
          </w:p>
        </w:tc>
        <w:tc>
          <w:tcPr>
            <w:tcW w:w="10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63,236</w:t>
            </w:r>
          </w:p>
        </w:tc>
        <w:tc>
          <w:tcPr>
            <w:tcW w:w="100" w:type="dxa"/>
            <w:vAlign w:val="bottom"/>
            <w:shd w:val="clear" w:color="auto" w:fill="CFF0FC"/>
          </w:tcPr>
          <w:p>
            <w:pPr>
              <w:spacing w:after="0"/>
              <w:rPr>
                <w:sz w:val="21"/>
                <w:szCs w:val="21"/>
                <w:color w:val="auto"/>
              </w:rPr>
            </w:pPr>
          </w:p>
        </w:tc>
      </w:tr>
      <w:tr>
        <w:trPr>
          <w:trHeight w:val="24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Non-Fee Related Income</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(1,934 )</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(316 )</w:t>
            </w:r>
          </w:p>
        </w:tc>
      </w:tr>
      <w:tr>
        <w:trPr>
          <w:trHeight w:val="237"/>
        </w:trPr>
        <w:tc>
          <w:tcPr>
            <w:tcW w:w="4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33,565</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64,306</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62,920</w:t>
            </w:r>
          </w:p>
        </w:tc>
        <w:tc>
          <w:tcPr>
            <w:tcW w:w="10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4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-3445510</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-3445510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-3445510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-2639695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-2639695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-2639695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-1833880</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-1833880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-1833880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-1028065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-1028065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-1028065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7"/>
        </w:trPr>
        <w:tc>
          <w:tcPr>
            <w:tcW w:w="4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629,233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(12,875 )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823,222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(10,852 )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300,631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396,867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(28,295 )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bl>
    <w:p>
      <w:pPr>
        <w:spacing w:after="0" w:line="20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Cash and cash equivalents remained flat from $32.1 million as of December 31, 2023 to $32.2 million as of June 30, 2024 primarily due to strategic open market repurchases in the open market and the debt draws and repayments associated with the share repurchases. There was a decrease in goodwill and intangible assets of $12.9 million due to amortization of intangibles during the six months ended June 30, 2024. Remaining total assets increased in the same period by $1.9 million. The increase is driven by an increase in accounts receivable and due from related parties which is primarily due to ECG's Advisory Agreement with Enhanced PC and Crossroads. The increase in remaining total assets was offset by a decrease in deferred tax assets, net due to a change in estimates and a decrease in prepaid expenses and other assets, which is primarily due to Enhanced's sale of state tax credits during the six months ended June 30, 2024. Debt obligations increased by $10.8 million which is driven by revolver activity due to common stock repurchases during the six months ended June 30,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7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one, three, or six months for the Term Loan. Principal is contractually repaid at a rate of 1.25% on the term loan quarterly effective March 31, 2023. The Revolving Credit Facility has no contractual principal repayments until maturity, which is December 22, 2025 for both facilities.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the Term Loan with a balance of $196.6 million is incurring interest at a weighted average Adjusted Term SOFR Rate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7.43%. As of June 30, 2024, the Revolver Facility is split into fourteen tranches. The total principal outstanding is $106.1 million and the average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SOFR Rate amongst the tranches is 7.43%. The tranches are all incurring interest at a set rate for one, three, or six month periods and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reset at the current SOFR rate. Refer to Note 11 of the Consolidated Financial Statements for further details provided on the tranches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interest periods.</w:t>
      </w:r>
    </w:p>
    <w:p>
      <w:pPr>
        <w:spacing w:after="0" w:line="20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typical of such financing transactions, and specific financial covenants which require P10 to maintain a minimum leverage ratio of less than or equal to 3.50. As of June 30, 2024, P10 was in compliance with its financial and other covenants required under the facility. The Company has incurred $11.2 million in interest expense for the six months ended June 30, 2024.</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August 1, 2024, the Company entered into a restatement agreement, which amends and restates the Company's Credit Agreement. Refer to Note 17 of the Consolidated Financial Statements for further details.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six months ended June 30, 2024 and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4"/>
                <w:szCs w:val="14"/>
                <w:color w:val="auto"/>
              </w:rPr>
            </w:pPr>
          </w:p>
        </w:tc>
        <w:tc>
          <w:tcPr>
            <w:tcW w:w="13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(627 )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w:t>
            </w: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(44,506 )</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(33,211 )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(11,295 )</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Increase (Decrease) in cash, cash equivalents and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(4,631 )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-299720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-299720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-299720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June 30, 2023</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 Cash from operating activities increased by $16.6 million, or 57%, to $45.8 million for the six months ended June 30, 2024 compared to the six months ended June 30, 2023. For the six months ended June 30, 2024 and 2023, our net cash provided by operating activities was driven primarily by receipts of management fees and advisory fees, partially offset by payment of operating expenses, which includes professional fees, compensation and benefits, as well as general, administrative and other expenses. Additionally, the six months ended June 30, 2024 was impacted by cash received for the sale of tax credits while the six months ended June 30, 2023 was impacted by repaying deposit liabilities to third parties related to pending tax credit projects.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June 30, 2023</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increased by $0.5 million, or 81%, to $1.1 million, for the six months ended June 30, 2024 as compared to the six months ended June 30, 2023. This increase in cash used was primarily due to purchases of leasehold improvements, included in property and equipment during the six months ended June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2024 and June 30, 2023</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recorded a net $44.5 million for the six months ended June 30, 2024 for cash used in financing activities, as compared to cash used in financing activities of $33.2 million for the six months ended June 30, 2023. The change is driven by the repurchase of common stock funded by cash available from operating activities and additional draws on debt during the six months ended June 30, 2024 compared to the six months ended June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of our consolidated financial statements for further information.</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6 of our consolidated financial statements for more information on both consolidated and unconsolidated VIEs.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Management Fees Received in Advance</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Advisory Fees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of the grant date. Certain acquisition 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to the Consolidated Financial Statements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3"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jc w:val="center"/>
        <w:ind w:right="160"/>
        <w:spacing w:after="0" w:line="407" w:lineRule="auto"/>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 alone tax rules as applicable.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we had $196.6 million in outstanding principal in Term Loans under our Term Loan and $106.1 million under our Revolving Credit Facility. The annual interest rate on the Term Loan is based on SOFR, subject to a floor of 0.10%, plus 2.00%. On June 30, 2024, the interest rate on these borrowings was 2.1% + SOFR. We estimate that a 100-basis point increase in the interest rate would result in an approximately $2.0 million increase in interest expense related to the loan over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our most recent quarter ended June 30, 2024 that have materially affected, or are reasonably likely to materially affect, our internal control over financial reporting.</w:t>
      </w:r>
    </w:p>
    <w:p>
      <w:pPr>
        <w:spacing w:after="0" w:line="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“Contingencies” in Note 13, Commitments and Contingencies, to our consolidated financial statements included elsewhere in this annual report, and such information is incorporated by reference into this Item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Total Number of Shares Purchased as</w:t>
            </w:r>
          </w:p>
        </w:tc>
        <w:tc>
          <w:tcPr>
            <w:tcW w:w="10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Calibri" w:cs="Calibri" w:eastAsia="Calibri" w:hAnsi="Calibri"/>
                <w:sz w:val="13"/>
                <w:szCs w:val="13"/>
                <w:b w:val="1"/>
                <w:bCs w:val="1"/>
                <w:color w:val="auto"/>
                <w:w w:val="95"/>
              </w:rPr>
              <w:t>Maximum 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80" w:type="dxa"/>
            <w:vAlign w:val="bottom"/>
          </w:tcPr>
          <w:p>
            <w:pPr>
              <w:jc w:val="right"/>
              <w:ind w:right="237"/>
              <w:spacing w:after="0" w:line="149" w:lineRule="exact"/>
              <w:rPr>
                <w:sz w:val="20"/>
                <w:szCs w:val="20"/>
                <w:color w:val="auto"/>
              </w:rPr>
            </w:pPr>
            <w:r>
              <w:rPr>
                <w:rFonts w:ascii="Calibri" w:cs="Calibri" w:eastAsia="Calibri" w:hAnsi="Calibri"/>
                <w:sz w:val="13"/>
                <w:szCs w:val="13"/>
                <w:b w:val="1"/>
                <w:bCs w:val="1"/>
                <w:color w:val="auto"/>
              </w:rPr>
              <w:t>Total Number of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77"/>
              <w:spacing w:after="0" w:line="149" w:lineRule="exact"/>
              <w:rPr>
                <w:sz w:val="20"/>
                <w:szCs w:val="20"/>
                <w:color w:val="auto"/>
              </w:rPr>
            </w:pPr>
            <w:r>
              <w:rPr>
                <w:rFonts w:ascii="Calibri" w:cs="Calibri" w:eastAsia="Calibri" w:hAnsi="Calibri"/>
                <w:sz w:val="13"/>
                <w:szCs w:val="13"/>
                <w:b w:val="1"/>
                <w:bCs w:val="1"/>
                <w:color w:val="auto"/>
                <w:w w:val="94"/>
              </w:rPr>
              <w:t>Weighted Average</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Part of Publicly Announced Plan or</w:t>
            </w:r>
          </w:p>
        </w:tc>
        <w:tc>
          <w:tcPr>
            <w:tcW w:w="100" w:type="dxa"/>
            <w:vAlign w:val="bottom"/>
          </w:tcPr>
          <w:p>
            <w:pPr>
              <w:spacing w:after="0"/>
              <w:rPr>
                <w:sz w:val="12"/>
                <w:szCs w:val="12"/>
                <w:color w:val="auto"/>
              </w:rPr>
            </w:pPr>
          </w:p>
        </w:tc>
        <w:tc>
          <w:tcPr>
            <w:tcW w:w="2120" w:type="dxa"/>
            <w:vAlign w:val="bottom"/>
            <w:gridSpan w:val="3"/>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5"/>
              </w:rPr>
              <w:t>of Shares that May Yet Be Purchased</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Period</w:t>
            </w:r>
          </w:p>
        </w:tc>
        <w:tc>
          <w:tcPr>
            <w:tcW w:w="1780" w:type="dxa"/>
            <w:vAlign w:val="bottom"/>
          </w:tcPr>
          <w:p>
            <w:pPr>
              <w:jc w:val="right"/>
              <w:ind w:right="557"/>
              <w:spacing w:after="0" w:line="149" w:lineRule="exact"/>
              <w:rPr>
                <w:sz w:val="20"/>
                <w:szCs w:val="20"/>
                <w:color w:val="auto"/>
              </w:rPr>
            </w:pPr>
            <w:r>
              <w:rPr>
                <w:rFonts w:ascii="Calibri" w:cs="Calibri" w:eastAsia="Calibri" w:hAnsi="Calibri"/>
                <w:sz w:val="13"/>
                <w:szCs w:val="13"/>
                <w:b w:val="1"/>
                <w:bCs w:val="1"/>
                <w:color w:val="auto"/>
              </w:rPr>
              <w:t>Purchased</w:t>
            </w:r>
          </w:p>
        </w:tc>
        <w:tc>
          <w:tcPr>
            <w:tcW w:w="120" w:type="dxa"/>
            <w:vAlign w:val="bottom"/>
          </w:tcPr>
          <w:p>
            <w:pPr>
              <w:spacing w:after="0"/>
              <w:rPr>
                <w:sz w:val="12"/>
                <w:szCs w:val="12"/>
                <w:color w:val="auto"/>
              </w:rPr>
            </w:pPr>
          </w:p>
        </w:tc>
        <w:tc>
          <w:tcPr>
            <w:tcW w:w="1180" w:type="dxa"/>
            <w:vAlign w:val="bottom"/>
            <w:gridSpan w:val="2"/>
          </w:tcPr>
          <w:p>
            <w:pPr>
              <w:jc w:val="right"/>
              <w:ind w:right="17"/>
              <w:spacing w:after="0" w:line="149" w:lineRule="exact"/>
              <w:rPr>
                <w:sz w:val="20"/>
                <w:szCs w:val="20"/>
                <w:color w:val="auto"/>
              </w:rPr>
            </w:pPr>
            <w:r>
              <w:rPr>
                <w:rFonts w:ascii="Calibri" w:cs="Calibri" w:eastAsia="Calibri" w:hAnsi="Calibri"/>
                <w:sz w:val="13"/>
                <w:szCs w:val="13"/>
                <w:b w:val="1"/>
                <w:bCs w:val="1"/>
                <w:color w:val="auto"/>
              </w:rPr>
              <w:t>Price Paid per Share</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Program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6"/>
              </w:rPr>
              <w:t>Under the Plans or Programs (1)</w:t>
            </w:r>
          </w:p>
        </w:tc>
        <w:tc>
          <w:tcPr>
            <w:tcW w:w="0" w:type="dxa"/>
            <w:vAlign w:val="bottom"/>
          </w:tcPr>
          <w:p>
            <w:pPr>
              <w:spacing w:after="0"/>
              <w:rPr>
                <w:sz w:val="1"/>
                <w:szCs w:val="1"/>
                <w:color w:val="auto"/>
              </w:rPr>
            </w:pPr>
          </w:p>
        </w:tc>
      </w:tr>
      <w:tr>
        <w:trPr>
          <w:trHeight w:val="44"/>
        </w:trPr>
        <w:tc>
          <w:tcPr>
            <w:tcW w:w="36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6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April 1 - 30, 2024</w:t>
            </w:r>
          </w:p>
        </w:tc>
        <w:tc>
          <w:tcPr>
            <w:tcW w:w="17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1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8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9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20,524,759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60" w:type="dxa"/>
            <w:vAlign w:val="bottom"/>
          </w:tcPr>
          <w:p>
            <w:pPr>
              <w:ind w:left="20"/>
              <w:spacing w:after="0" w:line="152" w:lineRule="exact"/>
              <w:rPr>
                <w:sz w:val="20"/>
                <w:szCs w:val="20"/>
                <w:color w:val="auto"/>
              </w:rPr>
            </w:pPr>
            <w:r>
              <w:rPr>
                <w:rFonts w:ascii="Calibri" w:cs="Calibri" w:eastAsia="Calibri" w:hAnsi="Calibri"/>
                <w:sz w:val="13"/>
                <w:szCs w:val="13"/>
                <w:color w:val="auto"/>
              </w:rPr>
              <w:t>May 1 - 31, 2024</w:t>
            </w:r>
          </w:p>
        </w:tc>
        <w:tc>
          <w:tcPr>
            <w:tcW w:w="1780" w:type="dxa"/>
            <w:vAlign w:val="bottom"/>
          </w:tcPr>
          <w:p>
            <w:pPr>
              <w:jc w:val="right"/>
              <w:spacing w:after="0" w:line="152" w:lineRule="exact"/>
              <w:rPr>
                <w:sz w:val="20"/>
                <w:szCs w:val="20"/>
                <w:color w:val="auto"/>
              </w:rPr>
            </w:pPr>
            <w:r>
              <w:rPr>
                <w:rFonts w:ascii="Calibri" w:cs="Calibri" w:eastAsia="Calibri" w:hAnsi="Calibri"/>
                <w:sz w:val="13"/>
                <w:szCs w:val="13"/>
                <w:color w:val="auto"/>
              </w:rPr>
              <w:t>765,700</w:t>
            </w:r>
          </w:p>
        </w:tc>
        <w:tc>
          <w:tcPr>
            <w:tcW w:w="20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100" w:type="dxa"/>
            <w:vAlign w:val="bottom"/>
          </w:tcPr>
          <w:p>
            <w:pPr>
              <w:jc w:val="right"/>
              <w:spacing w:after="0" w:line="152" w:lineRule="exact"/>
              <w:rPr>
                <w:sz w:val="20"/>
                <w:szCs w:val="20"/>
                <w:color w:val="auto"/>
              </w:rPr>
            </w:pPr>
            <w:r>
              <w:rPr>
                <w:rFonts w:ascii="Calibri" w:cs="Calibri" w:eastAsia="Calibri" w:hAnsi="Calibri"/>
                <w:sz w:val="13"/>
                <w:szCs w:val="13"/>
                <w:color w:val="auto"/>
              </w:rPr>
              <w:t>8.20</w:t>
            </w:r>
          </w:p>
        </w:tc>
        <w:tc>
          <w:tcPr>
            <w:tcW w:w="228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765,700</w:t>
            </w:r>
          </w:p>
        </w:tc>
        <w:tc>
          <w:tcPr>
            <w:tcW w:w="22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900" w:type="dxa"/>
            <w:vAlign w:val="bottom"/>
          </w:tcPr>
          <w:p>
            <w:pPr>
              <w:jc w:val="right"/>
              <w:spacing w:after="0" w:line="152" w:lineRule="exact"/>
              <w:rPr>
                <w:sz w:val="20"/>
                <w:szCs w:val="20"/>
                <w:color w:val="auto"/>
              </w:rPr>
            </w:pPr>
            <w:r>
              <w:rPr>
                <w:rFonts w:ascii="Calibri" w:cs="Calibri" w:eastAsia="Calibri" w:hAnsi="Calibri"/>
                <w:sz w:val="13"/>
                <w:szCs w:val="13"/>
                <w:color w:val="auto"/>
              </w:rPr>
              <w:t>14,248,694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June 1 - 30, 2024</w:t>
            </w:r>
          </w:p>
        </w:tc>
        <w:tc>
          <w:tcPr>
            <w:tcW w:w="178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768,100</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8.04</w:t>
            </w:r>
          </w:p>
        </w:tc>
        <w:tc>
          <w:tcPr>
            <w:tcW w:w="100" w:type="dxa"/>
            <w:vAlign w:val="bottom"/>
            <w:tcBorders>
              <w:bottom w:val="single" w:sz="8" w:color="CFF0FC"/>
            </w:tcBorders>
            <w:shd w:val="clear" w:color="auto" w:fill="CFF0FC"/>
          </w:tcPr>
          <w:p>
            <w:pPr>
              <w:spacing w:after="0"/>
              <w:rPr>
                <w:sz w:val="14"/>
                <w:szCs w:val="14"/>
                <w:color w:val="auto"/>
              </w:rPr>
            </w:pPr>
          </w:p>
        </w:tc>
        <w:tc>
          <w:tcPr>
            <w:tcW w:w="218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768,100</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8,060,047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660" w:type="dxa"/>
            <w:vAlign w:val="bottom"/>
            <w:vMerge w:val="restart"/>
          </w:tcPr>
          <w:p>
            <w:pPr>
              <w:ind w:left="20"/>
              <w:spacing w:after="0"/>
              <w:rPr>
                <w:sz w:val="20"/>
                <w:szCs w:val="20"/>
                <w:color w:val="auto"/>
              </w:rPr>
            </w:pPr>
            <w:r>
              <w:rPr>
                <w:rFonts w:ascii="Calibri" w:cs="Calibri" w:eastAsia="Calibri" w:hAnsi="Calibri"/>
                <w:sz w:val="13"/>
                <w:szCs w:val="13"/>
                <w:b w:val="1"/>
                <w:bCs w:val="1"/>
                <w:color w:val="auto"/>
              </w:rPr>
              <w:t>Total</w:t>
            </w:r>
          </w:p>
        </w:tc>
        <w:tc>
          <w:tcPr>
            <w:tcW w:w="1780" w:type="dxa"/>
            <w:vAlign w:val="bottom"/>
          </w:tcPr>
          <w:p>
            <w:pPr>
              <w:jc w:val="right"/>
              <w:spacing w:after="0" w:line="151" w:lineRule="exact"/>
              <w:rPr>
                <w:sz w:val="20"/>
                <w:szCs w:val="20"/>
                <w:color w:val="auto"/>
              </w:rPr>
            </w:pPr>
            <w:r>
              <w:rPr>
                <w:rFonts w:ascii="Calibri" w:cs="Calibri" w:eastAsia="Calibri" w:hAnsi="Calibri"/>
                <w:sz w:val="13"/>
                <w:szCs w:val="13"/>
                <w:b w:val="1"/>
                <w:bCs w:val="1"/>
                <w:color w:val="auto"/>
              </w:rPr>
              <w:t>1,533,800</w:t>
            </w:r>
          </w:p>
        </w:tc>
        <w:tc>
          <w:tcPr>
            <w:tcW w:w="20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w:t>
            </w:r>
          </w:p>
        </w:tc>
        <w:tc>
          <w:tcPr>
            <w:tcW w:w="1100" w:type="dxa"/>
            <w:vAlign w:val="bottom"/>
            <w:vMerge w:val="restart"/>
          </w:tcPr>
          <w:p>
            <w:pPr>
              <w:jc w:val="right"/>
              <w:spacing w:after="0"/>
              <w:rPr>
                <w:sz w:val="20"/>
                <w:szCs w:val="20"/>
                <w:color w:val="auto"/>
              </w:rPr>
            </w:pPr>
            <w:r>
              <w:rPr>
                <w:rFonts w:ascii="Calibri" w:cs="Calibri" w:eastAsia="Calibri" w:hAnsi="Calibri"/>
                <w:sz w:val="13"/>
                <w:szCs w:val="13"/>
                <w:b w:val="1"/>
                <w:bCs w:val="1"/>
                <w:color w:val="auto"/>
              </w:rPr>
              <w:t>8.12</w:t>
            </w:r>
          </w:p>
        </w:tc>
        <w:tc>
          <w:tcPr>
            <w:tcW w:w="2280" w:type="dxa"/>
            <w:vAlign w:val="bottom"/>
            <w:gridSpan w:val="2"/>
          </w:tcPr>
          <w:p>
            <w:pPr>
              <w:jc w:val="right"/>
              <w:spacing w:after="0" w:line="151" w:lineRule="exact"/>
              <w:rPr>
                <w:sz w:val="20"/>
                <w:szCs w:val="20"/>
                <w:color w:val="auto"/>
              </w:rPr>
            </w:pPr>
            <w:r>
              <w:rPr>
                <w:rFonts w:ascii="Calibri" w:cs="Calibri" w:eastAsia="Calibri" w:hAnsi="Calibri"/>
                <w:sz w:val="13"/>
                <w:szCs w:val="13"/>
                <w:b w:val="1"/>
                <w:bCs w:val="1"/>
                <w:color w:val="auto"/>
              </w:rPr>
              <w:t>1,533,800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60" w:type="dxa"/>
            <w:vAlign w:val="bottom"/>
            <w:vMerge w:val="continue"/>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-144780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-144780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line="254"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we announced that our Board of Directors authorized a program to repurchase outstanding shares of our Class A and Class B common stock as of the date of authorization, not to exceed $20 million (the "Stock Repurchase Program"). Upon completion of purchases under the prior authorization, on December 27, 2022, we announced that our Board of Directors authorized an additional $20 million for repurchases under the Stock Repurchase Program. On February 27, 2024 the Board of Directors authorized an additional $40 million for repurchases under the Stock Repurchase Program, and on August 6, 2024, the Board of Directors authorized an additional $12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4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Amendment No. 1 to 2021 Equity Incentive Plan (incorporated by reference to Exhibit 10.1 to the Company's Current Report on form 8-K</w:t>
              </w:r>
            </w:hyperlink>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32">
              <w:r>
                <w:rPr>
                  <w:rFonts w:ascii="Times New Roman" w:cs="Times New Roman" w:eastAsia="Times New Roman" w:hAnsi="Times New Roman"/>
                  <w:sz w:val="18"/>
                  <w:szCs w:val="18"/>
                  <w:color w:val="0000FF"/>
                  <w:w w:val="98"/>
                </w:rPr>
                <w:t>filed on June 17, 2024)</w:t>
              </w:r>
            </w:hyperlink>
          </w:p>
        </w:tc>
        <w:tc>
          <w:tcPr>
            <w:tcW w:w="8540" w:type="dxa"/>
            <w:vAlign w:val="bottom"/>
            <w:gridSpan w:val="9"/>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Separation Agreement and General Release, dated as of May 20, 2024, by and between P10 Intermediate Holdings, LLC and William F.</w:t>
            </w:r>
          </w:p>
        </w:tc>
        <w:tc>
          <w:tcPr>
            <w:tcW w:w="36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Souder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Amendment to Executive Transition Agreement, dated as of May 9, 2024, by and between P10 Intermediate Holdings, LLC and Robert</w:t>
            </w:r>
          </w:p>
        </w:tc>
        <w:tc>
          <w:tcPr>
            <w:tcW w:w="40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Alpert</w:t>
            </w:r>
          </w:p>
        </w:tc>
        <w:tc>
          <w:tcPr>
            <w:tcW w:w="9700" w:type="dxa"/>
            <w:vAlign w:val="bottom"/>
            <w:gridSpan w:val="12"/>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60" w:type="dxa"/>
            <w:vAlign w:val="bottom"/>
            <w:gridSpan w:val="7"/>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60" w:type="dxa"/>
            <w:vAlign w:val="bottom"/>
            <w:gridSpan w:val="7"/>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20" w:type="dxa"/>
            <w:vAlign w:val="bottom"/>
            <w:tcBorders>
              <w:bottom w:val="single" w:sz="8" w:color="0000EE"/>
            </w:tcBorders>
          </w:tcPr>
          <w:p>
            <w:pPr>
              <w:spacing w:after="0"/>
              <w:rPr>
                <w:sz w:val="17"/>
                <w:szCs w:val="17"/>
                <w:color w:val="auto"/>
              </w:rPr>
            </w:pPr>
          </w:p>
        </w:tc>
        <w:tc>
          <w:tcPr>
            <w:tcW w:w="9580" w:type="dxa"/>
            <w:vAlign w:val="bottom"/>
            <w:gridSpan w:val="10"/>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12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20" w:type="dxa"/>
            <w:vAlign w:val="bottom"/>
            <w:tcBorders>
              <w:bottom w:val="single" w:sz="8" w:color="0000EE"/>
            </w:tcBorders>
          </w:tcPr>
          <w:p>
            <w:pPr>
              <w:spacing w:after="0"/>
              <w:rPr>
                <w:sz w:val="17"/>
                <w:szCs w:val="17"/>
                <w:color w:val="auto"/>
              </w:rPr>
            </w:pPr>
          </w:p>
        </w:tc>
        <w:tc>
          <w:tcPr>
            <w:tcW w:w="9580" w:type="dxa"/>
            <w:vAlign w:val="bottom"/>
            <w:gridSpan w:val="10"/>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57" w:lineRule="exact"/>
        <w:rPr>
          <w:sz w:val="20"/>
          <w:szCs w:val="20"/>
          <w:color w:val="auto"/>
        </w:rPr>
      </w:pPr>
    </w:p>
    <w:p>
      <w:pPr>
        <w:ind w:left="1040" w:hanging="1019"/>
        <w:spacing w:after="0"/>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P10, Inc.</w:t>
      </w:r>
    </w:p>
    <w:p>
      <w:pPr>
        <w:spacing w:after="0" w:line="252"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3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 (Principal Executive</w:t>
      </w:r>
    </w:p>
    <w:p>
      <w:pPr>
        <w:spacing w:after="0" w:line="2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34"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27"/>
        <w:spacing w:after="0"/>
        <w:rPr>
          <w:sz w:val="20"/>
          <w:szCs w:val="20"/>
          <w:color w:val="auto"/>
        </w:rPr>
      </w:pPr>
      <w:r>
        <w:rPr>
          <w:rFonts w:ascii="Times New Roman" w:cs="Times New Roman" w:eastAsia="Times New Roman" w:hAnsi="Times New Roman"/>
          <w:sz w:val="22"/>
          <w:szCs w:val="22"/>
          <w:b w:val="1"/>
          <w:bCs w:val="1"/>
          <w:color w:val="auto"/>
        </w:rPr>
        <w:t>SEPARATION AGREEMENT AND GENERAL RELEASE</w:t>
      </w:r>
    </w:p>
    <w:p>
      <w:pPr>
        <w:spacing w:after="0" w:line="210"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2"/>
          <w:szCs w:val="22"/>
          <w:color w:val="auto"/>
        </w:rPr>
        <w:t>This SEPARATION AGREEMENT AND GENERAL RELEASE (“Agreement”) is</w:t>
      </w:r>
    </w:p>
    <w:p>
      <w:pPr>
        <w:spacing w:after="0" w:line="14"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21"/>
          <w:szCs w:val="21"/>
          <w:color w:val="auto"/>
        </w:rPr>
        <w:t>made and entered into by and between William F. Souder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P10 Intermediate Holdings,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298"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97" w:lineRule="exact"/>
        <w:rPr>
          <w:sz w:val="20"/>
          <w:szCs w:val="20"/>
          <w:color w:val="auto"/>
        </w:rPr>
      </w:pPr>
    </w:p>
    <w:p>
      <w:pPr>
        <w:jc w:val="both"/>
        <w:ind w:left="7" w:right="140" w:firstLine="747"/>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entered into an Employment Agreement dated May 12, 2023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left="7" w:right="140" w:firstLine="747"/>
        <w:spacing w:after="0" w:line="244" w:lineRule="auto"/>
        <w:rPr>
          <w:sz w:val="20"/>
          <w:szCs w:val="20"/>
          <w:color w:val="auto"/>
        </w:rPr>
      </w:pPr>
      <w:r>
        <w:rPr>
          <w:rFonts w:ascii="Times New Roman" w:cs="Times New Roman" w:eastAsia="Times New Roman" w:hAnsi="Times New Roman"/>
          <w:sz w:val="22"/>
          <w:szCs w:val="22"/>
          <w:color w:val="auto"/>
        </w:rPr>
        <w:t>WHEREAS, Executive was provided notice that the Company elected not to renew or extend the Term (as defined in the Employment Agreement) of the Employment Agreement and that the Term and the Executive’s employment with the Company will terminate effective May 11, 2024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left="7" w:right="120" w:firstLine="74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representations, warranties, and agreements contained herein, and for other good and valuable consideration, the receipt and sufficiency of which are hereby acknowledged, the parties hereto, intending to be legally bound, hereby agree as follows:</w:t>
      </w:r>
    </w:p>
    <w:p>
      <w:pPr>
        <w:spacing w:after="0" w:line="173" w:lineRule="exact"/>
        <w:rPr>
          <w:sz w:val="20"/>
          <w:szCs w:val="20"/>
          <w:color w:val="auto"/>
        </w:rPr>
      </w:pPr>
    </w:p>
    <w:p>
      <w:pPr>
        <w:ind w:left="1507" w:hanging="758"/>
        <w:spacing w:after="0"/>
        <w:tabs>
          <w:tab w:leader="none" w:pos="1507" w:val="left"/>
        </w:tabs>
        <w:numPr>
          <w:ilvl w:val="1"/>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Separation from Employment</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u w:val="single" w:color="auto"/>
          <w:color w:val="auto"/>
        </w:rPr>
      </w:pPr>
    </w:p>
    <w:p>
      <w:pPr>
        <w:jc w:val="both"/>
        <w:ind w:left="7" w:right="120" w:firstLine="1490"/>
        <w:spacing w:after="0" w:line="249" w:lineRule="auto"/>
        <w:tabs>
          <w:tab w:leader="none" w:pos="1934"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last day of employment with the Company shall be on the Separation Date, after which date Executive shall have no duties, responsibilities, or authority and otherwise may not act as an employee, agent, or representative of the Company, any of its direct or indirect subsidiaries or parents (including P10, Inc.) or any of their affiliates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Executive hereby resigns from any and all officer, director, trustee or similar positions Executive held with the Company Group and the Company Group hereby accepts such resignations, effective as of the Separation Date. Executive agrees to provide documentation reasonably requested by the Company to reflect or evidence any such resignations.</w:t>
      </w:r>
    </w:p>
    <w:p>
      <w:pPr>
        <w:spacing w:after="0" w:line="62" w:lineRule="exact"/>
        <w:rPr>
          <w:rFonts w:ascii="Times New Roman" w:cs="Times New Roman" w:eastAsia="Times New Roman" w:hAnsi="Times New Roman"/>
          <w:sz w:val="21"/>
          <w:szCs w:val="21"/>
          <w:color w:val="auto"/>
        </w:rPr>
      </w:pPr>
    </w:p>
    <w:p>
      <w:pPr>
        <w:jc w:val="both"/>
        <w:ind w:left="7" w:right="120" w:firstLine="1490"/>
        <w:spacing w:after="0" w:line="249" w:lineRule="auto"/>
        <w:tabs>
          <w:tab w:leader="none" w:pos="1934"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whether Executive signs this Agreement, Executive shall receive (i) all unpaid wages earned through the Separation Date, less any and all customary and usual deductions or withholdings in accordance with applicable law; (ii) accrued, unused vacation time, paid in accordance with the Company’s written policies and applicable law;</w:t>
      </w:r>
    </w:p>
    <w:p>
      <w:pPr>
        <w:spacing w:after="0" w:line="1" w:lineRule="exact"/>
        <w:rPr>
          <w:rFonts w:ascii="Times New Roman" w:cs="Times New Roman" w:eastAsia="Times New Roman" w:hAnsi="Times New Roman"/>
          <w:sz w:val="21"/>
          <w:szCs w:val="21"/>
          <w:color w:val="auto"/>
        </w:rPr>
      </w:pPr>
    </w:p>
    <w:p>
      <w:pPr>
        <w:jc w:val="both"/>
        <w:ind w:left="7" w:right="120" w:hanging="7"/>
        <w:spacing w:after="0" w:line="234" w:lineRule="auto"/>
        <w:tabs>
          <w:tab w:leader="none" w:pos="41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unreimbursed expenses, paid in accordance with the Company’s written policies; and (iv) accrued and vested benefits under any retirement plan of the Company Group, paid pursuant to the terms of such plan. Executive’s health and other medical insurance coverage will cease at midnight on May 31, 2024. Executive acknowledges and agrees that he has received payment for all compensation due to him through the Separation Date.</w:t>
      </w:r>
    </w:p>
    <w:p>
      <w:pPr>
        <w:spacing w:after="0" w:line="69" w:lineRule="exact"/>
        <w:rPr>
          <w:rFonts w:ascii="Times New Roman" w:cs="Times New Roman" w:eastAsia="Times New Roman" w:hAnsi="Times New Roman"/>
          <w:sz w:val="22"/>
          <w:szCs w:val="22"/>
          <w:color w:val="auto"/>
        </w:rPr>
      </w:pPr>
    </w:p>
    <w:p>
      <w:pPr>
        <w:jc w:val="both"/>
        <w:ind w:left="7" w:right="120" w:firstLine="1490"/>
        <w:spacing w:after="0" w:line="239" w:lineRule="auto"/>
        <w:tabs>
          <w:tab w:leader="none" w:pos="1934"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have the perpetual right and option to invest personally in all P10 funds, free from any fees or carry, subject only to such investment limits that the General Partner of such fund imposes on executives or employees of the Company Group not directly involved in such P10 fund, and any such investment limitations shall apply equally among all other executives and employees of the Company Group, and Executive shall have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213360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522" w:right="339" w:bottom="1440" w:gutter="0" w:footer="0" w:header="0"/>
        </w:sectPr>
      </w:pPr>
    </w:p>
    <w:bookmarkStart w:id="54" w:name="page55"/>
    <w:bookmarkEnd w:id="54"/>
    <w:p>
      <w:pPr>
        <w:ind w:left="100"/>
        <w:spacing w:after="0"/>
        <w:rPr>
          <w:sz w:val="20"/>
          <w:szCs w:val="20"/>
          <w:color w:val="auto"/>
        </w:rPr>
      </w:pPr>
      <w:r>
        <w:rPr>
          <w:rFonts w:ascii="Times New Roman" w:cs="Times New Roman" w:eastAsia="Times New Roman" w:hAnsi="Times New Roman"/>
          <w:sz w:val="22"/>
          <w:szCs w:val="22"/>
          <w:color w:val="auto"/>
        </w:rPr>
        <w:t>allocation no less than any other officer or employee of the Company Group not directly involved in such fund.</w:t>
      </w:r>
    </w:p>
    <w:p>
      <w:pPr>
        <w:spacing w:after="0" w:line="98" w:lineRule="exact"/>
        <w:rPr>
          <w:sz w:val="20"/>
          <w:szCs w:val="20"/>
          <w:color w:val="auto"/>
        </w:rPr>
      </w:pPr>
    </w:p>
    <w:p>
      <w:pPr>
        <w:jc w:val="both"/>
        <w:ind w:lef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2. Payments and Benefits</w:t>
      </w:r>
      <w:r>
        <w:rPr>
          <w:rFonts w:ascii="Times New Roman" w:cs="Times New Roman" w:eastAsia="Times New Roman" w:hAnsi="Times New Roman"/>
          <w:sz w:val="22"/>
          <w:szCs w:val="22"/>
          <w:color w:val="auto"/>
        </w:rPr>
        <w:t>. In full consideration for signing this Agreement and in exchange for the promises, covenants and waivers set forth herein, provided Executive (i) signs and delivers this Agreement and the Revocation Period expires without revocation prior to the time period set forth in Section 11, (ii) complies with his obligations herein, and (iii) is in compliance and complies with the covenants contained herein and under the Employment Agreement, the Company agrees to provide Executive with the following payments and benefits:</w:t>
      </w:r>
    </w:p>
    <w:p>
      <w:pPr>
        <w:spacing w:after="0" w:line="69" w:lineRule="exact"/>
        <w:rPr>
          <w:sz w:val="20"/>
          <w:szCs w:val="20"/>
          <w:color w:val="auto"/>
        </w:rPr>
      </w:pPr>
    </w:p>
    <w:p>
      <w:pPr>
        <w:ind w:left="2340" w:hanging="750"/>
        <w:spacing w:after="0"/>
        <w:tabs>
          <w:tab w:leader="none" w:pos="2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O</w:t>
      </w:r>
      <w:r>
        <w:rPr>
          <w:rFonts w:ascii="Times New Roman" w:cs="Times New Roman" w:eastAsia="Times New Roman" w:hAnsi="Times New Roman"/>
          <w:sz w:val="17"/>
          <w:szCs w:val="17"/>
          <w:color w:val="auto"/>
        </w:rPr>
        <w:t>NE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7"/>
          <w:szCs w:val="17"/>
          <w:color w:val="auto"/>
        </w:rPr>
        <w:t>ILLION AND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7"/>
          <w:szCs w:val="17"/>
          <w:color w:val="auto"/>
        </w:rPr>
        <w:t>WO</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7"/>
          <w:szCs w:val="17"/>
          <w:color w:val="auto"/>
        </w:rPr>
        <w:t>UNDRED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7"/>
          <w:szCs w:val="17"/>
          <w:color w:val="auto"/>
        </w:rPr>
        <w:t>HOUSAND</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7"/>
          <w:szCs w:val="17"/>
          <w:color w:val="auto"/>
        </w:rPr>
        <w:t>OLLARS AND</w:t>
      </w:r>
    </w:p>
    <w:p>
      <w:pPr>
        <w:spacing w:after="0" w:line="14" w:lineRule="exact"/>
        <w:rPr>
          <w:sz w:val="20"/>
          <w:szCs w:val="20"/>
          <w:color w:val="auto"/>
        </w:rPr>
      </w:pPr>
    </w:p>
    <w:p>
      <w:pPr>
        <w:ind w:left="100"/>
        <w:spacing w:after="0" w:line="237" w:lineRule="auto"/>
        <w:rPr>
          <w:sz w:val="20"/>
          <w:szCs w:val="20"/>
          <w:color w:val="auto"/>
        </w:rPr>
      </w:pPr>
      <w:r>
        <w:rPr>
          <w:rFonts w:ascii="Times New Roman" w:cs="Times New Roman" w:eastAsia="Times New Roman" w:hAnsi="Times New Roman"/>
          <w:sz w:val="22"/>
          <w:szCs w:val="22"/>
          <w:color w:val="auto"/>
        </w:rPr>
        <w:t>00/100 ($1,200,000.00), less applicable withholdings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payable in a lump sum with the next regular payday for employees that follows the Effective Date;</w:t>
      </w:r>
    </w:p>
    <w:p>
      <w:pPr>
        <w:spacing w:after="0" w:line="70" w:lineRule="exact"/>
        <w:rPr>
          <w:sz w:val="20"/>
          <w:szCs w:val="20"/>
          <w:color w:val="auto"/>
        </w:rPr>
      </w:pPr>
    </w:p>
    <w:p>
      <w:pPr>
        <w:jc w:val="both"/>
        <w:ind w:left="100" w:firstLine="1490"/>
        <w:spacing w:after="0" w:line="253" w:lineRule="auto"/>
        <w:tabs>
          <w:tab w:leader="none" w:pos="2027"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elects to continue group health plan coverage under COBRA, the Company shall reimburse Executive for up to twelve (12) months of Executive’s COBRA premiums (the “</w:t>
      </w:r>
      <w:r>
        <w:rPr>
          <w:rFonts w:ascii="Times New Roman" w:cs="Times New Roman" w:eastAsia="Times New Roman" w:hAnsi="Times New Roman"/>
          <w:sz w:val="21"/>
          <w:szCs w:val="21"/>
          <w:u w:val="single" w:color="auto"/>
          <w:color w:val="auto"/>
        </w:rPr>
        <w:t>COBRA Premium Payments</w:t>
      </w:r>
      <w:r>
        <w:rPr>
          <w:rFonts w:ascii="Times New Roman" w:cs="Times New Roman" w:eastAsia="Times New Roman" w:hAnsi="Times New Roman"/>
          <w:sz w:val="21"/>
          <w:szCs w:val="21"/>
          <w:color w:val="auto"/>
        </w:rPr>
        <w:t>”) within fifteen</w:t>
      </w:r>
    </w:p>
    <w:p>
      <w:pPr>
        <w:jc w:val="both"/>
        <w:ind w:left="100" w:hanging="7"/>
        <w:spacing w:after="0" w:line="232" w:lineRule="auto"/>
        <w:tabs>
          <w:tab w:leader="none" w:pos="52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the Executive submits documentation to the Company evidencing payment of the monthly COBRA premium;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Company’s obligations under this Section 2(b) shall cease if Executive becomes eligible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participate in the group health plan of another employer, including a spouse’s employer (and any such eligibility shall be promptly reported to the Company by the Executive) or Executive no longer has a right to COBRA continuation;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further </w:t>
      </w:r>
      <w:r>
        <w:rPr>
          <w:rFonts w:ascii="Times New Roman" w:cs="Times New Roman" w:eastAsia="Times New Roman" w:hAnsi="Times New Roman"/>
          <w:sz w:val="22"/>
          <w:szCs w:val="22"/>
          <w:color w:val="auto"/>
        </w:rPr>
        <w:t>if the Company determines, in its reasonable judgment, that providing such reimbursement would result in a violation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applicable law, the imposition of any penalty under applicable law, or adverse tax consequences for any participant covered by the Company’s group health benefits plans, the Company shall provide an economically similar option and if no such option exists such obligation of the Company shall cease. It is Executive’s sole responsibility to timely elect and pay for COBRA coverage to be eligible for the COBRA Premium Payments;</w:t>
      </w:r>
    </w:p>
    <w:p>
      <w:pPr>
        <w:spacing w:after="0" w:line="70" w:lineRule="exact"/>
        <w:rPr>
          <w:rFonts w:ascii="Times New Roman" w:cs="Times New Roman" w:eastAsia="Times New Roman" w:hAnsi="Times New Roman"/>
          <w:sz w:val="22"/>
          <w:szCs w:val="22"/>
          <w:color w:val="auto"/>
        </w:rPr>
      </w:pPr>
    </w:p>
    <w:p>
      <w:pPr>
        <w:jc w:val="both"/>
        <w:ind w:left="100" w:firstLine="1490"/>
        <w:spacing w:after="0" w:line="235" w:lineRule="auto"/>
        <w:tabs>
          <w:tab w:leader="none" w:pos="202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May 10, 2024, Executive was granted an additional option to purchase 34,608 shares of P10, Inc. (the “</w:t>
      </w:r>
      <w:r>
        <w:rPr>
          <w:rFonts w:ascii="Times New Roman" w:cs="Times New Roman" w:eastAsia="Times New Roman" w:hAnsi="Times New Roman"/>
          <w:sz w:val="22"/>
          <w:szCs w:val="22"/>
          <w:u w:val="single" w:color="auto"/>
          <w:color w:val="auto"/>
        </w:rPr>
        <w:t>Transition Option Award</w:t>
      </w:r>
      <w:r>
        <w:rPr>
          <w:rFonts w:ascii="Times New Roman" w:cs="Times New Roman" w:eastAsia="Times New Roman" w:hAnsi="Times New Roman"/>
          <w:sz w:val="22"/>
          <w:szCs w:val="22"/>
          <w:color w:val="auto"/>
        </w:rPr>
        <w:t>”) and $400,000 of carried interest in Bonnacord Fund II (the “</w:t>
      </w:r>
      <w:r>
        <w:rPr>
          <w:rFonts w:ascii="Times New Roman" w:cs="Times New Roman" w:eastAsia="Times New Roman" w:hAnsi="Times New Roman"/>
          <w:sz w:val="22"/>
          <w:szCs w:val="22"/>
          <w:u w:val="single" w:color="auto"/>
          <w:color w:val="auto"/>
        </w:rPr>
        <w:t>Transition Carry Award</w:t>
      </w:r>
      <w:r>
        <w:rPr>
          <w:rFonts w:ascii="Times New Roman" w:cs="Times New Roman" w:eastAsia="Times New Roman" w:hAnsi="Times New Roman"/>
          <w:sz w:val="22"/>
          <w:szCs w:val="22"/>
          <w:color w:val="auto"/>
        </w:rPr>
        <w:t>” and together with the Transition Option Award, the “</w:t>
      </w:r>
      <w:r>
        <w:rPr>
          <w:rFonts w:ascii="Times New Roman" w:cs="Times New Roman" w:eastAsia="Times New Roman" w:hAnsi="Times New Roman"/>
          <w:sz w:val="22"/>
          <w:szCs w:val="22"/>
          <w:u w:val="single" w:color="auto"/>
          <w:color w:val="auto"/>
        </w:rPr>
        <w:t>Transition Awards</w:t>
      </w:r>
      <w:r>
        <w:rPr>
          <w:rFonts w:ascii="Times New Roman" w:cs="Times New Roman" w:eastAsia="Times New Roman" w:hAnsi="Times New Roman"/>
          <w:sz w:val="22"/>
          <w:szCs w:val="22"/>
          <w:color w:val="auto"/>
        </w:rPr>
        <w:t>”) with the Transition Option Award vesting on the Separation Date but not exercisable prior to the Effective Date and subject to forfeiture if the Effective Date does not occur within the time periods specified herein, and the Transition Carry Award vesting on the Effective Date. Executive acknowledges and agrees that the Transition Option Award may not be exercised prior to the Effective Date and that the Transition Awards shall be forfeited in the event Executive does not timely return this Agreement or revokes this Agreement during the Revocation Period;</w:t>
      </w:r>
    </w:p>
    <w:p>
      <w:pPr>
        <w:spacing w:after="0" w:line="70" w:lineRule="exact"/>
        <w:rPr>
          <w:rFonts w:ascii="Times New Roman" w:cs="Times New Roman" w:eastAsia="Times New Roman" w:hAnsi="Times New Roman"/>
          <w:sz w:val="22"/>
          <w:szCs w:val="22"/>
          <w:color w:val="auto"/>
        </w:rPr>
      </w:pPr>
    </w:p>
    <w:p>
      <w:pPr>
        <w:jc w:val="both"/>
        <w:ind w:left="100" w:firstLine="1490"/>
        <w:spacing w:after="0" w:line="235" w:lineRule="auto"/>
        <w:tabs>
          <w:tab w:leader="none" w:pos="202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 vesting of any and all options, restricted stock and restricted stock units of P10, Inc. owned directly or beneficially by Executive and all carried interests held by Executive in the investment vehicles of Affiliated Entities (as defined in the Employment Agreement) as set forth in Annex 1 (collectively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(and shall otherwise remain subject to the terms and conditions of any applicable plan and award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nothing herein changes the exercisability set forth in Section (c) above and provided further that for avoidance of doubt, if Executive does not timely execute and return this Agreement or revokes this Agreement during the Revocation Period any such Equity Awards that are vesting on account of this Agreement shall automatically be forfeited) and Executive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5" w:name="page56"/>
    <w:bookmarkEnd w:id="55"/>
    <w:p>
      <w:pPr>
        <w:jc w:val="both"/>
        <w:ind w:left="100"/>
        <w:spacing w:after="0" w:line="244" w:lineRule="auto"/>
        <w:rPr>
          <w:sz w:val="20"/>
          <w:szCs w:val="20"/>
          <w:color w:val="auto"/>
        </w:rPr>
      </w:pPr>
      <w:r>
        <w:rPr>
          <w:rFonts w:ascii="Times New Roman" w:cs="Times New Roman" w:eastAsia="Times New Roman" w:hAnsi="Times New Roman"/>
          <w:sz w:val="22"/>
          <w:szCs w:val="22"/>
          <w:color w:val="auto"/>
        </w:rPr>
        <w:t>acknowledges and agrees that for purposes of all Equity Awards, the Separation Date shall be considered the date of Executive’s termination of employment or service, including a “Termination of Employment” as defined under any related award agreements, for all purposes of such Equity Awards, including, but not limited to vesting and exercisability;</w:t>
      </w:r>
    </w:p>
    <w:p>
      <w:pPr>
        <w:spacing w:after="0" w:line="65" w:lineRule="exact"/>
        <w:rPr>
          <w:sz w:val="20"/>
          <w:szCs w:val="20"/>
          <w:color w:val="auto"/>
        </w:rPr>
      </w:pPr>
    </w:p>
    <w:p>
      <w:pPr>
        <w:jc w:val="both"/>
        <w:ind w:left="100" w:firstLine="1490"/>
        <w:spacing w:after="0" w:line="238" w:lineRule="auto"/>
        <w:tabs>
          <w:tab w:leader="none" w:pos="20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Executive shall be released from all lock up restrictions including, without limitation, under the Controlled Company Agreement, dated as of October 20, 2021, by and among P10, Inc. and the parties listed on the signature pages thereto (as amended, the “</w:t>
      </w:r>
      <w:r>
        <w:rPr>
          <w:rFonts w:ascii="Times New Roman" w:cs="Times New Roman" w:eastAsia="Times New Roman" w:hAnsi="Times New Roman"/>
          <w:sz w:val="22"/>
          <w:szCs w:val="22"/>
          <w:u w:val="single" w:color="auto"/>
          <w:color w:val="auto"/>
        </w:rPr>
        <w:t>Controlled Company Agreement</w:t>
      </w:r>
      <w:r>
        <w:rPr>
          <w:rFonts w:ascii="Times New Roman" w:cs="Times New Roman" w:eastAsia="Times New Roman" w:hAnsi="Times New Roman"/>
          <w:sz w:val="22"/>
          <w:szCs w:val="22"/>
          <w:color w:val="auto"/>
        </w:rPr>
        <w:t>”) with respect to any and all Equity Securities (as defined in the Controlled Company Agreement) owned directly or beneficially by Executive and set forth on Annex 2 hereto.</w:t>
      </w:r>
    </w:p>
    <w:p>
      <w:pPr>
        <w:spacing w:after="0" w:line="69" w:lineRule="exact"/>
        <w:rPr>
          <w:sz w:val="20"/>
          <w:szCs w:val="20"/>
          <w:color w:val="auto"/>
        </w:rPr>
      </w:pPr>
    </w:p>
    <w:p>
      <w:pPr>
        <w:jc w:val="both"/>
        <w:ind w:left="10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3.Fair and Adequate Consideration</w:t>
      </w:r>
      <w:r>
        <w:rPr>
          <w:rFonts w:ascii="Times New Roman" w:cs="Times New Roman" w:eastAsia="Times New Roman" w:hAnsi="Times New Roman"/>
          <w:sz w:val="22"/>
          <w:szCs w:val="22"/>
          <w:color w:val="auto"/>
        </w:rPr>
        <w:t>. The parties acknowledge and agree that the payments and benefits described in Section 2, along with the parties’ respective promises and obligations under this Agreement, together constitute good, sufficient and adequate consideration for the release and waiver by Executive of any and all claims described in Section 5 of this Agreement as well as all other promises and obligations made by Executive in this Agreement. Executive acknowledges and agrees that he is not and shall not be entitled to any additional payments or benefits of any kind that are not expressly provided for in this Agreement. Executive further acknowledges and agrees that the Company reserves the right to seek to recoup the Severance Payment and COBRA Premium Payments and clawback any amounts received with respect to any Equity Awards that vest on account of this Agreement as well as cause the forfeiture of any such Equity Awards, and Executive shall lose the right to invest pursuant to Section 1(c) in the event Executive breaches any of the terms or conditions of this Agreement and such breach, to the extent that the Company reasonably believes that such breach may be cured is not cured after five days’ written notice to Executive specifying the alleged breach.</w:t>
      </w:r>
    </w:p>
    <w:p>
      <w:pPr>
        <w:spacing w:after="0" w:line="79" w:lineRule="exact"/>
        <w:rPr>
          <w:sz w:val="20"/>
          <w:szCs w:val="20"/>
          <w:color w:val="auto"/>
        </w:rPr>
      </w:pPr>
    </w:p>
    <w:p>
      <w:pPr>
        <w:jc w:val="both"/>
        <w:ind w:left="10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4.Conditions Precedent</w:t>
      </w:r>
      <w:r>
        <w:rPr>
          <w:rFonts w:ascii="Times New Roman" w:cs="Times New Roman" w:eastAsia="Times New Roman" w:hAnsi="Times New Roman"/>
          <w:sz w:val="22"/>
          <w:szCs w:val="22"/>
          <w:color w:val="auto"/>
        </w:rPr>
        <w:t>. To become entitled to the Severance Payment, COBRA Premium Payments, vesting of Equity Awards, and other benefits set forth in Section 2, Executive must (i) agree to the terms of this Agreement; (ii) sign and return this Agreement in its original form no earlier than the Separation Date and no later than the twenty-first (21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following the Separation Date; (iii) not revoke this Agreement as permitted under Section 12 below; and (iv) comply with the terms of this Agreement. Executive shall deliver the executed Agreement and any notices hereunder to Amanda Coussens, P10, Inc.’s Chief Financial Officer (“</w:t>
      </w:r>
      <w:r>
        <w:rPr>
          <w:rFonts w:ascii="Times New Roman" w:cs="Times New Roman" w:eastAsia="Times New Roman" w:hAnsi="Times New Roman"/>
          <w:sz w:val="22"/>
          <w:szCs w:val="22"/>
          <w:u w:val="single" w:color="auto"/>
          <w:color w:val="auto"/>
        </w:rPr>
        <w:t>Company Representative</w:t>
      </w:r>
      <w:r>
        <w:rPr>
          <w:rFonts w:ascii="Times New Roman" w:cs="Times New Roman" w:eastAsia="Times New Roman" w:hAnsi="Times New Roman"/>
          <w:sz w:val="22"/>
          <w:szCs w:val="22"/>
          <w:color w:val="auto"/>
        </w:rPr>
        <w:t>”) by email at acoussens@p10alts.com or by nationally recognized overnight courier service (charges prepaid) at the Company’s principal executive offices. Executive understands and agrees that if Executive does not sign this Agreement within the time periods provided for herein or if Executive revokes this Agreement as provided in Section 12 and the Agreement is not effective within the time periods provided for herein, Executive will not receive the Severance Payment, COBRA Premium Payments, vesting of Equity Awards and other benefits set forth in this Agreement.</w:t>
      </w:r>
    </w:p>
    <w:p>
      <w:pPr>
        <w:spacing w:after="0" w:line="79" w:lineRule="exact"/>
        <w:rPr>
          <w:sz w:val="20"/>
          <w:szCs w:val="20"/>
          <w:color w:val="auto"/>
        </w:rPr>
      </w:pPr>
    </w:p>
    <w:p>
      <w:pPr>
        <w:jc w:val="both"/>
        <w:ind w:lef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5.Full Release of Claims</w:t>
      </w:r>
      <w:r>
        <w:rPr>
          <w:rFonts w:ascii="Times New Roman" w:cs="Times New Roman" w:eastAsia="Times New Roman" w:hAnsi="Times New Roman"/>
          <w:sz w:val="22"/>
          <w:szCs w:val="22"/>
          <w:color w:val="auto"/>
        </w:rPr>
        <w:t>. Executive, on behalf of Executive and Executive’s spouse (if any), representatives, estate, heirs, executors, administrators, successors or any persons or entities acting by or through Executive or on Executive’s behalf hereby KNOWINGLY AND VOLUNTARILY WAIVES, RELEASES AND DISCHARGES the</w:t>
      </w:r>
    </w:p>
    <w:p>
      <w:pPr>
        <w:jc w:val="both"/>
        <w:ind w:left="100" w:right="20"/>
        <w:spacing w:after="0" w:line="235" w:lineRule="auto"/>
        <w:rPr>
          <w:sz w:val="20"/>
          <w:szCs w:val="20"/>
          <w:color w:val="auto"/>
        </w:rPr>
      </w:pPr>
      <w:r>
        <w:rPr>
          <w:rFonts w:ascii="Times New Roman" w:cs="Times New Roman" w:eastAsia="Times New Roman" w:hAnsi="Times New Roman"/>
          <w:sz w:val="22"/>
          <w:szCs w:val="22"/>
          <w:color w:val="auto"/>
        </w:rPr>
        <w:t>Company and its past, present and future direct and indirect parent, subsidiary, affiliated, or related companies, including but not limited to P10, Inc. and P10 Holdings, Inc. (collectively, the “</w:t>
      </w:r>
      <w:r>
        <w:rPr>
          <w:rFonts w:ascii="Times New Roman" w:cs="Times New Roman" w:eastAsia="Times New Roman" w:hAnsi="Times New Roman"/>
          <w:sz w:val="22"/>
          <w:szCs w:val="22"/>
          <w:u w:val="single" w:color="auto"/>
          <w:color w:val="auto"/>
        </w:rPr>
        <w:t>Affiliated Entities</w:t>
      </w:r>
      <w:r>
        <w:rPr>
          <w:rFonts w:ascii="Times New Roman" w:cs="Times New Roman" w:eastAsia="Times New Roman" w:hAnsi="Times New Roman"/>
          <w:sz w:val="22"/>
          <w:szCs w:val="22"/>
          <w:color w:val="auto"/>
        </w:rPr>
        <w:t>”), together with each and all of their respective past, present and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6" w:name="page57"/>
    <w:bookmarkEnd w:id="56"/>
    <w:p>
      <w:pPr>
        <w:jc w:val="both"/>
        <w:ind w:left="100"/>
        <w:spacing w:after="0" w:line="244" w:lineRule="auto"/>
        <w:rPr>
          <w:sz w:val="20"/>
          <w:szCs w:val="20"/>
          <w:color w:val="auto"/>
        </w:rPr>
      </w:pPr>
      <w:r>
        <w:rPr>
          <w:rFonts w:ascii="Times New Roman" w:cs="Times New Roman" w:eastAsia="Times New Roman" w:hAnsi="Times New Roman"/>
          <w:sz w:val="21"/>
          <w:szCs w:val="21"/>
          <w:color w:val="auto"/>
        </w:rPr>
        <w:t>shareholders, investors, officers, directors, partners, members, managers, principals, servants, employees, agents, contractors, representatives, attorneys, insurers (in each case, individually and in their official capacities) and each of their respective employee benefit plans as well as any predecessors, successors, and assigns of the foregoing (collectively, the “</w:t>
      </w:r>
      <w:r>
        <w:rPr>
          <w:rFonts w:ascii="Times New Roman" w:cs="Times New Roman" w:eastAsia="Times New Roman" w:hAnsi="Times New Roman"/>
          <w:sz w:val="21"/>
          <w:szCs w:val="21"/>
          <w:u w:val="single" w:color="auto"/>
          <w:color w:val="auto"/>
        </w:rPr>
        <w:t>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from and against any and all rights, claims, charges, controversies, complaints, debts, losses, liabilities, demands, obligations, promises, acts, suits, damages, costs, expenses, attorney’s fees, agreements, grievances, losses, arbitrations, defenses, actions, causes of action and/or damages, whether in law or in equity, known or unknown, accrued or unaccrued, direct or derivative, liquidated or unliquidated, and suspected or unsuspected, that are based upon facts, events, acts or omissions occurring on or before the Effective Date of this Agreement, including, but not limited to, any matter or action related to Executive’s employment with or separation from the Company other than (i) claims that cannot be waived by law,</w:t>
      </w:r>
    </w:p>
    <w:p>
      <w:pPr>
        <w:spacing w:after="0" w:line="1" w:lineRule="exact"/>
        <w:rPr>
          <w:sz w:val="20"/>
          <w:szCs w:val="20"/>
          <w:color w:val="auto"/>
        </w:rPr>
      </w:pPr>
    </w:p>
    <w:p>
      <w:pPr>
        <w:jc w:val="both"/>
        <w:ind w:left="100" w:hanging="9"/>
        <w:spacing w:after="0" w:line="242" w:lineRule="auto"/>
        <w:tabs>
          <w:tab w:leader="none" w:pos="43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rights to indemnification, advancement or reimbursement of expenses from the Company or the Affiliated Entities under any agreement with Executive, their respective certificates of incorporation or bylaws, or applicable law, and (iii) Executives rights under this Agreement (collectively, the “Excluded Claims”). Executive understands and agrees that the release of claims contained in this Section excludes the Excluded Claims but otherwise includes, but is not limited to: (a) any and all claims arising under any state or local laws, rules, regulations or ordinances, including but not limited to all claims arising under any federal laws, rules or regulations, including but not limited to, Title VII of the Civil Rights Act of 1964, the Civil Rights Act of 1866, the Family and Medical Leave Act, the Americans With Disabilities Act, the ADA Amendments Act, the Fair Labor Standards Act, the Age Discrimination in Employment Act, including the Older Workers Benefit Protection Act, the Genetic Information Nondiscrimination Act, the Employee Retirement Income Security Act, the Sarbanes-Oxley Act, the False Claims Act, the Dodd-Frank Wall Street Reform and Consumer Protection Act, the Florida Civil Rights Act, the Florida Whistleblower Protection Act, the Texas Labor Code, the Texas Commission on Human Rights Act, and the laws of any other state that may be or have been applicable to Executive during the term of his employment with the Company; (b) any and all tort, contract, statutory or common law claims, matters or actions; and, (c) any and all claims for money or past or future employment benefits, including but not limited to, wages, salary, bonuses, vacation pay, medical or dental insurance coverage, severance pay, pension or profit-sharing benefits, commissions, deferred compensation, and/or other benefits, which accrued on or before the Effective Date as a result of Executive’s employment with or separation from the Company.</w:t>
      </w:r>
    </w:p>
    <w:p>
      <w:pPr>
        <w:spacing w:after="0" w:line="76"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This Agreement does not limit Executive’s right or ability to file a charge or claim of discrimination with, or from speaking with, the U.S. Equal Employment Opportunity Commission, the National Labor Relations Board, or comparable state or local agencies. These agencies have the authority to carry out their statutory duties by investigating the charge, issuing a determination, or taking any other action authorized under the statutes such agencies enforce. Executive retains the right to participate in any such action, provided that Executive hereby expressly waives and releases any right that Executive otherwise would have to recover monetary damages in connection with any charge, complaint, or lawsuit filed by Executive or by anyone else on Executive’s behalf. Executive retains the right to communicate with the EEOC and comparable state or local agencies and such communication can be initiated by Executive or in response to a communication from any such agency.</w:t>
      </w:r>
    </w:p>
    <w:p>
      <w:pPr>
        <w:spacing w:after="0" w:line="64" w:lineRule="exact"/>
        <w:rPr>
          <w:sz w:val="20"/>
          <w:szCs w:val="20"/>
          <w:color w:val="auto"/>
        </w:rPr>
      </w:pPr>
    </w:p>
    <w:p>
      <w:pPr>
        <w:jc w:val="both"/>
        <w:ind w:left="10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Nothing in this Agreement prohibits or restricts Executive from reporting possible violations of federal, state or local law or regulation to, or discussing any such possible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7" w:name="page58"/>
    <w:bookmarkEnd w:id="57"/>
    <w:p>
      <w:pPr>
        <w:jc w:val="both"/>
        <w:ind w:left="100"/>
        <w:spacing w:after="0" w:line="238" w:lineRule="auto"/>
        <w:rPr>
          <w:sz w:val="20"/>
          <w:szCs w:val="20"/>
          <w:color w:val="auto"/>
        </w:rPr>
      </w:pPr>
      <w:r>
        <w:rPr>
          <w:rFonts w:ascii="Times New Roman" w:cs="Times New Roman" w:eastAsia="Times New Roman" w:hAnsi="Times New Roman"/>
          <w:sz w:val="22"/>
          <w:szCs w:val="22"/>
          <w:color w:val="auto"/>
        </w:rPr>
        <w:t>violations with any federal or state government agency or self-regulatory organization, including the Securities and Exchange Commission and the Occupational Safety and Health Administration or making other disclosures that are protected by the whistleblower provisions of any federal, state or local law or regulations. Executive does not need the Company’s prior authorization to make any such reports or disclosures and is not required to notify the Company that Executive has made such reports or disclosures.</w:t>
      </w:r>
    </w:p>
    <w:p>
      <w:pPr>
        <w:spacing w:after="0" w:line="69" w:lineRule="exact"/>
        <w:rPr>
          <w:sz w:val="20"/>
          <w:szCs w:val="20"/>
          <w:color w:val="auto"/>
        </w:rPr>
      </w:pPr>
    </w:p>
    <w:p>
      <w:pPr>
        <w:jc w:val="both"/>
        <w:ind w:left="100"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Nothing in this Agreement shall prevent Executive from (i) making disclosure of information required by law, including providing truthful testimony if required to do so by court order or legal process or complying with a subpoena issued to Executive, provided, however, that Executive shall notify the Company within two business days of receiving any such order, process, or subpoena to the extent permitted by law; or (ii) initiating, cooperating, assisting, testifying, or participating or assisting in any investigation or proceeding conducted by any federal, state, or local regulatory or law enforcement agency or legislative body, any self- regulatory organization.</w:t>
      </w:r>
    </w:p>
    <w:p>
      <w:pPr>
        <w:spacing w:after="0" w:line="73" w:lineRule="exact"/>
        <w:rPr>
          <w:sz w:val="20"/>
          <w:szCs w:val="20"/>
          <w:color w:val="auto"/>
        </w:rPr>
      </w:pPr>
    </w:p>
    <w:p>
      <w:pPr>
        <w:jc w:val="both"/>
        <w:ind w:left="100"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In accordance with 18 USC Section 1833(b), Executive shall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w:t>
      </w:r>
    </w:p>
    <w:p>
      <w:pPr>
        <w:spacing w:after="0" w:line="69" w:lineRule="exact"/>
        <w:rPr>
          <w:sz w:val="20"/>
          <w:szCs w:val="20"/>
          <w:color w:val="auto"/>
        </w:rPr>
      </w:pPr>
    </w:p>
    <w:p>
      <w:pPr>
        <w:jc w:val="both"/>
        <w:ind w:left="10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10.Executive Acknowledgements and Agreements</w:t>
      </w:r>
      <w:r>
        <w:rPr>
          <w:rFonts w:ascii="Times New Roman" w:cs="Times New Roman" w:eastAsia="Times New Roman" w:hAnsi="Times New Roman"/>
          <w:sz w:val="22"/>
          <w:szCs w:val="22"/>
          <w:color w:val="auto"/>
        </w:rPr>
        <w:t>. By Executive’s signature below Executive acknowledges and agrees that:</w:t>
      </w:r>
    </w:p>
    <w:p>
      <w:pPr>
        <w:spacing w:after="0" w:line="50" w:lineRule="exact"/>
        <w:rPr>
          <w:sz w:val="20"/>
          <w:szCs w:val="20"/>
          <w:color w:val="auto"/>
        </w:rPr>
      </w:pPr>
    </w:p>
    <w:p>
      <w:pPr>
        <w:jc w:val="both"/>
        <w:ind w:left="100" w:firstLine="1490"/>
        <w:spacing w:after="0" w:line="244" w:lineRule="auto"/>
        <w:tabs>
          <w:tab w:leader="none" w:pos="20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been advised in writing (and is hereby advised in writing) to review this Agreement with an attorney prior to executing it, and he has had sufficient opportunity to consult with an attorney prior to executing this Agreement;</w:t>
      </w:r>
    </w:p>
    <w:p>
      <w:pPr>
        <w:spacing w:after="0" w:line="65" w:lineRule="exact"/>
        <w:rPr>
          <w:rFonts w:ascii="Times New Roman" w:cs="Times New Roman" w:eastAsia="Times New Roman" w:hAnsi="Times New Roman"/>
          <w:sz w:val="22"/>
          <w:szCs w:val="22"/>
          <w:color w:val="auto"/>
        </w:rPr>
      </w:pPr>
    </w:p>
    <w:p>
      <w:pPr>
        <w:ind w:left="100" w:right="20" w:firstLine="1490"/>
        <w:spacing w:after="0" w:line="258" w:lineRule="auto"/>
        <w:tabs>
          <w:tab w:leader="none" w:pos="202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carefully read and fully understand all of the provisions and effects of this Agreement, including Section 5 regarding his release of clams;</w:t>
      </w:r>
    </w:p>
    <w:p>
      <w:pPr>
        <w:spacing w:after="0" w:line="50" w:lineRule="exact"/>
        <w:rPr>
          <w:rFonts w:ascii="Times New Roman" w:cs="Times New Roman" w:eastAsia="Times New Roman" w:hAnsi="Times New Roman"/>
          <w:sz w:val="22"/>
          <w:szCs w:val="22"/>
          <w:color w:val="auto"/>
        </w:rPr>
      </w:pPr>
    </w:p>
    <w:p>
      <w:pPr>
        <w:ind w:left="2020" w:hanging="430"/>
        <w:spacing w:after="0"/>
        <w:tabs>
          <w:tab w:leader="none" w:pos="20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 knowingly and voluntarily (and of his own free will) has entered into all of the terms set forth in this</w:t>
      </w:r>
    </w:p>
    <w:p>
      <w:pPr>
        <w:spacing w:after="0" w:line="25" w:lineRule="exact"/>
        <w:rPr>
          <w:rFonts w:ascii="Times New Roman" w:cs="Times New Roman" w:eastAsia="Times New Roman" w:hAnsi="Times New Roman"/>
          <w:sz w:val="21"/>
          <w:szCs w:val="21"/>
          <w:color w:val="auto"/>
        </w:rPr>
      </w:pPr>
    </w:p>
    <w:p>
      <w:pPr>
        <w:ind w:left="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74" w:lineRule="exact"/>
        <w:rPr>
          <w:rFonts w:ascii="Times New Roman" w:cs="Times New Roman" w:eastAsia="Times New Roman" w:hAnsi="Times New Roman"/>
          <w:sz w:val="21"/>
          <w:szCs w:val="21"/>
          <w:color w:val="auto"/>
        </w:rPr>
      </w:pPr>
    </w:p>
    <w:p>
      <w:pPr>
        <w:ind w:left="100" w:firstLine="1490"/>
        <w:spacing w:after="0" w:line="258" w:lineRule="auto"/>
        <w:tabs>
          <w:tab w:leader="none" w:pos="20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knowingly and voluntarily (and of his own free will) intends to be legally bound by all of the terms set forth in this Agreement;</w:t>
      </w:r>
    </w:p>
    <w:p>
      <w:pPr>
        <w:spacing w:after="0" w:line="50" w:lineRule="exact"/>
        <w:rPr>
          <w:rFonts w:ascii="Times New Roman" w:cs="Times New Roman" w:eastAsia="Times New Roman" w:hAnsi="Times New Roman"/>
          <w:sz w:val="22"/>
          <w:szCs w:val="22"/>
          <w:color w:val="auto"/>
        </w:rPr>
      </w:pPr>
    </w:p>
    <w:p>
      <w:pPr>
        <w:ind w:left="2020" w:hanging="430"/>
        <w:spacing w:after="0"/>
        <w:tabs>
          <w:tab w:leader="none" w:pos="20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been afforded sufficient time to understand the terms and effects of this Agreement; and</w:t>
      </w:r>
    </w:p>
    <w:p>
      <w:pPr>
        <w:spacing w:after="0" w:line="98" w:lineRule="exact"/>
        <w:rPr>
          <w:rFonts w:ascii="Times New Roman" w:cs="Times New Roman" w:eastAsia="Times New Roman" w:hAnsi="Times New Roman"/>
          <w:sz w:val="22"/>
          <w:szCs w:val="22"/>
          <w:color w:val="auto"/>
        </w:rPr>
      </w:pPr>
    </w:p>
    <w:p>
      <w:pPr>
        <w:ind w:left="2020" w:hanging="430"/>
        <w:spacing w:after="0"/>
        <w:tabs>
          <w:tab w:leader="none" w:pos="20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 relied solely and completely upon his own judgment or the advice of his attorney in entering into this</w:t>
      </w:r>
    </w:p>
    <w:p>
      <w:pPr>
        <w:spacing w:after="0" w:line="25" w:lineRule="exact"/>
        <w:rPr>
          <w:rFonts w:ascii="Times New Roman" w:cs="Times New Roman" w:eastAsia="Times New Roman" w:hAnsi="Times New Roman"/>
          <w:sz w:val="21"/>
          <w:szCs w:val="21"/>
          <w:color w:val="auto"/>
        </w:rPr>
      </w:pPr>
    </w:p>
    <w:p>
      <w:pPr>
        <w:ind w:left="1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74" w:lineRule="exact"/>
        <w:rPr>
          <w:sz w:val="20"/>
          <w:szCs w:val="20"/>
          <w:color w:val="auto"/>
        </w:rPr>
      </w:pPr>
    </w:p>
    <w:p>
      <w:pPr>
        <w:jc w:val="both"/>
        <w:ind w:left="100"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11.Time Period to Consider Agreement</w:t>
      </w:r>
      <w:r>
        <w:rPr>
          <w:rFonts w:ascii="Times New Roman" w:cs="Times New Roman" w:eastAsia="Times New Roman" w:hAnsi="Times New Roman"/>
          <w:sz w:val="22"/>
          <w:szCs w:val="22"/>
          <w:color w:val="auto"/>
        </w:rPr>
        <w:t>. Executive is to return this Agreement within twenty-one (21) days from the Separation Date. Executive has been given at least twenty- one (21) days to consider the terms of this Agreement before signing it, and acknowledges that any changes to the terms or conditions of this Agreement (whether material or immaterial) will not restart the running of the twenty-one-day period. Executive may not sign this Agreement before the Separation Date. Executive may execute this Agreement prior to the end of the twenty-one (21) day time period referenced above but, if he does so, in accordance with 29 CFR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8" w:name="page59"/>
    <w:bookmarkEnd w:id="58"/>
    <w:p>
      <w:pPr>
        <w:jc w:val="both"/>
        <w:ind w:left="100" w:hanging="9"/>
        <w:spacing w:after="0" w:line="244" w:lineRule="auto"/>
        <w:tabs>
          <w:tab w:leader="none" w:pos="2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1625.22(e)(6), he knowingly and voluntarily decided to sign the Agreement after considering it for fewer than twenty-one (21) days and such decision was not induced by the Company in any way, including by fraud, misrepresentation, or a threat to withdraw or alter the offer prior to the expiration of the twenty-one (21) day time period.</w:t>
      </w:r>
    </w:p>
    <w:p>
      <w:pPr>
        <w:spacing w:after="0" w:line="65" w:lineRule="exact"/>
        <w:rPr>
          <w:sz w:val="20"/>
          <w:szCs w:val="20"/>
          <w:color w:val="auto"/>
        </w:rPr>
      </w:pPr>
    </w:p>
    <w:p>
      <w:pPr>
        <w:ind w:left="1600" w:hanging="758"/>
        <w:spacing w:after="0"/>
        <w:tabs>
          <w:tab w:leader="none" w:pos="1600" w:val="left"/>
        </w:tabs>
        <w:numPr>
          <w:ilvl w:val="1"/>
          <w:numId w:val="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Revocation Rights</w:t>
      </w:r>
      <w:r>
        <w:rPr>
          <w:rFonts w:ascii="Times New Roman" w:cs="Times New Roman" w:eastAsia="Times New Roman" w:hAnsi="Times New Roman"/>
          <w:sz w:val="22"/>
          <w:szCs w:val="22"/>
          <w:color w:val="auto"/>
        </w:rPr>
        <w:t>. Executive acknowledges and agrees that for a period of seven</w:t>
      </w:r>
    </w:p>
    <w:p>
      <w:pPr>
        <w:spacing w:after="0" w:line="14" w:lineRule="exact"/>
        <w:rPr>
          <w:rFonts w:ascii="Times New Roman" w:cs="Times New Roman" w:eastAsia="Times New Roman" w:hAnsi="Times New Roman"/>
          <w:sz w:val="22"/>
          <w:szCs w:val="22"/>
          <w:u w:val="single" w:color="auto"/>
          <w:color w:val="auto"/>
        </w:rPr>
      </w:pPr>
    </w:p>
    <w:p>
      <w:pPr>
        <w:jc w:val="both"/>
        <w:ind w:left="100" w:hanging="9"/>
        <w:spacing w:after="0" w:line="235" w:lineRule="auto"/>
        <w:tabs>
          <w:tab w:leader="none" w:pos="41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date the Executive signs this Agreement he may revoke his consent to this Agreement (the “</w:t>
      </w:r>
      <w:r>
        <w:rPr>
          <w:rFonts w:ascii="Times New Roman" w:cs="Times New Roman" w:eastAsia="Times New Roman" w:hAnsi="Times New Roman"/>
          <w:sz w:val="21"/>
          <w:szCs w:val="21"/>
          <w:u w:val="single" w:color="auto"/>
          <w:color w:val="auto"/>
        </w:rPr>
        <w:t>Revocation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which he may do by sending written notice of such revocation to the Company Representative in accordance with Section 4. Executive further acknowledges that this Agreement shall not become effective or enforceable until after the seven-day revocation period has expired and that this Agreement will become final, binding and enforceable on the eighth (8th) day after Executive signs this Agreement, provided that Executive does not revoke (cancel) this Agreement during the Revocation Period (such eighth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Executive understands and agrees that if Executive revokes this Agreement before the end of the Revocation Period, Executive shall not receive the payments and benefits set forth in Section 2 above.</w:t>
      </w:r>
    </w:p>
    <w:p>
      <w:pPr>
        <w:spacing w:after="0" w:line="76" w:lineRule="exact"/>
        <w:rPr>
          <w:sz w:val="20"/>
          <w:szCs w:val="20"/>
          <w:color w:val="auto"/>
        </w:rPr>
      </w:pPr>
    </w:p>
    <w:p>
      <w:pPr>
        <w:jc w:val="both"/>
        <w:ind w:left="100"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13.No Admission of Liability</w:t>
      </w:r>
      <w:r>
        <w:rPr>
          <w:rFonts w:ascii="Times New Roman" w:cs="Times New Roman" w:eastAsia="Times New Roman" w:hAnsi="Times New Roman"/>
          <w:sz w:val="21"/>
          <w:szCs w:val="21"/>
          <w:color w:val="auto"/>
        </w:rPr>
        <w:t>. Neither the payment of any consideration under this Agreement, nor the execution or delivery of this Agreement shall in any way constitute or be construed as an admission, express or implied, by the Company Group or Executive of any improper actions or liability. The parties each specifically deny and disclaim any alleged liability or wrongdoing. Nothing contained in this Agreement shall acknowledge or imply that either Executive or the Company violated any federal, state or local laws, rules, regulations or ordinances. Executive hereby acknowledges, promises and represents that Executive has no knowledge of any fraud, illegal activity or violation of federal, state or local law by the Company.</w:t>
      </w:r>
    </w:p>
    <w:p>
      <w:pPr>
        <w:spacing w:after="0" w:line="63" w:lineRule="exact"/>
        <w:rPr>
          <w:sz w:val="20"/>
          <w:szCs w:val="20"/>
          <w:color w:val="auto"/>
        </w:rPr>
      </w:pPr>
    </w:p>
    <w:p>
      <w:pPr>
        <w:jc w:val="both"/>
        <w:ind w:left="10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14.Non-Disparagement</w:t>
      </w:r>
      <w:r>
        <w:rPr>
          <w:rFonts w:ascii="Times New Roman" w:cs="Times New Roman" w:eastAsia="Times New Roman" w:hAnsi="Times New Roman"/>
          <w:sz w:val="22"/>
          <w:szCs w:val="22"/>
          <w:color w:val="auto"/>
        </w:rPr>
        <w:t>. Except as permitted under Sections 6, 7, 8, and 9 above, Executive agrees not to in any way make any negative, disparaging, derogatory, or harmful comments about the Company, whether written, verbal, or electronically, including any member of the Company Group and any Affiliated Entities or their respective members, managers, officers, or employees to any third party. For the avoidance of doubt, if the Executive determines in good faith that the Executive should not comment in response to a particular question from a third party, such failure to comment shall not constitute a negative, disparaging, derogatory, or harmful comment. This Section shall not preclude Executive from providing reasonable private comments to his financial or legal advisors or immediate family members with respect to any investment or continuing interest Executive maintains with the Company Group.</w:t>
      </w:r>
    </w:p>
    <w:p>
      <w:pPr>
        <w:spacing w:after="0" w:line="70" w:lineRule="exact"/>
        <w:rPr>
          <w:sz w:val="20"/>
          <w:szCs w:val="20"/>
          <w:color w:val="auto"/>
        </w:rPr>
      </w:pPr>
    </w:p>
    <w:p>
      <w:pPr>
        <w:jc w:val="both"/>
        <w:ind w:left="100"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15.Continuing Obligations Regarding Confidential Information and Restrictive Covenants</w:t>
      </w:r>
      <w:r>
        <w:rPr>
          <w:rFonts w:ascii="Times New Roman" w:cs="Times New Roman" w:eastAsia="Times New Roman" w:hAnsi="Times New Roman"/>
          <w:sz w:val="22"/>
          <w:szCs w:val="22"/>
          <w:color w:val="auto"/>
        </w:rPr>
        <w:t>. Executive acknowledges and agrees that, during the course of his employment with the Company he held a position of trust and confidence to aid the Company and, as a result, the Company provided him with, and provided him with access to, Confidential Information, as defined in the Employment Agreement. Executive acknowledges and agrees that Executive remains bound by and shall comply with the restrictive covenants set forth in Section 6 of the Employment Agreement, including non-disclosure of Confidential Information and the non- solicitation provisions contained therein, and any other restrictive covenant agreements between Executive and any member of the Company Group and that such terms and provisions expressly survive any termination of the Employment Agreement and Executive’s termination of employment. Executive acknowledges and agrees that the Company Group would be irreparably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59" w:name="page60"/>
    <w:bookmarkEnd w:id="59"/>
    <w:p>
      <w:pPr>
        <w:jc w:val="both"/>
        <w:ind w:left="100"/>
        <w:spacing w:after="0" w:line="239" w:lineRule="auto"/>
        <w:rPr>
          <w:sz w:val="20"/>
          <w:szCs w:val="20"/>
          <w:color w:val="auto"/>
        </w:rPr>
      </w:pPr>
      <w:r>
        <w:rPr>
          <w:rFonts w:ascii="Times New Roman" w:cs="Times New Roman" w:eastAsia="Times New Roman" w:hAnsi="Times New Roman"/>
          <w:sz w:val="22"/>
          <w:szCs w:val="22"/>
          <w:color w:val="auto"/>
        </w:rPr>
        <w:t>injured by a violation of these obligations and agrees that the Company Group shall be entitled to an injunction restraining Executive from any actual or threatened breach of these restrictive covenants or any other appropriate equitable remedy without bond or other security being required. Any such relief shall be in addition to and not in lieu of any appropriate relief in the way of monetary damages that the parties may seek in arbitration.</w:t>
      </w:r>
    </w:p>
    <w:p>
      <w:pPr>
        <w:spacing w:after="0" w:line="72" w:lineRule="exact"/>
        <w:rPr>
          <w:sz w:val="20"/>
          <w:szCs w:val="20"/>
          <w:color w:val="auto"/>
        </w:rPr>
      </w:pPr>
    </w:p>
    <w:p>
      <w:pPr>
        <w:jc w:val="both"/>
        <w:ind w:left="100"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16.Return of Company Documents and Other Property</w:t>
      </w:r>
      <w:r>
        <w:rPr>
          <w:rFonts w:ascii="Times New Roman" w:cs="Times New Roman" w:eastAsia="Times New Roman" w:hAnsi="Times New Roman"/>
          <w:sz w:val="22"/>
          <w:szCs w:val="22"/>
          <w:color w:val="auto"/>
        </w:rPr>
        <w:t>. Executive agrees that as of the date he signs this Agreement, he, to the best of his knowledge, has provided or returned to the Company any and all Company Group property and all documents and materials belonging to the Company Group and stored in any fashion, including, without limitation, those that constitute or contain any Confidential Information, that are in the possession or control of the Executive, whether they were provided to the Executive by the Company Group or any of its business associates or created by the Executive in connection with his employment by the Company Group, and has not retained copies of any of the foregoing. In the event the Company learns of any additional Company Group property or Confidential Information that may be in Executive’s possession, the Company agrees to make a request in writing to the Executive identifying with specificity the particular documents or Confidential Information that the Company believes Executive still has in his possession and that the Company is requesting Executive return.</w:t>
      </w:r>
    </w:p>
    <w:p>
      <w:pPr>
        <w:spacing w:after="0" w:line="71" w:lineRule="exact"/>
        <w:rPr>
          <w:sz w:val="20"/>
          <w:szCs w:val="20"/>
          <w:color w:val="auto"/>
        </w:rPr>
      </w:pPr>
    </w:p>
    <w:p>
      <w:pPr>
        <w:ind w:left="1600" w:hanging="758"/>
        <w:spacing w:after="0"/>
        <w:tabs>
          <w:tab w:leader="none" w:pos="1600" w:val="left"/>
        </w:tabs>
        <w:numPr>
          <w:ilvl w:val="0"/>
          <w:numId w:val="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Transition Service and Cooperation</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u w:val="single" w:color="auto"/>
          <w:color w:val="auto"/>
        </w:rPr>
      </w:pPr>
    </w:p>
    <w:p>
      <w:pPr>
        <w:jc w:val="both"/>
        <w:ind w:left="100" w:firstLine="1490"/>
        <w:spacing w:after="0" w:line="246" w:lineRule="auto"/>
        <w:tabs>
          <w:tab w:leader="none" w:pos="2027"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commencing on the Separation Date and ending on March 1, 2025, Executive agrees to provide ongoing consulting and transition services to the Company Group at the reasonable request of the Chief Executive Officer of the Company. Such services shall be on a non-exclusive basis,at times that are mutually agreed between the Company and Executive and shall be for no more than five (5) hours a month. In consideration of such services, Executive shall be eligible to be considered for a fully vested carried interest award of up to $250,000 in March 2025, subject to the good faith discretion of the Company and to the extent permitted under the applicable carried interest documents. The parties acknowledge and agree that such services shall not exceed 20% of the average level of Executive’s services as an employee as determined under Section 409A (as defined below) and that Executive’s termination of employment hereunder is intended to constitute a “separation from service” from the Company within the meaning of Section 409A.</w:t>
      </w:r>
    </w:p>
    <w:p>
      <w:pPr>
        <w:spacing w:after="0" w:line="67" w:lineRule="exact"/>
        <w:rPr>
          <w:rFonts w:ascii="Times New Roman" w:cs="Times New Roman" w:eastAsia="Times New Roman" w:hAnsi="Times New Roman"/>
          <w:sz w:val="21"/>
          <w:szCs w:val="21"/>
          <w:color w:val="auto"/>
        </w:rPr>
      </w:pPr>
    </w:p>
    <w:p>
      <w:pPr>
        <w:jc w:val="both"/>
        <w:ind w:left="100" w:firstLine="1490"/>
        <w:spacing w:after="0" w:line="238" w:lineRule="auto"/>
        <w:tabs>
          <w:tab w:leader="none" w:pos="2027"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reasonably requested by the Company, Executive shall cooperate with the Company Group relating to any work or pending or future investigation, lawsuit or claim involving the Company Group about which Executive is knowledgeable; provided that, the Company shall make reasonable efforts to minimize disruption of Executive’s other activities. The Company shall reimburse Executive for any reasonable travel and other expenses incurred in connection with cooperation provided under this Section.</w:t>
      </w:r>
    </w:p>
    <w:p>
      <w:pPr>
        <w:spacing w:after="0" w:line="69"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18.Binding Effect; Successors and Assigns</w:t>
      </w:r>
      <w:r>
        <w:rPr>
          <w:rFonts w:ascii="Times New Roman" w:cs="Times New Roman" w:eastAsia="Times New Roman" w:hAnsi="Times New Roman"/>
          <w:sz w:val="22"/>
          <w:szCs w:val="22"/>
          <w:color w:val="auto"/>
        </w:rPr>
        <w:t>. This Agreement may not be assigned by Executive without the prior written consent of the Company, and shall inure to the benefit of and be binding upon the parties hereto and their respective heirs, representatives, successors (by merger, acquisition or otherwise) and permitted assigns.</w:t>
      </w:r>
    </w:p>
    <w:p>
      <w:pPr>
        <w:spacing w:after="0" w:line="65" w:lineRule="exact"/>
        <w:rPr>
          <w:sz w:val="20"/>
          <w:szCs w:val="20"/>
          <w:color w:val="auto"/>
        </w:rPr>
      </w:pPr>
    </w:p>
    <w:p>
      <w:pPr>
        <w:jc w:val="both"/>
        <w:ind w:left="100"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19.Applicable Law</w:t>
      </w:r>
      <w:r>
        <w:rPr>
          <w:rFonts w:ascii="Times New Roman" w:cs="Times New Roman" w:eastAsia="Times New Roman" w:hAnsi="Times New Roman"/>
          <w:sz w:val="22"/>
          <w:szCs w:val="22"/>
          <w:color w:val="auto"/>
        </w:rPr>
        <w:t>. The provisions of this Agreement shall be construed in accordance with the laws of the State of Texas, without regard to its conflict of law principles, unless a superseding Federal law is applicable.</w:t>
      </w:r>
    </w:p>
    <w:p>
      <w:pPr>
        <w:spacing w:after="0" w:line="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u w:val="single" w:color="auto"/>
          <w:color w:val="auto"/>
        </w:rPr>
        <w:t>20.Arbitration</w:t>
      </w:r>
      <w:r>
        <w:rPr>
          <w:rFonts w:ascii="Times New Roman" w:cs="Times New Roman" w:eastAsia="Times New Roman" w:hAnsi="Times New Roman"/>
          <w:sz w:val="22"/>
          <w:szCs w:val="22"/>
          <w:color w:val="auto"/>
        </w:rPr>
        <w:t>. In accordance with Section 18 of the Employment Agreement, all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589915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60" w:name="page61"/>
    <w:bookmarkEnd w:id="60"/>
    <w:p>
      <w:pPr>
        <w:jc w:val="both"/>
        <w:ind w:left="100"/>
        <w:spacing w:after="0" w:line="233" w:lineRule="auto"/>
        <w:rPr>
          <w:sz w:val="20"/>
          <w:szCs w:val="20"/>
          <w:color w:val="auto"/>
        </w:rPr>
      </w:pPr>
      <w:r>
        <w:rPr>
          <w:rFonts w:ascii="Times New Roman" w:cs="Times New Roman" w:eastAsia="Times New Roman" w:hAnsi="Times New Roman"/>
          <w:sz w:val="22"/>
          <w:szCs w:val="22"/>
          <w:color w:val="auto"/>
        </w:rPr>
        <w:t>disputes and disagreements arising from, relating to, or otherwise connected with this Agreement, the breach of this Agreement, Executive’s employment with the Company or providing services to the Company Group or any Affiliated Entity, the enforcement, interpretation or validity of this Agreement, or the employment relationship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cs="Times New Roman" w:eastAsia="Times New Roman" w:hAnsi="Times New Roman"/>
          <w:sz w:val="22"/>
          <w:szCs w:val="22"/>
          <w:u w:val="single" w:color="auto"/>
          <w:color w:val="auto"/>
        </w:rPr>
        <w:t>JAMS</w:t>
      </w:r>
      <w:r>
        <w:rPr>
          <w:rFonts w:ascii="Times New Roman" w:cs="Times New Roman" w:eastAsia="Times New Roman" w:hAnsi="Times New Roman"/>
          <w:sz w:val="22"/>
          <w:szCs w:val="22"/>
          <w:color w:val="auto"/>
        </w:rPr>
        <w:t xml:space="preserve"> ”) pursuant to its Employment Arbitration Rules and Procedures applicable at the time the arbitration is commenced. A copy of the current version of the JAMS Rules will be made available to Executive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except as otherwise provided by law. Each of the parties shall bear the fees and expenses of its own legal counsel.</w:t>
      </w:r>
    </w:p>
    <w:p>
      <w:pPr>
        <w:spacing w:after="0" w:line="72" w:lineRule="exact"/>
        <w:rPr>
          <w:sz w:val="20"/>
          <w:szCs w:val="20"/>
          <w:color w:val="auto"/>
        </w:rPr>
      </w:pPr>
    </w:p>
    <w:p>
      <w:pPr>
        <w:ind w:left="1600" w:hanging="758"/>
        <w:spacing w:after="0"/>
        <w:tabs>
          <w:tab w:leader="none" w:pos="160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left="100"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22.Complete Agreement</w:t>
      </w:r>
      <w:r>
        <w:rPr>
          <w:rFonts w:ascii="Times New Roman" w:cs="Times New Roman" w:eastAsia="Times New Roman" w:hAnsi="Times New Roman"/>
          <w:sz w:val="22"/>
          <w:szCs w:val="22"/>
          <w:color w:val="auto"/>
        </w:rPr>
        <w:t>. This Agreement represents the complete agreement and understanding between the parties concerning the subject matter in this Agreement, and supersedes all prior agreements or understandings, verbal or written, pertaining to the subject matter of this Agreement, except for: (a) those sections and provisions of the Employment Agreement that are expressly referenced or incorporated herein; (b) the Indemnification Agreement between the Executive and P10, Inc. and any other agreement with the Company or any member of the Company Group; and (c) the agreements relating to the Equity Awards (as modified by this Agreement). Executive affirms that, in entering into this agreement, Executive is not relying upon any oral understandings, statements, covenants, promises, terms, conditions, or obligations contrary or in addition to the terms of this Agreement exist other than those expressly set forth in this Agreement. Notwithstanding the foregoing, Executive acknowledges and agrees that following the Effective Date, Executive shall continue to be bound by any and all agreements, policies or procedures of the Company related to the confidentiality and non- disclosure of any confidential, proprietary or trade-secret information of the Company, Affiliated Entities, Released Parties or any customer or client of the Company, as well as any non-compete or non-solicitation obligations Executive may have agreed or entered in to in connection with Executive’s employment with the Company.</w:t>
      </w:r>
    </w:p>
    <w:p>
      <w:pPr>
        <w:spacing w:after="0" w:line="74"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23.Modification</w:t>
      </w:r>
      <w:r>
        <w:rPr>
          <w:rFonts w:ascii="Times New Roman" w:cs="Times New Roman" w:eastAsia="Times New Roman" w:hAnsi="Times New Roman"/>
          <w:sz w:val="22"/>
          <w:szCs w:val="22"/>
          <w:color w:val="auto"/>
        </w:rPr>
        <w:t>. This Agreement may not be changed by oral representations and may only be amended or modified by a written instrument signed by each of the parties, or their respective authorized representatives, successors or assigns, and must expressly state that it is the intention of each of the parties to amend this Agreement.</w:t>
      </w:r>
    </w:p>
    <w:p>
      <w:pPr>
        <w:spacing w:after="0" w:line="65"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24.Waiver</w:t>
      </w:r>
      <w:r>
        <w:rPr>
          <w:rFonts w:ascii="Times New Roman" w:cs="Times New Roman" w:eastAsia="Times New Roman" w:hAnsi="Times New Roman"/>
          <w:sz w:val="22"/>
          <w:szCs w:val="22"/>
          <w:color w:val="auto"/>
        </w:rPr>
        <w:t>. No failure by either party at any time to give notice of any breach by the other party of, or to require compliance with, any condition or provision of this Agreement shall be deemed a waiver of such provision or condition of this Agreement. No waiver shall be binding unless in writing and signed by the party waiving the breach.</w:t>
      </w:r>
    </w:p>
    <w:p>
      <w:pPr>
        <w:spacing w:after="0" w:line="25" w:lineRule="exact"/>
        <w:rPr>
          <w:sz w:val="20"/>
          <w:szCs w:val="20"/>
          <w:color w:val="auto"/>
        </w:rPr>
      </w:pPr>
    </w:p>
    <w:p>
      <w:pPr>
        <w:jc w:val="both"/>
        <w:ind w:left="100"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25.Headings</w:t>
      </w:r>
      <w:r>
        <w:rPr>
          <w:rFonts w:ascii="Times New Roman" w:cs="Times New Roman" w:eastAsia="Times New Roman" w:hAnsi="Times New Roman"/>
          <w:sz w:val="22"/>
          <w:szCs w:val="22"/>
          <w:color w:val="auto"/>
        </w:rPr>
        <w:t>. Any titles or headings used in this Agreement are intended only for convenience and reference. Such titles and headings do not nor are they intended to be interpretive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589915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61" w:name="page62"/>
    <w:bookmarkEnd w:id="61"/>
    <w:p>
      <w:pPr>
        <w:ind w:left="100"/>
        <w:spacing w:after="0"/>
        <w:rPr>
          <w:sz w:val="20"/>
          <w:szCs w:val="20"/>
          <w:color w:val="auto"/>
        </w:rPr>
      </w:pPr>
      <w:r>
        <w:rPr>
          <w:rFonts w:ascii="Times New Roman" w:cs="Times New Roman" w:eastAsia="Times New Roman" w:hAnsi="Times New Roman"/>
          <w:sz w:val="22"/>
          <w:szCs w:val="22"/>
          <w:color w:val="auto"/>
        </w:rPr>
        <w:t>of the contents of any paragraph or provision in this Agreement.</w:t>
      </w:r>
    </w:p>
    <w:p>
      <w:pPr>
        <w:spacing w:after="0" w:line="98" w:lineRule="exact"/>
        <w:rPr>
          <w:sz w:val="20"/>
          <w:szCs w:val="20"/>
          <w:color w:val="auto"/>
        </w:rPr>
      </w:pPr>
    </w:p>
    <w:p>
      <w:pPr>
        <w:jc w:val="both"/>
        <w:ind w:left="100"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26.Severability of Unenforceable Terms</w:t>
      </w:r>
      <w:r>
        <w:rPr>
          <w:rFonts w:ascii="Times New Roman" w:cs="Times New Roman" w:eastAsia="Times New Roman" w:hAnsi="Times New Roman"/>
          <w:sz w:val="22"/>
          <w:szCs w:val="22"/>
          <w:color w:val="auto"/>
        </w:rPr>
        <w:t>. If any of the provisions, terms, clauses, waivers or releases of claims and rights contained in this Agreement, or parts thereof, are declared void, voidable, illegal, unenforceable or ineffective in a legal forum of competent jurisdiction, such provisions, terms, clauses, waivers or releases of claims or rights, or parts thereof, shall be modified, if possible, in order to achieve, to the extent possible, the intentions of the parties. If necessary, however, such provisions, terms, clauses, waivers and releases of claims and rights, or parts thereof, shall be severed from this Agreement, and the remaining provisions, terms, clauses, waivers and releases of claims and rights contained in this Agreement shall remain valid and binding upon parties.</w:t>
      </w:r>
    </w:p>
    <w:p>
      <w:pPr>
        <w:spacing w:after="0" w:line="75" w:lineRule="exact"/>
        <w:rPr>
          <w:sz w:val="20"/>
          <w:szCs w:val="20"/>
          <w:color w:val="auto"/>
        </w:rPr>
      </w:pPr>
    </w:p>
    <w:p>
      <w:pPr>
        <w:jc w:val="both"/>
        <w:ind w:left="100"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27.Compliance with Section 409A</w:t>
      </w:r>
      <w:r>
        <w:rPr>
          <w:rFonts w:ascii="Times New Roman" w:cs="Times New Roman" w:eastAsia="Times New Roman" w:hAnsi="Times New Roman"/>
          <w:sz w:val="22"/>
          <w:szCs w:val="22"/>
          <w:color w:val="auto"/>
        </w:rPr>
        <w:t>. This Agreement is intended to comply with Section 409A of the Internal Revenue Code and the rules, regulations and notices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 compliance with Section 409A.</w:t>
      </w:r>
    </w:p>
    <w:p>
      <w:pPr>
        <w:spacing w:after="0" w:line="71" w:lineRule="exact"/>
        <w:rPr>
          <w:sz w:val="20"/>
          <w:szCs w:val="20"/>
          <w:color w:val="auto"/>
        </w:rPr>
      </w:pPr>
    </w:p>
    <w:p>
      <w:pPr>
        <w:jc w:val="both"/>
        <w:ind w:left="100"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28.Counterparts</w:t>
      </w:r>
      <w:r>
        <w:rPr>
          <w:rFonts w:ascii="Times New Roman" w:cs="Times New Roman" w:eastAsia="Times New Roman" w:hAnsi="Times New Roman"/>
          <w:sz w:val="22"/>
          <w:szCs w:val="22"/>
          <w:color w:val="auto"/>
        </w:rPr>
        <w:t>. This Agreement may be executed in two or more counterparts, each of which shall be deemed an originally, but all of which taken together shall constitute one and the same instrument. Facsimile, or electronically transmitted signatures shall be treated as original signatures for all purposes.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395" w:right="459" w:bottom="1440" w:gutter="0" w:footer="0" w:header="0"/>
        </w:sectPr>
      </w:pPr>
    </w:p>
    <w:bookmarkStart w:id="62" w:name="page63"/>
    <w:bookmarkEnd w:id="62"/>
    <w:p>
      <w:pPr>
        <w:spacing w:after="0" w:line="302"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589915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READ CAREFULLY BEFORE SIGNING</w:t>
      </w:r>
    </w:p>
    <w:p>
      <w:pPr>
        <w:spacing w:after="0" w:line="208" w:lineRule="exact"/>
        <w:rPr>
          <w:sz w:val="20"/>
          <w:szCs w:val="20"/>
          <w:color w:val="auto"/>
        </w:rPr>
      </w:pPr>
    </w:p>
    <w:p>
      <w:pPr>
        <w:jc w:val="both"/>
        <w:ind w:left="120" w:right="120"/>
        <w:spacing w:after="0" w:line="249"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 is a legally binding document</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 contains a release and waiver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 rights under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state and local laws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 xml:space="preserve"> rules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4"/>
          <w:szCs w:val="14"/>
          <w:b w:val="1"/>
          <w:bCs w:val="1"/>
          <w:color w:val="auto"/>
        </w:rPr>
        <w:t xml:space="preserve"> regulations and ordinances</w:t>
      </w:r>
      <w:r>
        <w:rPr>
          <w:rFonts w:ascii="Times New Roman" w:cs="Times New Roman" w:eastAsia="Times New Roman" w:hAnsi="Times New Roman"/>
          <w:sz w:val="21"/>
          <w:szCs w:val="21"/>
          <w:b w:val="1"/>
          <w:bCs w:val="1"/>
          <w:color w:val="auto"/>
        </w:rPr>
        <w:t>. B</w:t>
      </w:r>
      <w:r>
        <w:rPr>
          <w:rFonts w:ascii="Times New Roman" w:cs="Times New Roman" w:eastAsia="Times New Roman" w:hAnsi="Times New Roman"/>
          <w:sz w:val="14"/>
          <w:szCs w:val="14"/>
          <w:b w:val="1"/>
          <w:bCs w:val="1"/>
          <w:color w:val="auto"/>
        </w:rPr>
        <w:t xml:space="preserve">y signing this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 E</w:t>
      </w:r>
      <w:r>
        <w:rPr>
          <w:rFonts w:ascii="Times New Roman" w:cs="Times New Roman" w:eastAsia="Times New Roman" w:hAnsi="Times New Roman"/>
          <w:sz w:val="14"/>
          <w:szCs w:val="14"/>
          <w:b w:val="1"/>
          <w:bCs w:val="1"/>
          <w:color w:val="auto"/>
        </w:rPr>
        <w:t xml:space="preserve">xecutive understands that </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xecutive is waiving any and all rights</w:t>
      </w:r>
      <w:r>
        <w:rPr>
          <w:rFonts w:ascii="Times New Roman" w:cs="Times New Roman" w:eastAsia="Times New Roman" w:hAnsi="Times New Roman"/>
          <w:sz w:val="21"/>
          <w:szCs w:val="21"/>
          <w:b w:val="1"/>
          <w:bCs w:val="1"/>
          <w:color w:val="auto"/>
        </w:rPr>
        <w:t xml:space="preserve"> E</w:t>
      </w:r>
      <w:r>
        <w:rPr>
          <w:rFonts w:ascii="Times New Roman" w:cs="Times New Roman" w:eastAsia="Times New Roman" w:hAnsi="Times New Roman"/>
          <w:sz w:val="14"/>
          <w:szCs w:val="14"/>
          <w:b w:val="1"/>
          <w:bCs w:val="1"/>
          <w:color w:val="auto"/>
        </w:rPr>
        <w:t>xecutive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had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may have or may have had against the</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ompany under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4"/>
          <w:szCs w:val="14"/>
          <w:b w:val="1"/>
          <w:bCs w:val="1"/>
          <w:color w:val="auto"/>
        </w:rPr>
        <w:t>laws</w:t>
      </w:r>
      <w:r>
        <w:rPr>
          <w:rFonts w:ascii="Times New Roman" w:cs="Times New Roman" w:eastAsia="Times New Roman" w:hAnsi="Times New Roman"/>
          <w:sz w:val="21"/>
          <w:szCs w:val="21"/>
          <w:b w:val="1"/>
          <w:bCs w:val="1"/>
          <w:color w:val="auto"/>
        </w:rPr>
        <w:t>. B</w:t>
      </w:r>
      <w:r>
        <w:rPr>
          <w:rFonts w:ascii="Times New Roman" w:cs="Times New Roman" w:eastAsia="Times New Roman" w:hAnsi="Times New Roman"/>
          <w:sz w:val="14"/>
          <w:szCs w:val="14"/>
          <w:b w:val="1"/>
          <w:bCs w:val="1"/>
          <w:color w:val="auto"/>
        </w:rPr>
        <w:t>efore signing</w:t>
      </w:r>
      <w:r>
        <w:rPr>
          <w:rFonts w:ascii="Times New Roman" w:cs="Times New Roman" w:eastAsia="Times New Roman" w:hAnsi="Times New Roman"/>
          <w:sz w:val="21"/>
          <w:szCs w:val="21"/>
          <w:b w:val="1"/>
          <w:bCs w:val="1"/>
          <w:color w:val="auto"/>
        </w:rPr>
        <w:t>, E</w:t>
      </w:r>
      <w:r>
        <w:rPr>
          <w:rFonts w:ascii="Times New Roman" w:cs="Times New Roman" w:eastAsia="Times New Roman" w:hAnsi="Times New Roman"/>
          <w:sz w:val="14"/>
          <w:szCs w:val="14"/>
          <w:b w:val="1"/>
          <w:bCs w:val="1"/>
          <w:color w:val="auto"/>
        </w:rPr>
        <w:t xml:space="preserve">xecutive should review this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 xml:space="preserve">greement carefully and seek the advice of an attorney to discuss this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 xml:space="preserve">greement including the legal effect of signing this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3380" w:val="left"/>
          <w:tab w:leader="none" w:pos="6760" w:val="left"/>
        </w:tabs>
        <w:rPr>
          <w:sz w:val="20"/>
          <w:szCs w:val="20"/>
          <w:color w:val="auto"/>
        </w:rPr>
      </w:pPr>
      <w:r>
        <w:rPr>
          <w:rFonts w:ascii="Times New Roman" w:cs="Times New Roman" w:eastAsia="Times New Roman" w:hAnsi="Times New Roman"/>
          <w:sz w:val="18"/>
          <w:szCs w:val="18"/>
          <w:color w:val="auto"/>
        </w:rPr>
        <w:t>Date: May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F. Souder</w:t>
      </w:r>
    </w:p>
    <w:p>
      <w:pPr>
        <w:spacing w:after="0" w:line="3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-125095</wp:posOffset>
            </wp:positionV>
            <wp:extent cx="470598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P10 INTERMEDIATE HOLDINGS,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2024</w:t>
            </w:r>
          </w:p>
        </w:tc>
        <w:tc>
          <w:tcPr>
            <w:tcW w:w="1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7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Amanda Coussens</w:t>
            </w:r>
          </w:p>
        </w:tc>
      </w:tr>
      <w:tr>
        <w:trPr>
          <w:trHeight w:val="207"/>
        </w:trPr>
        <w:tc>
          <w:tcPr>
            <w:tcW w:w="2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Amanda Coussens</w:t>
            </w:r>
          </w:p>
        </w:tc>
      </w:tr>
      <w:tr>
        <w:trPr>
          <w:trHeight w:val="238"/>
        </w:trPr>
        <w:tc>
          <w:tcPr>
            <w:tcW w:w="2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830"/>
        </w:trPr>
        <w:tc>
          <w:tcPr>
            <w:tcW w:w="2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64" w:name="page65"/>
    <w:bookmarkEnd w:id="64"/>
    <w:p>
      <w:pPr>
        <w:spacing w:after="0" w:line="1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Schedule of options, restricted stock and restricted stock units of P10, Inc. owned directly or beneficially by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5374640" cy="8229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53746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Schedule of Carried Interest</w:t>
      </w:r>
    </w:p>
    <w:p>
      <w:pPr>
        <w:spacing w:after="0" w:line="239" w:lineRule="exact"/>
        <w:rPr>
          <w:sz w:val="20"/>
          <w:szCs w:val="20"/>
          <w:color w:val="auto"/>
        </w:rPr>
      </w:pPr>
    </w:p>
    <w:p>
      <w:pPr>
        <w:ind w:left="100" w:right="280"/>
        <w:spacing w:after="0" w:line="258" w:lineRule="auto"/>
        <w:rPr>
          <w:sz w:val="20"/>
          <w:szCs w:val="20"/>
          <w:color w:val="auto"/>
        </w:rPr>
      </w:pPr>
      <w:r>
        <w:rPr>
          <w:rFonts w:ascii="Times New Roman" w:cs="Times New Roman" w:eastAsia="Times New Roman" w:hAnsi="Times New Roman"/>
          <w:sz w:val="22"/>
          <w:szCs w:val="22"/>
          <w:color w:val="auto"/>
        </w:rPr>
        <w:t>All carried interests held by Executive in the investment vehicles of Affiliated Entities (as defined in the Employment Agreement) including but not limited to those set forth below:</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BCP Fund II</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2022 award totaling $1,536,500 2023 award totaling</w:t>
      </w:r>
    </w:p>
    <w:p>
      <w:pPr>
        <w:ind w:left="100"/>
        <w:spacing w:after="0"/>
        <w:rPr>
          <w:sz w:val="20"/>
          <w:szCs w:val="20"/>
          <w:color w:val="auto"/>
        </w:rPr>
      </w:pPr>
      <w:r>
        <w:rPr>
          <w:rFonts w:ascii="Times New Roman" w:cs="Times New Roman" w:eastAsia="Times New Roman" w:hAnsi="Times New Roman"/>
          <w:sz w:val="22"/>
          <w:szCs w:val="22"/>
          <w:color w:val="auto"/>
        </w:rPr>
        <w:t>$3,750,000</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Final percentage will be based on the fund achieving a 2.2x gross multiple</w:t>
      </w: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Hark Fund IV</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2022 award of $206,000</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Final percentage based on the fund achieving a 1.2x gross multiple.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598170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40" w:top="1440" w:right="1019" w:bottom="1440" w:gutter="0" w:footer="0" w:header="0"/>
        </w:sectPr>
      </w:pPr>
    </w:p>
    <w:bookmarkStart w:id="65" w:name="page66"/>
    <w:bookmarkEnd w:id="65"/>
    <w:p>
      <w:pPr>
        <w:spacing w:after="0" w:line="200" w:lineRule="exact"/>
        <w:rPr>
          <w:sz w:val="20"/>
          <w:szCs w:val="20"/>
          <w:color w:val="auto"/>
        </w:rPr>
      </w:pPr>
    </w:p>
    <w:p>
      <w:pPr>
        <w:spacing w:after="0" w:line="237"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22"/>
          <w:szCs w:val="22"/>
          <w:b w:val="1"/>
          <w:bCs w:val="1"/>
          <w:color w:val="auto"/>
        </w:rPr>
        <w:t>Annex 2</w:t>
      </w: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1,420,646 Class B 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589915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6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AMENDMENT TO EXECUTIVE TRANSITION AGREEMENT</w:t>
      </w:r>
    </w:p>
    <w:p>
      <w:pPr>
        <w:spacing w:after="0" w:line="102" w:lineRule="exact"/>
        <w:rPr>
          <w:sz w:val="20"/>
          <w:szCs w:val="20"/>
          <w:color w:val="auto"/>
        </w:rPr>
      </w:pPr>
    </w:p>
    <w:p>
      <w:pPr>
        <w:jc w:val="both"/>
        <w:ind w:right="400" w:firstLine="873"/>
        <w:spacing w:after="0" w:line="239" w:lineRule="auto"/>
        <w:rPr>
          <w:sz w:val="20"/>
          <w:szCs w:val="20"/>
          <w:color w:val="auto"/>
        </w:rPr>
      </w:pPr>
      <w:r>
        <w:rPr>
          <w:rFonts w:ascii="Times New Roman" w:cs="Times New Roman" w:eastAsia="Times New Roman" w:hAnsi="Times New Roman"/>
          <w:sz w:val="22"/>
          <w:szCs w:val="22"/>
          <w:color w:val="auto"/>
        </w:rPr>
        <w:t>This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Executive Transition Agreement (as defined below) is entered into as of May 9, 2024 by and between Robert Alpert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P10 Intermediate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it and its parent, subsidiaries, successors, and assigns, including but not limited to P10, Inc. (“</w:t>
      </w:r>
      <w:r>
        <w:rPr>
          <w:rFonts w:ascii="Times New Roman" w:cs="Times New Roman" w:eastAsia="Times New Roman" w:hAnsi="Times New Roman"/>
          <w:sz w:val="22"/>
          <w:szCs w:val="22"/>
          <w:u w:val="single" w:color="auto"/>
          <w:color w:val="auto"/>
        </w:rPr>
        <w:t>P10</w:t>
      </w:r>
      <w:r>
        <w:rPr>
          <w:rFonts w:ascii="Times New Roman" w:cs="Times New Roman" w:eastAsia="Times New Roman" w:hAnsi="Times New Roman"/>
          <w:sz w:val="22"/>
          <w:szCs w:val="22"/>
          <w:color w:val="auto"/>
        </w:rPr>
        <w:t>”) (collectively with Executive,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02" w:lineRule="exact"/>
        <w:rPr>
          <w:sz w:val="20"/>
          <w:szCs w:val="20"/>
          <w:color w:val="auto"/>
        </w:rPr>
      </w:pPr>
    </w:p>
    <w:p>
      <w:pPr>
        <w:jc w:val="both"/>
        <w:ind w:right="400" w:firstLine="873"/>
        <w:spacing w:after="0" w:line="258" w:lineRule="auto"/>
        <w:rPr>
          <w:sz w:val="20"/>
          <w:szCs w:val="20"/>
          <w:color w:val="auto"/>
        </w:rPr>
      </w:pPr>
      <w:r>
        <w:rPr>
          <w:rFonts w:ascii="Times New Roman" w:cs="Times New Roman" w:eastAsia="Times New Roman" w:hAnsi="Times New Roman"/>
          <w:sz w:val="22"/>
          <w:szCs w:val="22"/>
          <w:color w:val="auto"/>
        </w:rPr>
        <w:t>WHEREAS, the Executive and the Company entered into an Executive Transition Agreement (the “</w:t>
      </w:r>
      <w:r>
        <w:rPr>
          <w:rFonts w:ascii="Times New Roman" w:cs="Times New Roman" w:eastAsia="Times New Roman" w:hAnsi="Times New Roman"/>
          <w:sz w:val="22"/>
          <w:szCs w:val="22"/>
          <w:u w:val="single" w:color="auto"/>
          <w:color w:val="auto"/>
        </w:rPr>
        <w:t>Executive Transition Agreement</w:t>
      </w:r>
      <w:r>
        <w:rPr>
          <w:rFonts w:ascii="Times New Roman" w:cs="Times New Roman" w:eastAsia="Times New Roman" w:hAnsi="Times New Roman"/>
          <w:sz w:val="22"/>
          <w:szCs w:val="22"/>
          <w:color w:val="auto"/>
        </w:rPr>
        <w:t>”) as of October 20, 2023;</w:t>
      </w:r>
    </w:p>
    <w:p>
      <w:pPr>
        <w:spacing w:after="0" w:line="50" w:lineRule="exact"/>
        <w:rPr>
          <w:sz w:val="20"/>
          <w:szCs w:val="20"/>
          <w:color w:val="auto"/>
        </w:rPr>
      </w:pPr>
    </w:p>
    <w:p>
      <w:pPr>
        <w:jc w:val="both"/>
        <w:ind w:right="400" w:firstLine="948"/>
        <w:spacing w:after="0" w:line="239" w:lineRule="auto"/>
        <w:rPr>
          <w:sz w:val="20"/>
          <w:szCs w:val="20"/>
          <w:color w:val="auto"/>
        </w:rPr>
      </w:pPr>
      <w:r>
        <w:rPr>
          <w:rFonts w:ascii="Times New Roman" w:cs="Times New Roman" w:eastAsia="Times New Roman" w:hAnsi="Times New Roman"/>
          <w:sz w:val="22"/>
          <w:szCs w:val="22"/>
          <w:color w:val="auto"/>
        </w:rPr>
        <w:t>WHEREAS, on May 6, 2024, the Executive notified P10 and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P10, Inc. of his intent to resign as Chairman of the Board and Executive Chairman and on May 7, 2024, the Board and P10 accepted the Executive’s resignations, effective as of the Company’s annual meeting on June 14, 2024 (the “</w:t>
      </w:r>
      <w:r>
        <w:rPr>
          <w:rFonts w:ascii="Times New Roman" w:cs="Times New Roman" w:eastAsia="Times New Roman" w:hAnsi="Times New Roman"/>
          <w:sz w:val="22"/>
          <w:szCs w:val="22"/>
          <w:u w:val="single" w:color="auto"/>
          <w:color w:val="auto"/>
        </w:rPr>
        <w:t>Resignation Date</w:t>
      </w:r>
      <w:r>
        <w:rPr>
          <w:rFonts w:ascii="Times New Roman" w:cs="Times New Roman" w:eastAsia="Times New Roman" w:hAnsi="Times New Roman"/>
          <w:sz w:val="22"/>
          <w:szCs w:val="22"/>
          <w:color w:val="auto"/>
        </w:rPr>
        <w:t>”);</w:t>
      </w:r>
    </w:p>
    <w:p>
      <w:pPr>
        <w:spacing w:after="0" w:line="72" w:lineRule="exact"/>
        <w:rPr>
          <w:sz w:val="20"/>
          <w:szCs w:val="20"/>
          <w:color w:val="auto"/>
        </w:rPr>
      </w:pPr>
    </w:p>
    <w:p>
      <w:pPr>
        <w:jc w:val="both"/>
        <w:ind w:right="400" w:firstLine="873"/>
        <w:spacing w:after="0" w:line="244" w:lineRule="auto"/>
        <w:rPr>
          <w:sz w:val="20"/>
          <w:szCs w:val="20"/>
          <w:color w:val="auto"/>
        </w:rPr>
      </w:pPr>
      <w:r>
        <w:rPr>
          <w:rFonts w:ascii="Times New Roman" w:cs="Times New Roman" w:eastAsia="Times New Roman" w:hAnsi="Times New Roman"/>
          <w:sz w:val="22"/>
          <w:szCs w:val="22"/>
          <w:color w:val="auto"/>
        </w:rPr>
        <w:t>WHEREAS, in connection with the Executive’s resignations, the Executive and the Company wish to enter into this Amendment to reflect the early termination of the Executive Transition Agreement and certain other changes to the Executive Transition Agreement, as provided for herein.</w:t>
      </w:r>
    </w:p>
    <w:p>
      <w:pPr>
        <w:spacing w:after="0" w:line="65" w:lineRule="exact"/>
        <w:rPr>
          <w:sz w:val="20"/>
          <w:szCs w:val="20"/>
          <w:color w:val="auto"/>
        </w:rPr>
      </w:pPr>
    </w:p>
    <w:p>
      <w:pPr>
        <w:jc w:val="both"/>
        <w:ind w:right="420" w:firstLine="873"/>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representations, and conditions set forth herein, the sufficiency of which is hereby acknowledged, the Parties agree as follows:</w:t>
      </w:r>
    </w:p>
    <w:p>
      <w:pPr>
        <w:spacing w:after="0" w:line="50" w:lineRule="exact"/>
        <w:rPr>
          <w:sz w:val="20"/>
          <w:szCs w:val="20"/>
          <w:color w:val="auto"/>
        </w:rPr>
      </w:pPr>
    </w:p>
    <w:p>
      <w:pPr>
        <w:ind w:left="380" w:right="120" w:hanging="373"/>
        <w:spacing w:after="0" w:line="258"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 Transition Agreement shall terminate on the Resignation Date and the Parties expressly waive the ninety (90) days’ notice period provided in Section 5 of the Executive Transition Agreement.</w:t>
      </w:r>
    </w:p>
    <w:p>
      <w:pPr>
        <w:spacing w:after="0" w:line="50" w:lineRule="exact"/>
        <w:rPr>
          <w:rFonts w:ascii="Times New Roman" w:cs="Times New Roman" w:eastAsia="Times New Roman" w:hAnsi="Times New Roman"/>
          <w:sz w:val="22"/>
          <w:szCs w:val="22"/>
          <w:u w:val="single" w:color="auto"/>
          <w:color w:val="auto"/>
        </w:rPr>
      </w:pPr>
    </w:p>
    <w:p>
      <w:pPr>
        <w:jc w:val="both"/>
        <w:ind w:left="380" w:right="120" w:hanging="373"/>
        <w:spacing w:after="0" w:line="239"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On the Resignation Date, the Executive shall cease to serve as Executive Chairman. The Executive also acknowledges that he has provided notice of his resignation as Chairman of the Board and such resignation has been accepted by the Board, effective as of the Resignation Date. The Executive agrees to execute any documentation as the Company determines is reasonably necessary or desirable to give effect to such resignations.</w:t>
      </w:r>
    </w:p>
    <w:p>
      <w:pPr>
        <w:spacing w:after="0" w:line="72" w:lineRule="exact"/>
        <w:rPr>
          <w:rFonts w:ascii="Times New Roman" w:cs="Times New Roman" w:eastAsia="Times New Roman" w:hAnsi="Times New Roman"/>
          <w:sz w:val="22"/>
          <w:szCs w:val="22"/>
          <w:u w:val="single" w:color="auto"/>
          <w:color w:val="auto"/>
        </w:rPr>
      </w:pPr>
    </w:p>
    <w:p>
      <w:pPr>
        <w:ind w:left="380" w:right="120" w:hanging="373"/>
        <w:spacing w:after="0" w:line="258"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The last sentence of Section 3(e) of the Executive Transition Agreement, is hereby amended to read in its entirety as follows:</w:t>
      </w:r>
    </w:p>
    <w:p>
      <w:pPr>
        <w:spacing w:after="0" w:line="46" w:lineRule="exact"/>
        <w:rPr>
          <w:rFonts w:ascii="Times New Roman" w:cs="Times New Roman" w:eastAsia="Times New Roman" w:hAnsi="Times New Roman"/>
          <w:sz w:val="22"/>
          <w:szCs w:val="22"/>
          <w:u w:val="single" w:color="auto"/>
          <w:color w:val="auto"/>
        </w:rPr>
      </w:pPr>
    </w:p>
    <w:p>
      <w:pPr>
        <w:jc w:val="both"/>
        <w:ind w:left="380" w:right="120"/>
        <w:spacing w:after="0" w:line="256"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1"/>
          <w:szCs w:val="21"/>
          <w:i w:val="1"/>
          <w:iCs w:val="1"/>
          <w:color w:val="auto"/>
        </w:rPr>
        <w:t>“Executive shall also receive reimbursement for Executive’s cost of COBRA premiums for health insurance coverage (to the extent such premiums exceed the contributory cost for the same coverage that the Company charges active employees) for a period of sixteen (16) months following the Transition End Date or until Executive’s right to COBRA continuation expires, whichever is shorter, provided that Executive timely elects and is eligible for COBRA coverage.”</w:t>
      </w:r>
    </w:p>
    <w:p>
      <w:pPr>
        <w:spacing w:after="0" w:line="53" w:lineRule="exact"/>
        <w:rPr>
          <w:rFonts w:ascii="Times New Roman" w:cs="Times New Roman" w:eastAsia="Times New Roman" w:hAnsi="Times New Roman"/>
          <w:sz w:val="22"/>
          <w:szCs w:val="22"/>
          <w:u w:val="single" w:color="auto"/>
          <w:color w:val="auto"/>
        </w:rPr>
      </w:pPr>
    </w:p>
    <w:p>
      <w:pPr>
        <w:jc w:val="both"/>
        <w:ind w:left="380" w:right="120" w:hanging="373"/>
        <w:spacing w:after="0" w:line="244"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Except as specifically provided by this Amendment, the Executive Transition Agreement shall remain in full force and effect in all other respects, subject to any other amendments that may be adopted from time to time.</w:t>
      </w:r>
    </w:p>
    <w:p>
      <w:pPr>
        <w:spacing w:after="0" w:line="65" w:lineRule="exact"/>
        <w:rPr>
          <w:rFonts w:ascii="Times New Roman" w:cs="Times New Roman" w:eastAsia="Times New Roman" w:hAnsi="Times New Roman"/>
          <w:sz w:val="22"/>
          <w:szCs w:val="22"/>
          <w:u w:val="single" w:color="auto"/>
          <w:color w:val="auto"/>
        </w:rPr>
      </w:pPr>
    </w:p>
    <w:p>
      <w:pPr>
        <w:ind w:left="380" w:right="120" w:hanging="373"/>
        <w:spacing w:after="0" w:line="258" w:lineRule="auto"/>
        <w:tabs>
          <w:tab w:leader="none" w:pos="380" w:val="left"/>
        </w:tabs>
        <w:numPr>
          <w:ilvl w:val="0"/>
          <w:numId w:val="2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provisions of this Agreement shall be construed in accordance with the laws of the State of Texas, without giving effect to any conflicts of laws principals.</w:t>
      </w:r>
    </w:p>
    <w:p>
      <w:pPr>
        <w:spacing w:after="0" w:line="50" w:lineRule="exact"/>
        <w:rPr>
          <w:rFonts w:ascii="Times New Roman" w:cs="Times New Roman" w:eastAsia="Times New Roman" w:hAnsi="Times New Roman"/>
          <w:sz w:val="22"/>
          <w:szCs w:val="22"/>
          <w:u w:val="single" w:color="auto"/>
          <w:color w:val="auto"/>
        </w:rPr>
      </w:pPr>
    </w:p>
    <w:p>
      <w:pPr>
        <w:jc w:val="both"/>
        <w:ind w:left="380" w:right="120" w:hanging="373"/>
        <w:spacing w:after="0" w:line="249" w:lineRule="auto"/>
        <w:tabs>
          <w:tab w:leader="none" w:pos="380" w:val="left"/>
        </w:tabs>
        <w:numPr>
          <w:ilvl w:val="0"/>
          <w:numId w:val="2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Amendment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electronic, or</w:t>
      </w:r>
    </w:p>
    <w:p>
      <w:pPr>
        <w:spacing w:after="0" w:line="1" w:lineRule="exact"/>
        <w:rPr>
          <w:rFonts w:ascii="Times New Roman" w:cs="Times New Roman" w:eastAsia="Times New Roman" w:hAnsi="Times New Roman"/>
          <w:sz w:val="21"/>
          <w:szCs w:val="21"/>
          <w:u w:val="single" w:color="auto"/>
          <w:color w:val="auto"/>
        </w:rPr>
      </w:pPr>
    </w:p>
    <w:p>
      <w:pPr>
        <w:ind w:left="380"/>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.pdf signatures shall have the same force and effect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214630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65" w:right="339" w:bottom="1440" w:gutter="0" w:footer="0" w:header="0"/>
        </w:sectPr>
      </w:pPr>
    </w:p>
    <w:bookmarkStart w:id="67" w:name="page68"/>
    <w:bookmarkEnd w:id="67"/>
    <w:p>
      <w:pPr>
        <w:ind w:left="1030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83" w:lineRule="exact"/>
        <w:rPr>
          <w:sz w:val="20"/>
          <w:szCs w:val="20"/>
          <w:color w:val="auto"/>
        </w:rPr>
      </w:pPr>
    </w:p>
    <w:p>
      <w:pPr>
        <w:ind w:left="100" w:right="800"/>
        <w:spacing w:after="0" w:line="258" w:lineRule="auto"/>
        <w:rPr>
          <w:sz w:val="20"/>
          <w:szCs w:val="20"/>
          <w:color w:val="auto"/>
        </w:rPr>
      </w:pPr>
      <w:r>
        <w:rPr>
          <w:rFonts w:ascii="Times New Roman" w:cs="Times New Roman" w:eastAsia="Times New Roman" w:hAnsi="Times New Roman"/>
          <w:sz w:val="22"/>
          <w:szCs w:val="22"/>
          <w:color w:val="auto"/>
        </w:rPr>
        <w:t>IN WITNESS WHEREOF, the Executive and the Company have executed this Amendment to the Executive Transition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Intermediate Holdings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Amanda Coussens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Alpert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342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615315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A. Sarsfield III, certify that:</w:t>
      </w:r>
    </w:p>
    <w:p>
      <w:pPr>
        <w:spacing w:after="0" w:line="99"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9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June 30, 2024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June 30, 2024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2"/>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lvl w:ilvl="1">
      <w:lvlJc w:val="left"/>
      <w:lvlText w:val="%2"/>
      <w:numFmt w:val="decimal"/>
      <w:start w:val="104"/>
    </w:lvl>
  </w:abstractNum>
  <w:abstractNum w:abstractNumId="14">
    <w:nsid w:val="676384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
    <w:nsid w:val="75A2A8D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decimal"/>
      <w:start w:val="1"/>
    </w:lvl>
    <w:lvl w:ilvl="1">
      <w:lvlJc w:val="left"/>
      <w:lvlText w:val="(%2)"/>
      <w:numFmt w:val="lowerLetter"/>
      <w:start w:val="2"/>
    </w:lvl>
  </w:abstractNum>
  <w:abstractNum w:abstractNumId="18">
    <w:nsid w:val="4353D0CD"/>
    <w:multiLevelType w:val="hybridMultilevel"/>
    <w:lvl w:ilvl="0">
      <w:lvlJc w:val="left"/>
      <w:lvlText w:val="(%1)"/>
      <w:numFmt w:val="decimal"/>
      <w:start w:val="15"/>
    </w:lvl>
    <w:lvl w:ilvl="1">
      <w:lvlJc w:val="left"/>
      <w:lvlText w:val="(%2)"/>
      <w:numFmt w:val="lowerLetter"/>
      <w:start w:val="3"/>
    </w:lvl>
  </w:abstractNum>
  <w:abstractNum w:abstractNumId="19">
    <w:nsid w:val="B03E0C6"/>
    <w:multiLevelType w:val="hybridMultilevel"/>
    <w:lvl w:ilvl="0">
      <w:lvlJc w:val="left"/>
      <w:lvlText w:val="(%1)"/>
      <w:numFmt w:val="lowerLetter"/>
      <w:start w:val="5"/>
    </w:lvl>
  </w:abstractNum>
  <w:abstractNum w:abstractNumId="20">
    <w:nsid w:val="189A769B"/>
    <w:multiLevelType w:val="hybridMultilevel"/>
    <w:lvl w:ilvl="0">
      <w:lvlJc w:val="left"/>
      <w:lvlText w:val="(%1)"/>
      <w:numFmt w:val="lowerRoman"/>
      <w:start w:val="2"/>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lvl w:ilvl="1">
      <w:lvlJc w:val="left"/>
      <w:lvlText w:val="%2."/>
      <w:numFmt w:val="decimal"/>
      <w:start w:val="12"/>
    </w:lvl>
  </w:abstractNum>
  <w:abstractNum w:abstractNumId="24">
    <w:nsid w:val="836C40E"/>
    <w:multiLevelType w:val="hybridMultilevel"/>
    <w:lvl w:ilvl="0">
      <w:lvlJc w:val="left"/>
      <w:lvlText w:val="(%1)"/>
      <w:numFmt w:val="decimal"/>
      <w:start w:val="7"/>
    </w:lvl>
    <w:lvl w:ilvl="1">
      <w:lvlJc w:val="left"/>
      <w:lvlText w:val="%2"/>
      <w:numFmt w:val="decimal"/>
      <w:start w:val="1"/>
    </w:lvl>
  </w:abstractNum>
  <w:abstractNum w:abstractNumId="25">
    <w:nsid w:val="2901D82"/>
    <w:multiLevelType w:val="hybridMultilevel"/>
    <w:lvl w:ilvl="0">
      <w:lvlJc w:val="left"/>
      <w:lvlText w:val="%1."/>
      <w:numFmt w:val="decimal"/>
      <w:start w:val="17"/>
    </w:lvl>
    <w:lvl w:ilvl="1">
      <w:lvlJc w:val="left"/>
      <w:lvlText w:val="(%2)"/>
      <w:numFmt w:val="lowerLetter"/>
      <w:start w:val="1"/>
    </w:lvl>
  </w:abstractNum>
  <w:abstractNum w:abstractNumId="26">
    <w:nsid w:val="3A95F874"/>
    <w:multiLevelType w:val="hybridMultilevel"/>
    <w:lvl w:ilvl="0">
      <w:lvlJc w:val="left"/>
      <w:lvlText w:val="%1."/>
      <w:numFmt w:val="decimal"/>
      <w:start w:val="2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jpe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32" Type="http://schemas.openxmlformats.org/officeDocument/2006/relationships/hyperlink" Target="https://www.sec.gov/Archives/edgar/data/0001841968/000095017024074124/p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2024-08-09T07:23:04Z</dcterms:created>
  <dcterms:modified xsi:type="dcterms:W3CDTF">2024-08-09T07:23:04Z</dcterms:modified>
</cp:coreProperties>
</file>