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Ridgepost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MAW Management Co.</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1,046,980.00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104,698.00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Dispositive Power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104,698.00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20" w:h="16838" w:orient="portrait"/>
          <w:cols w:equalWidth="0" w:num="2">
            <w:col w:w="1080" w:space="60"/>
            <w:col w:w="10080"/>
          </w:cols>
          <w:pgMar w:left="340" w:top="0" w:right="358"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6: Beneficial ownership consists of Class B Common Stock. Holders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B Common Stock may elect to convert such shares on a one-for-one basis into Class A Common Stock at any time. After a Sunset (as defined below) becomes effective, each share of Class B Common Stock will automatically convert into Class A Common Stock. 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Note to Row 11: Represents beneficial ownership of Class A common stock, as calculated in accordance with Rule 13d-3(d)(1)(i) of the Securities Exchange Act of 1934 (the "Act"), based on the number of Class A common stock reported outstanding by the Issuer on November 07,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40"/>
        <w:spacing w:after="0"/>
        <w:rPr>
          <w:sz w:val="20"/>
          <w:szCs w:val="20"/>
          <w:color w:val="auto"/>
        </w:rPr>
      </w:pPr>
      <w:r>
        <w:rPr>
          <w:rFonts w:ascii="Times New Roman" w:cs="Times New Roman" w:eastAsia="Times New Roman" w:hAnsi="Times New Roman"/>
          <w:sz w:val="22"/>
          <w:szCs w:val="22"/>
          <w:color w:val="auto"/>
        </w:rPr>
        <w:t>TrueBridge Colonial Fund, U/A dated 11/15/2015</w:t>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40" w:hanging="1107"/>
        <w:spacing w:after="0"/>
        <w:tabs>
          <w:tab w:leader="none" w:pos="114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40" w:hanging="1107"/>
        <w:spacing w:after="0"/>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40"/>
        <w:spacing w:after="0"/>
        <w:rPr>
          <w:sz w:val="20"/>
          <w:szCs w:val="20"/>
          <w:color w:val="auto"/>
        </w:rPr>
      </w:pPr>
      <w:r>
        <w:rPr>
          <w:rFonts w:ascii="Times New Roman" w:cs="Times New Roman" w:eastAsia="Times New Roman" w:hAnsi="Times New Roman"/>
          <w:sz w:val="22"/>
          <w:szCs w:val="22"/>
          <w:color w:val="auto"/>
        </w:rPr>
        <w:t>DELAWARE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vMerge w:val="restart"/>
          </w:tcPr>
          <w:p>
            <w:pPr>
              <w:ind w:left="100"/>
              <w:spacing w:after="0"/>
              <w:rPr>
                <w:sz w:val="20"/>
                <w:szCs w:val="20"/>
                <w:color w:val="auto"/>
              </w:rPr>
            </w:pPr>
            <w:r>
              <w:rPr>
                <w:rFonts w:ascii="Times New Roman" w:cs="Times New Roman" w:eastAsia="Times New Roman" w:hAnsi="Times New Roman"/>
                <w:sz w:val="43"/>
                <w:szCs w:val="43"/>
                <w:color w:val="auto"/>
                <w:w w:val="97"/>
                <w:vertAlign w:val="subscript"/>
              </w:rPr>
              <w:t>5</w:t>
            </w:r>
            <w:r>
              <w:rPr>
                <w:rFonts w:ascii="Times New Roman" w:cs="Times New Roman" w:eastAsia="Times New Roman" w:hAnsi="Times New Roman"/>
                <w:sz w:val="22"/>
                <w:szCs w:val="22"/>
                <w:color w:val="auto"/>
                <w:w w:val="97"/>
              </w:rPr>
              <w:t xml:space="preserve"> Sole Voting Power</w:t>
            </w: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10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Beneficially</w:t>
            </w:r>
          </w:p>
        </w:tc>
        <w:tc>
          <w:tcPr>
            <w:tcW w:w="23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3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23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54,623,003.00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3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3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23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7,673,189.00</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20" w:h="16838" w:orient="portrait"/>
          <w:cols w:equalWidth="0" w:num="1">
            <w:col w:w="11220"/>
          </w:cols>
          <w:pgMar w:left="340" w:top="0" w:right="358" w:bottom="0" w:gutter="0" w:footer="0" w:header="0"/>
          <w:type w:val="continuous"/>
        </w:sectPr>
      </w:pPr>
    </w:p>
    <w:bookmarkStart w:id="2" w:name="page3"/>
    <w:bookmarkEnd w:id="2"/>
    <w:p>
      <w:pPr>
        <w:ind w:left="1187"/>
        <w:spacing w:after="0"/>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Dispositive Power</w:t>
      </w:r>
    </w:p>
    <w:p>
      <w:pPr>
        <w:spacing w:after="0" w:line="207"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9</w:t>
      </w:r>
    </w:p>
    <w:p>
      <w:pPr>
        <w:ind w:left="1147"/>
        <w:spacing w:after="0"/>
        <w:rPr>
          <w:sz w:val="20"/>
          <w:szCs w:val="20"/>
          <w:color w:val="auto"/>
        </w:rPr>
      </w:pPr>
      <w:r>
        <w:rPr>
          <w:rFonts w:ascii="Times New Roman" w:cs="Times New Roman" w:eastAsia="Times New Roman" w:hAnsi="Times New Roman"/>
          <w:sz w:val="22"/>
          <w:szCs w:val="22"/>
          <w:color w:val="auto"/>
        </w:rPr>
        <w:t>7,673,189.00</w:t>
      </w:r>
    </w:p>
    <w:p>
      <w:pPr>
        <w:spacing w:after="0" w:line="20"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4445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11</w:t>
      </w:r>
    </w:p>
    <w:p>
      <w:pPr>
        <w:ind w:left="1147"/>
        <w:spacing w:after="0"/>
        <w:rPr>
          <w:sz w:val="20"/>
          <w:szCs w:val="20"/>
          <w:color w:val="auto"/>
        </w:rPr>
      </w:pPr>
      <w:r>
        <w:rPr>
          <w:rFonts w:ascii="Times New Roman" w:cs="Times New Roman" w:eastAsia="Times New Roman" w:hAnsi="Times New Roman"/>
          <w:sz w:val="22"/>
          <w:szCs w:val="22"/>
          <w:color w:val="auto"/>
        </w:rPr>
        <w:t>9.23 %</w:t>
      </w:r>
    </w:p>
    <w:p>
      <w:pPr>
        <w:spacing w:after="0" w:line="20"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12</w:t>
      </w:r>
    </w:p>
    <w:p>
      <w:pPr>
        <w:ind w:left="1147"/>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ind w:left="7" w:right="60"/>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 6: Beneficial ownership consists of both Class A Common Stock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Class B Common Stock. Holders of Class B Common Stock may elect to convert such shares on a one-for-one basis into Class A Common Stock at any time. After a Sunset (as defined below) becomes effective, each share of Class B Common Stock will automatically convert into Class A Common Stock. 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w:t>
      </w:r>
    </w:p>
    <w:p>
      <w:pPr>
        <w:spacing w:after="0" w:line="8" w:lineRule="exact"/>
        <w:rPr>
          <w:sz w:val="20"/>
          <w:szCs w:val="20"/>
          <w:color w:val="auto"/>
        </w:rPr>
      </w:pPr>
    </w:p>
    <w:p>
      <w:pPr>
        <w:ind w:left="7" w:hanging="7"/>
        <w:spacing w:after="0" w:line="232" w:lineRule="auto"/>
        <w:tabs>
          <w:tab w:leader="none" w:pos="32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Sunset Holders collectively cease to maintain direct or indirect beneficial ownership of at least 25% of the aggregate voting power of the outstanding shares of Common Stock, and (iii) upon the tenth anniversary of the effective date of the Charter. Note to Rows 6, 7 and 9: Includes 1,181,313 shares of Class A Common Stock held by Team Ascent LLC, which is wholly-owned by the Reporting Person. Note to Row 11: Represents beneficial ownership of Class A common stock, as calculated in accordance with Rule 13d-3(d)(1)(i) of the Act, based on the number of Class A common stock reported outstanding by the Issuer on November 07,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w:t>
      </w:r>
    </w:p>
    <w:p>
      <w:pPr>
        <w:ind w:left="1147"/>
        <w:spacing w:after="0"/>
        <w:rPr>
          <w:sz w:val="20"/>
          <w:szCs w:val="20"/>
          <w:color w:val="auto"/>
        </w:rPr>
      </w:pPr>
      <w:r>
        <w:rPr>
          <w:rFonts w:ascii="Times New Roman" w:cs="Times New Roman" w:eastAsia="Times New Roman" w:hAnsi="Times New Roman"/>
          <w:sz w:val="22"/>
          <w:szCs w:val="22"/>
          <w:color w:val="auto"/>
        </w:rPr>
        <w:t>The Mel Williams Irrevocable Trust u/a/d August 12, 2015</w:t>
      </w:r>
    </w:p>
    <w:p>
      <w:pPr>
        <w:spacing w:after="0" w:line="20"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47" w:hanging="1107"/>
        <w:spacing w:after="0"/>
        <w:tabs>
          <w:tab w:leader="none" w:pos="1147"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38" w:orient="portrait"/>
          <w:cols w:equalWidth="0" w:num="1">
            <w:col w:w="11267"/>
          </w:cols>
          <w:pgMar w:left="333" w:top="0" w:right="318" w:bottom="21" w:gutter="0" w:footer="0" w:header="0"/>
        </w:sectPr>
      </w:pPr>
    </w:p>
    <w:p>
      <w:pPr>
        <w:spacing w:after="0" w:line="3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Shares</w:t>
      </w:r>
    </w:p>
    <w:p>
      <w:pPr>
        <w:ind w:left="47"/>
        <w:spacing w:after="0"/>
        <w:rPr>
          <w:sz w:val="20"/>
          <w:szCs w:val="20"/>
          <w:color w:val="auto"/>
        </w:rPr>
      </w:pPr>
      <w:r>
        <w:rPr>
          <w:rFonts w:ascii="Times New Roman" w:cs="Times New Roman" w:eastAsia="Times New Roman" w:hAnsi="Times New Roman"/>
          <w:sz w:val="21"/>
          <w:szCs w:val="21"/>
          <w:color w:val="auto"/>
        </w:rPr>
        <w:t>Beneficially</w:t>
      </w:r>
    </w:p>
    <w:p>
      <w:pPr>
        <w:ind w:left="4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7"/>
        <w:spacing w:after="0" w:line="231" w:lineRule="auto"/>
        <w:rPr>
          <w:sz w:val="20"/>
          <w:szCs w:val="20"/>
          <w:color w:val="auto"/>
        </w:rPr>
      </w:pPr>
      <w:r>
        <w:rPr>
          <w:rFonts w:ascii="Times New Roman" w:cs="Times New Roman" w:eastAsia="Times New Roman" w:hAnsi="Times New Roman"/>
          <w:sz w:val="22"/>
          <w:szCs w:val="22"/>
          <w:color w:val="auto"/>
        </w:rPr>
        <w:t>Each</w:t>
      </w:r>
    </w:p>
    <w:p>
      <w:pPr>
        <w:ind w:left="4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46,967,555.00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8,313,851.00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Dispositive Power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8,313,851.00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2" w:lineRule="exact"/>
        <w:rPr>
          <w:sz w:val="20"/>
          <w:szCs w:val="20"/>
          <w:color w:val="auto"/>
        </w:rPr>
      </w:pPr>
    </w:p>
    <w:p>
      <w:pPr>
        <w:sectPr>
          <w:pgSz w:w="11920" w:h="16838" w:orient="portrait"/>
          <w:cols w:equalWidth="0" w:num="2">
            <w:col w:w="1087" w:space="60"/>
            <w:col w:w="10120"/>
          </w:cols>
          <w:pgMar w:left="333" w:top="0" w:right="318" w:bottom="21" w:gutter="0" w:footer="0" w:header="0"/>
          <w:type w:val="continuous"/>
        </w:sectPr>
      </w:pPr>
    </w:p>
    <w:p>
      <w:pPr>
        <w:ind w:left="47"/>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26035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20" w:h="16838" w:orient="portrait"/>
          <w:cols w:equalWidth="0" w:num="1">
            <w:col w:w="11267"/>
          </w:cols>
          <w:pgMar w:left="333" w:top="0" w:right="318" w:bottom="21" w:gutter="0" w:footer="0" w:header="0"/>
          <w:type w:val="continuous"/>
        </w:sectPr>
      </w:pPr>
    </w:p>
    <w:bookmarkStart w:id="3" w:name="page4"/>
    <w:bookmarkEnd w:id="3"/>
    <w:p>
      <w:pPr>
        <w:ind w:left="1147"/>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11</w:t>
      </w:r>
    </w:p>
    <w:p>
      <w:pPr>
        <w:ind w:left="1147"/>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12</w:t>
      </w:r>
    </w:p>
    <w:p>
      <w:pPr>
        <w:ind w:left="1147"/>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ind w:left="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 6: Beneficial ownership consists of Class A Common Stock and Class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 Common Stock. Holders of Class B Common Stock may elect to convert such shares on a one-for-one basis into Class A Common Stock at any time. After a Sunset (as defined below) becomes effective, each share of Class B Common Stock will automatically convert into Class A Common Stock. 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w:t>
      </w:r>
    </w:p>
    <w:p>
      <w:pPr>
        <w:spacing w:after="0" w:line="8" w:lineRule="exact"/>
        <w:rPr>
          <w:sz w:val="20"/>
          <w:szCs w:val="20"/>
          <w:color w:val="auto"/>
        </w:rPr>
      </w:pPr>
    </w:p>
    <w:p>
      <w:pPr>
        <w:ind w:left="7" w:hanging="7"/>
        <w:spacing w:after="0" w:line="247" w:lineRule="auto"/>
        <w:tabs>
          <w:tab w:leader="none" w:pos="32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Sunset Holders collectively cease to maintain direct or indirect beneficial ownership of at least 25% of the aggregate voting power of the outstanding shares of Common Stock, and (iii) upon the tenth anniversary of the effective date of the Charter. Note to Row 11: Represents beneficial ownership of Class A common stock, as calculated in accordance with Rule 13d-3(d)(1)(i) of the Act, based on the number of Class A common stock reported outstanding by the Issuer on November 07,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w:t>
      </w:r>
    </w:p>
    <w:p>
      <w:pPr>
        <w:ind w:left="1147"/>
        <w:spacing w:after="0"/>
        <w:rPr>
          <w:sz w:val="20"/>
          <w:szCs w:val="20"/>
          <w:color w:val="auto"/>
        </w:rPr>
      </w:pPr>
      <w:r>
        <w:rPr>
          <w:rFonts w:ascii="Times New Roman" w:cs="Times New Roman" w:eastAsia="Times New Roman" w:hAnsi="Times New Roman"/>
          <w:sz w:val="22"/>
          <w:szCs w:val="22"/>
          <w:color w:val="auto"/>
        </w:rPr>
        <w:t>Edwin A. Poston Revocable Trust</w:t>
      </w:r>
    </w:p>
    <w:p>
      <w:pPr>
        <w:spacing w:after="0" w:line="20"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47" w:hanging="1107"/>
        <w:spacing w:after="0"/>
        <w:tabs>
          <w:tab w:leader="none" w:pos="1147"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38" w:orient="portrait"/>
          <w:cols w:equalWidth="0" w:num="1">
            <w:col w:w="11207"/>
          </w:cols>
          <w:pgMar w:left="333" w:top="121" w:right="378" w:bottom="0" w:gutter="0" w:footer="0" w:header="0"/>
        </w:sectPr>
      </w:pPr>
    </w:p>
    <w:p>
      <w:pPr>
        <w:spacing w:after="0" w:line="3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Shares</w:t>
      </w:r>
    </w:p>
    <w:p>
      <w:pPr>
        <w:ind w:left="47"/>
        <w:spacing w:after="0"/>
        <w:rPr>
          <w:sz w:val="20"/>
          <w:szCs w:val="20"/>
          <w:color w:val="auto"/>
        </w:rPr>
      </w:pPr>
      <w:r>
        <w:rPr>
          <w:rFonts w:ascii="Times New Roman" w:cs="Times New Roman" w:eastAsia="Times New Roman" w:hAnsi="Times New Roman"/>
          <w:sz w:val="21"/>
          <w:szCs w:val="21"/>
          <w:color w:val="auto"/>
        </w:rPr>
        <w:t>Beneficially</w:t>
      </w:r>
    </w:p>
    <w:p>
      <w:pPr>
        <w:ind w:left="4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7"/>
        <w:spacing w:after="0" w:line="231" w:lineRule="auto"/>
        <w:rPr>
          <w:sz w:val="20"/>
          <w:szCs w:val="20"/>
          <w:color w:val="auto"/>
        </w:rPr>
      </w:pPr>
      <w:r>
        <w:rPr>
          <w:rFonts w:ascii="Times New Roman" w:cs="Times New Roman" w:eastAsia="Times New Roman" w:hAnsi="Times New Roman"/>
          <w:sz w:val="22"/>
          <w:szCs w:val="22"/>
          <w:color w:val="auto"/>
        </w:rPr>
        <w:t>Each</w:t>
      </w:r>
    </w:p>
    <w:p>
      <w:pPr>
        <w:ind w:left="4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 CAROLINA</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521,664.00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521,664.00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Dispositive Power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521,664.00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20" w:h="16838" w:orient="portrait"/>
          <w:cols w:equalWidth="0" w:num="2">
            <w:col w:w="1087" w:space="60"/>
            <w:col w:w="10060"/>
          </w:cols>
          <w:pgMar w:left="333" w:top="121" w:right="378" w:bottom="0" w:gutter="0" w:footer="0" w:header="0"/>
          <w:type w:val="continuous"/>
        </w:sectPr>
      </w:pPr>
    </w:p>
    <w:p>
      <w:pPr>
        <w:spacing w:after="0" w:line="70" w:lineRule="exact"/>
        <w:rPr>
          <w:sz w:val="20"/>
          <w:szCs w:val="20"/>
          <w:color w:val="auto"/>
        </w:rPr>
      </w:pPr>
    </w:p>
    <w:p>
      <w:pPr>
        <w:ind w:left="7"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11: Represents beneficial ownership of Class A common stock,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calculated in accordance with Rule 13d-3(d)(1)(i) of the Act, based on the number of Class A common stock reported outstanding by the Issuer on November 07, 2025.</w:t>
      </w:r>
    </w:p>
    <w:p>
      <w:pPr>
        <w:sectPr>
          <w:pgSz w:w="11920" w:h="16838" w:orient="portrait"/>
          <w:cols w:equalWidth="0" w:num="1">
            <w:col w:w="11207"/>
          </w:cols>
          <w:pgMar w:left="333" w:top="121" w:right="378" w:bottom="0" w:gutter="0" w:footer="0" w:header="0"/>
          <w:type w:val="continuous"/>
        </w:sectPr>
      </w:pPr>
    </w:p>
    <w:bookmarkStart w:id="4" w:name="page5"/>
    <w:bookmarkEnd w:id="4"/>
    <w:p>
      <w:pPr>
        <w:ind w:left="4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w:t>
      </w:r>
    </w:p>
    <w:p>
      <w:pPr>
        <w:ind w:left="1147"/>
        <w:spacing w:after="0"/>
        <w:rPr>
          <w:sz w:val="20"/>
          <w:szCs w:val="20"/>
          <w:color w:val="auto"/>
        </w:rPr>
      </w:pPr>
      <w:r>
        <w:rPr>
          <w:rFonts w:ascii="Times New Roman" w:cs="Times New Roman" w:eastAsia="Times New Roman" w:hAnsi="Times New Roman"/>
          <w:sz w:val="22"/>
          <w:szCs w:val="22"/>
          <w:color w:val="auto"/>
        </w:rPr>
        <w:t>Edwin A. Poston</w:t>
      </w:r>
    </w:p>
    <w:p>
      <w:pPr>
        <w:spacing w:after="0" w:line="20"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47" w:hanging="1107"/>
        <w:spacing w:after="0"/>
        <w:tabs>
          <w:tab w:leader="none" w:pos="1147"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38" w:orient="portrait"/>
          <w:cols w:equalWidth="0" w:num="1">
            <w:col w:w="11207"/>
          </w:cols>
          <w:pgMar w:left="333" w:top="846" w:right="378" w:bottom="512" w:gutter="0" w:footer="0" w:header="0"/>
        </w:sectPr>
      </w:pPr>
    </w:p>
    <w:p>
      <w:pPr>
        <w:spacing w:after="0" w:line="3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Shares</w:t>
      </w:r>
    </w:p>
    <w:p>
      <w:pPr>
        <w:ind w:left="47"/>
        <w:spacing w:after="0"/>
        <w:rPr>
          <w:sz w:val="20"/>
          <w:szCs w:val="20"/>
          <w:color w:val="auto"/>
        </w:rPr>
      </w:pPr>
      <w:r>
        <w:rPr>
          <w:rFonts w:ascii="Times New Roman" w:cs="Times New Roman" w:eastAsia="Times New Roman" w:hAnsi="Times New Roman"/>
          <w:sz w:val="21"/>
          <w:szCs w:val="21"/>
          <w:color w:val="auto"/>
        </w:rPr>
        <w:t>Beneficially</w:t>
      </w:r>
    </w:p>
    <w:p>
      <w:pPr>
        <w:ind w:left="4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7"/>
        <w:spacing w:after="0" w:line="231" w:lineRule="auto"/>
        <w:rPr>
          <w:sz w:val="20"/>
          <w:szCs w:val="20"/>
          <w:color w:val="auto"/>
        </w:rPr>
      </w:pPr>
      <w:r>
        <w:rPr>
          <w:rFonts w:ascii="Times New Roman" w:cs="Times New Roman" w:eastAsia="Times New Roman" w:hAnsi="Times New Roman"/>
          <w:sz w:val="22"/>
          <w:szCs w:val="22"/>
          <w:color w:val="auto"/>
        </w:rPr>
        <w:t>Each</w:t>
      </w:r>
    </w:p>
    <w:p>
      <w:pPr>
        <w:ind w:left="4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NORTH CAROLINA</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55,205,169.00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8,255,355.00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Dispositive Power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8,255,355.00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20" w:h="16838" w:orient="portrait"/>
          <w:cols w:equalWidth="0" w:num="2">
            <w:col w:w="1087" w:space="60"/>
            <w:col w:w="10060"/>
          </w:cols>
          <w:pgMar w:left="333" w:top="846" w:right="378" w:bottom="512" w:gutter="0" w:footer="0" w:header="0"/>
          <w:type w:val="continuous"/>
        </w:sectPr>
      </w:pPr>
    </w:p>
    <w:p>
      <w:pPr>
        <w:spacing w:after="0" w:line="70" w:lineRule="exact"/>
        <w:rPr>
          <w:sz w:val="20"/>
          <w:szCs w:val="20"/>
          <w:color w:val="auto"/>
        </w:rPr>
      </w:pPr>
    </w:p>
    <w:p>
      <w:pPr>
        <w:ind w:left="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 5: Beneficial ownership consists of Class A Common Stock and Class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 Common Stock. Holders of Class B Common Stock may elect to convert such shares on a one-for-one basis into Class A Common Stock at any time. After a Sunset (as defined below) becomes effective, each share of Class B Common Stock will automatically convert into Class A Common Stock. 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w:t>
      </w:r>
    </w:p>
    <w:p>
      <w:pPr>
        <w:spacing w:after="0" w:line="8" w:lineRule="exact"/>
        <w:rPr>
          <w:sz w:val="20"/>
          <w:szCs w:val="20"/>
          <w:color w:val="auto"/>
        </w:rPr>
      </w:pPr>
    </w:p>
    <w:p>
      <w:pPr>
        <w:ind w:left="7" w:hanging="7"/>
        <w:spacing w:after="0" w:line="232" w:lineRule="auto"/>
        <w:tabs>
          <w:tab w:leader="none" w:pos="32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Sunset Holders collectively cease to maintain direct or indirect beneficial ownership of at least 25% of the aggregate voting power of the outstanding shares of Common Stock, and (iii) upon the tenth anniversary of the effective date of the Charter. Note to Rows 5, 7 and 9: This amount includes shares of the Issuer held (i) directly and indirectly by TrueBridge Colonial Fund, U/A dated 11/15/2015 and (ii) Edwin A. Poston Revocable Trust. Note to Row 11: Represents beneficial ownership of Class A common stock, as calculated in accordance with Rule 13d-3(d)(1)(i) of the Act, based on the number of Class A common stock reported outstanding by the Issuer on November 07,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6"/>
          <w:szCs w:val="26"/>
          <w:color w:val="auto"/>
        </w:rPr>
        <w:t>SCHEDULE 13G</w:t>
      </w:r>
    </w:p>
    <w:p>
      <w:pPr>
        <w:sectPr>
          <w:pgSz w:w="11920" w:h="16838" w:orient="portrait"/>
          <w:cols w:equalWidth="0" w:num="1">
            <w:col w:w="11207"/>
          </w:cols>
          <w:pgMar w:left="333" w:top="846" w:right="378" w:bottom="512" w:gutter="0" w:footer="0" w:header="0"/>
          <w:type w:val="continuous"/>
        </w:sectPr>
      </w:pPr>
    </w:p>
    <w:p>
      <w:pPr>
        <w:spacing w:after="0" w:line="79"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1"/>
          <w:szCs w:val="21"/>
          <w:b w:val="1"/>
          <w:bCs w:val="1"/>
          <w:color w:val="auto"/>
        </w:rPr>
        <w:t xml:space="preserve">CUSIP No. </w:t>
      </w:r>
      <w:r>
        <w:rPr>
          <w:rFonts w:ascii="Times New Roman" w:cs="Times New Roman" w:eastAsia="Times New Roman" w:hAnsi="Times New Roman"/>
          <w:sz w:val="18"/>
          <w:szCs w:val="18"/>
          <w:color w:val="auto"/>
        </w:rPr>
        <w:t>69376K106</w:t>
      </w:r>
    </w:p>
    <w:p>
      <w:pPr>
        <w:sectPr>
          <w:pgSz w:w="11920" w:h="16838" w:orient="portrait"/>
          <w:cols w:equalWidth="0" w:num="1">
            <w:col w:w="11207"/>
          </w:cols>
          <w:pgMar w:left="333" w:top="846" w:right="378" w:bottom="512" w:gutter="0" w:footer="0" w:header="0"/>
          <w:type w:val="continuous"/>
        </w:sectPr>
      </w:pPr>
    </w:p>
    <w:bookmarkStart w:id="5" w:name="page6"/>
    <w:bookmarkEnd w:id="5"/>
    <w:p>
      <w:pPr>
        <w:ind w:left="114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w:t>
      </w:r>
    </w:p>
    <w:p>
      <w:pPr>
        <w:ind w:left="1147"/>
        <w:spacing w:after="0"/>
        <w:rPr>
          <w:sz w:val="20"/>
          <w:szCs w:val="20"/>
          <w:color w:val="auto"/>
        </w:rPr>
      </w:pPr>
      <w:r>
        <w:rPr>
          <w:rFonts w:ascii="Times New Roman" w:cs="Times New Roman" w:eastAsia="Times New Roman" w:hAnsi="Times New Roman"/>
          <w:sz w:val="22"/>
          <w:szCs w:val="22"/>
          <w:color w:val="auto"/>
        </w:rPr>
        <w:t>Mel Williams</w:t>
      </w:r>
    </w:p>
    <w:p>
      <w:pPr>
        <w:spacing w:after="0" w:line="20"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47" w:hanging="1107"/>
        <w:spacing w:after="0"/>
        <w:tabs>
          <w:tab w:leader="none" w:pos="1147"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38" w:orient="portrait"/>
          <w:cols w:equalWidth="0" w:num="1">
            <w:col w:w="11207"/>
          </w:cols>
          <w:pgMar w:left="333" w:top="148" w:right="378" w:bottom="197" w:gutter="0" w:footer="0" w:header="0"/>
        </w:sectPr>
      </w:pPr>
    </w:p>
    <w:p>
      <w:pPr>
        <w:spacing w:after="0" w:line="3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Shares</w:t>
      </w:r>
    </w:p>
    <w:p>
      <w:pPr>
        <w:ind w:left="47"/>
        <w:spacing w:after="0"/>
        <w:rPr>
          <w:sz w:val="20"/>
          <w:szCs w:val="20"/>
          <w:color w:val="auto"/>
        </w:rPr>
      </w:pPr>
      <w:r>
        <w:rPr>
          <w:rFonts w:ascii="Times New Roman" w:cs="Times New Roman" w:eastAsia="Times New Roman" w:hAnsi="Times New Roman"/>
          <w:sz w:val="21"/>
          <w:szCs w:val="21"/>
          <w:color w:val="auto"/>
        </w:rPr>
        <w:t>Beneficially</w:t>
      </w:r>
    </w:p>
    <w:p>
      <w:pPr>
        <w:ind w:left="4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7"/>
        <w:spacing w:after="0" w:line="231" w:lineRule="auto"/>
        <w:rPr>
          <w:sz w:val="20"/>
          <w:szCs w:val="20"/>
          <w:color w:val="auto"/>
        </w:rPr>
      </w:pPr>
      <w:r>
        <w:rPr>
          <w:rFonts w:ascii="Times New Roman" w:cs="Times New Roman" w:eastAsia="Times New Roman" w:hAnsi="Times New Roman"/>
          <w:sz w:val="22"/>
          <w:szCs w:val="22"/>
          <w:color w:val="auto"/>
        </w:rPr>
        <w:t>Each</w:t>
      </w:r>
    </w:p>
    <w:p>
      <w:pPr>
        <w:ind w:left="4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NORTH CAROLINA</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48,143,571.00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8,547,585.00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Dispositive Power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8,547,585.00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20" w:h="16838" w:orient="portrait"/>
          <w:cols w:equalWidth="0" w:num="2">
            <w:col w:w="1087" w:space="60"/>
            <w:col w:w="10060"/>
          </w:cols>
          <w:pgMar w:left="333" w:top="148" w:right="378" w:bottom="197" w:gutter="0" w:footer="0" w:header="0"/>
          <w:type w:val="continuous"/>
        </w:sectPr>
      </w:pPr>
    </w:p>
    <w:p>
      <w:pPr>
        <w:spacing w:after="0" w:line="70" w:lineRule="exact"/>
        <w:rPr>
          <w:sz w:val="20"/>
          <w:szCs w:val="20"/>
          <w:color w:val="auto"/>
        </w:rPr>
      </w:pPr>
    </w:p>
    <w:p>
      <w:pPr>
        <w:ind w:left="7"/>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 5: Beneficial ownership consists of Class A Common Stock and Class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 Common Stock. Holders of Class B Common Stock may elect to convert such shares on a one-for-one basis into Class A Common Stock at any time. After a Sunset (as defined below) becomes effective, each share of Class B Common Stock will automatically convert into Class A Common Stock. 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w:t>
      </w:r>
    </w:p>
    <w:p>
      <w:pPr>
        <w:spacing w:after="0" w:line="8" w:lineRule="exact"/>
        <w:rPr>
          <w:sz w:val="20"/>
          <w:szCs w:val="20"/>
          <w:color w:val="auto"/>
        </w:rPr>
      </w:pPr>
    </w:p>
    <w:p>
      <w:pPr>
        <w:ind w:left="7" w:hanging="7"/>
        <w:spacing w:after="0" w:line="232" w:lineRule="auto"/>
        <w:tabs>
          <w:tab w:leader="none" w:pos="32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Sunset Holders collectively cease to maintain direct or indirect beneficial ownership of at least 25% of the aggregate voting power of the outstanding shares of Common Stock, and (iii) upon the tenth anniversary of the effective date of the Charter. Note to Row 5, 7 and 9: Includes shares of the Issuer held by (i) MAW Management Co. and (ii) The Mel Williams Irrevocable Trust u/a/d August 12, 2015. Note to Row 11: Represents beneficial ownership of Class A common stock, as calculated in accordance with Rule 13d-3(d)(1)(i) of the Act, based on the number of Class A common stock reported outstanding by the Issuer on November 07,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(a)</w:t>
      </w:r>
    </w:p>
    <w:p>
      <w:pPr>
        <w:ind w:left="967"/>
        <w:spacing w:after="0"/>
        <w:rPr>
          <w:sz w:val="20"/>
          <w:szCs w:val="20"/>
          <w:color w:val="auto"/>
        </w:rPr>
      </w:pPr>
      <w:r>
        <w:rPr>
          <w:rFonts w:ascii="Times New Roman" w:cs="Times New Roman" w:eastAsia="Times New Roman" w:hAnsi="Times New Roman"/>
          <w:sz w:val="22"/>
          <w:szCs w:val="22"/>
          <w:color w:val="auto"/>
        </w:rPr>
        <w:t>Ridgepost Capital, Inc.</w:t>
      </w:r>
    </w:p>
    <w:p>
      <w:pPr>
        <w:spacing w:after="0" w:line="20"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(b)</w:t>
      </w:r>
    </w:p>
    <w:p>
      <w:pPr>
        <w:ind w:left="967"/>
        <w:spacing w:after="0"/>
        <w:rPr>
          <w:sz w:val="20"/>
          <w:szCs w:val="20"/>
          <w:color w:val="auto"/>
        </w:rPr>
      </w:pPr>
      <w:r>
        <w:rPr>
          <w:rFonts w:ascii="Times New Roman" w:cs="Times New Roman" w:eastAsia="Times New Roman" w:hAnsi="Times New Roman"/>
          <w:sz w:val="22"/>
          <w:szCs w:val="22"/>
          <w:color w:val="auto"/>
        </w:rPr>
        <w:t>The Issuer's principal executive offices are located at: 2699 Howell Street, Suite 1000, Dallas, TX. 75204</w:t>
      </w:r>
    </w:p>
    <w:p>
      <w:pPr>
        <w:spacing w:after="0" w:line="2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Item 2.</w:t>
      </w:r>
    </w:p>
    <w:p>
      <w:pPr>
        <w:ind w:left="967" w:hanging="927"/>
        <w:spacing w:after="0" w:line="184" w:lineRule="auto"/>
        <w:tabs>
          <w:tab w:leader="none" w:pos="967" w:val="left"/>
        </w:tabs>
        <w:numPr>
          <w:ilvl w:val="0"/>
          <w:numId w:val="1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Name of person filing:</w:t>
      </w:r>
    </w:p>
    <w:p>
      <w:pPr>
        <w:sectPr>
          <w:pgSz w:w="11920" w:h="16838" w:orient="portrait"/>
          <w:cols w:equalWidth="0" w:num="1">
            <w:col w:w="11207"/>
          </w:cols>
          <w:pgMar w:left="333" w:top="148" w:right="378" w:bottom="197" w:gutter="0" w:footer="0" w:header="0"/>
          <w:type w:val="continuous"/>
        </w:sectPr>
      </w:pPr>
    </w:p>
    <w:bookmarkStart w:id="6" w:name="page7"/>
    <w:bookmarkEnd w:id="6"/>
    <w:p>
      <w:pPr>
        <w:spacing w:after="0" w:line="25" w:lineRule="exact"/>
        <w:rPr>
          <w:sz w:val="20"/>
          <w:szCs w:val="20"/>
          <w:color w:val="auto"/>
        </w:rPr>
      </w:pPr>
    </w:p>
    <w:p>
      <w:pPr>
        <w:ind w:left="927" w:right="5240" w:hanging="927"/>
        <w:spacing w:after="0" w:line="311" w:lineRule="auto"/>
        <w:tabs>
          <w:tab w:leader="none" w:pos="927"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 Citizenship:</w:t>
      </w:r>
    </w:p>
    <w:p>
      <w:pPr>
        <w:spacing w:after="0" w:line="57" w:lineRule="exact"/>
        <w:rPr>
          <w:rFonts w:ascii="Times New Roman" w:cs="Times New Roman" w:eastAsia="Times New Roman" w:hAnsi="Times New Roman"/>
          <w:sz w:val="43"/>
          <w:szCs w:val="43"/>
          <w:color w:val="auto"/>
          <w:vertAlign w:val="subscript"/>
        </w:rPr>
      </w:pPr>
    </w:p>
    <w:p>
      <w:pPr>
        <w:ind w:left="927"/>
        <w:spacing w:after="0" w:line="249"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This statement is filed by: (i) MAW Management Co., a Delaware corporation ("MAW Management"); (ii) TrueBridge Colonial Fund U/A, dated 11/15/2015, an irrevocable trust governed by the laws of Delaware (the "Colonial Fund"); (iii) The Mel Williams Irrevocable Trust u/a/d August 12, 2015, an irrevocable trust governed by the laws of Nevada</w:t>
      </w:r>
    </w:p>
    <w:p>
      <w:pPr>
        <w:spacing w:after="0" w:line="1" w:lineRule="exact"/>
        <w:rPr>
          <w:rFonts w:ascii="Times New Roman" w:cs="Times New Roman" w:eastAsia="Times New Roman" w:hAnsi="Times New Roman"/>
          <w:sz w:val="43"/>
          <w:szCs w:val="43"/>
          <w:color w:val="auto"/>
          <w:vertAlign w:val="subscript"/>
        </w:rPr>
      </w:pPr>
    </w:p>
    <w:p>
      <w:pPr>
        <w:ind w:left="927" w:right="60" w:hanging="927"/>
        <w:spacing w:after="0" w:line="232" w:lineRule="auto"/>
        <w:tabs>
          <w:tab w:leader="none" w:pos="9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"Mel Trust"); (iv) Edwin A. Poston Revocable Trust, a revocable trust governed by the laws of North Carolina (the "Edwin Trust"); (v) TrueBridge Ascent LLC, formerly a Delaware limited liability company ("TrueBridge Ascent"); (vi) Edwin A. Poston, a United States citizen ("Mr. Poston"); and (vii) Mel Williams, a United States citizen ("Mr. Williams"). Each of the foregoing is referred to as a "Reporting Person" and collectively as the "Reporting Persons." The address of the principal business office of each of the Reporting Persons is c/o Ridgepost Capital, Inc., 2699 Howell Street, Suite 1000, Dallas, TX.</w:t>
      </w:r>
    </w:p>
    <w:p>
      <w:pPr>
        <w:spacing w:after="0" w:line="21"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tbl>
      <w:tblPr>
        <w:tblLayout w:type="fixed"/>
        <w:tblInd w:w="7"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tc>
        <w:tc>
          <w:tcPr>
            <w:tcW w:w="0" w:type="dxa"/>
            <w:vAlign w:val="bottom"/>
          </w:tcPr>
          <w:p>
            <w:pPr>
              <w:spacing w:after="0"/>
              <w:rPr>
                <w:sz w:val="1"/>
                <w:szCs w:val="1"/>
                <w:color w:val="auto"/>
              </w:rPr>
            </w:pPr>
          </w:p>
        </w:tc>
      </w:tr>
      <w:tr>
        <w:trPr>
          <w:trHeight w:val="282"/>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CUSIP No.:</w:t>
            </w: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8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69376K106</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8"/>
              </w:rPr>
              <w:t>Investment company registered under section 8 of the Investment Company Act of 1940 (15 U.S.C. 80a-8);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-761365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-563880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-367030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-169545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927" w:hanging="927"/>
        <w:spacing w:after="0"/>
        <w:tabs>
          <w:tab w:leader="none" w:pos="92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7" w:hanging="927"/>
        <w:spacing w:after="0"/>
        <w:tabs>
          <w:tab w:leader="none" w:pos="92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8" w:lineRule="exact"/>
        <w:rPr>
          <w:sz w:val="20"/>
          <w:szCs w:val="20"/>
          <w:color w:val="auto"/>
        </w:rPr>
      </w:pPr>
    </w:p>
    <w:tbl>
      <w:tblPr>
        <w:tblLayout w:type="fixed"/>
        <w:tblInd w:w="7"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71"/>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3"/>
                <w:szCs w:val="13"/>
                <w:color w:val="auto"/>
              </w:rPr>
            </w:pPr>
          </w:p>
        </w:tc>
        <w:tc>
          <w:tcPr>
            <w:tcW w:w="98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-718820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-521335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-323850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21"/>
          <w:szCs w:val="21"/>
          <w:color w:val="auto"/>
        </w:rPr>
        <w:t>A non-U.S. institution in accordance with § 240.13d-1(b)(1)(ii)(J). If filing as a non-U.S. institution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-144145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27" w:hanging="927"/>
        <w:spacing w:after="0"/>
        <w:tabs>
          <w:tab w:leader="none" w:pos="92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 240.13d-1(b)(1)(ii)(J),</w:t>
      </w:r>
    </w:p>
    <w:p>
      <w:pPr>
        <w:ind w:left="1307"/>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7" w:hanging="927"/>
        <w:spacing w:after="0"/>
        <w:tabs>
          <w:tab w:leader="none" w:pos="9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7"/>
        <w:spacing w:after="0" w:line="244" w:lineRule="auto"/>
        <w:rPr>
          <w:sz w:val="20"/>
          <w:szCs w:val="20"/>
          <w:color w:val="auto"/>
        </w:rPr>
      </w:pPr>
      <w:r>
        <w:rPr>
          <w:rFonts w:ascii="Times New Roman" w:cs="Times New Roman" w:eastAsia="Times New Roman" w:hAnsi="Times New Roman"/>
          <w:sz w:val="21"/>
          <w:szCs w:val="21"/>
          <w:color w:val="auto"/>
        </w:rPr>
        <w:t>MAW Management is the direct beneficial holder of 104,698 shares of Class B Common Stock. The holders of Class B Common Stock may elect to convert on a one-for-one basis into Class A Common Stock at any time. Mr. Williams, as the president of MAW Management, may be deemed to beneficially own the shares of Class B Common Stock owned directly by MAW Management. The Colonial Fund is the direct beneficial holder of 1,181,313 shares of Class A Common Stock, the indirect beneficial holder of 1,275,230 shares of Class A Common Stock through Team Ascent LLC, which the Colonial Fund wholly owns, and the direct beneficial holder of 5,216,646 shares of Class B Common Stock. The holders of Class B Common Stock may elect to convert on a one-for-one basis into Class A Common Stock at any time. Mr. Poston, as a beneficiary of the TrueBridge Fund, may be deemed to beneficially own the shares of</w:t>
      </w:r>
    </w:p>
    <w:p>
      <w:pPr>
        <w:spacing w:after="0" w:line="4" w:lineRule="exact"/>
        <w:rPr>
          <w:sz w:val="20"/>
          <w:szCs w:val="20"/>
          <w:color w:val="auto"/>
        </w:rPr>
      </w:pPr>
    </w:p>
    <w:p>
      <w:pPr>
        <w:ind w:left="927" w:hanging="927"/>
        <w:spacing w:after="0" w:line="214" w:lineRule="auto"/>
        <w:tabs>
          <w:tab w:leader="none" w:pos="927" w:val="left"/>
        </w:tabs>
        <w:numPr>
          <w:ilvl w:val="0"/>
          <w:numId w:val="1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Class A Common Stock and Class B Common Stock beneficially owned by the TrueBridge Fund. The Mel Trust is the direct beneficial holder of 4,018,995 shares of Class A Common Stock and 4,294,856 shares of Class B Common Stock. The holders of Class B Common Stock may elect to convert on a one-for-one basis into Class A Common Stock at any time. Mr. Williams, as a beneficiary of the Mel Trust, may be deemed to beneficially own the shares of Class A Common Stock and Class B Common Stock owned directly by the Mel Trust. The Edwin Trust is the direct beneficial holder of 521,664 shares of Class A Common Stock. Mr. Poston, as the sole trustee of the Edwin Trust, may be deemed to beneficially own the shares of Class A Common Stock owned directly by the Edwin Trust. TrueBridge Ascent LLC, previously jointly filed with the Reporting Persons, but was dissolved on December 23, 2025. The shares of the Issuer held by the Reporting Person at the time of dissolution were distributed to the MAW Management Co. (who in turn transferred the shares of the Issuer to Mr. Williams) and the Colonial Fund. Mr. Poston is the direct beneficial holder of 60,502 shares of Class A common stock. Mr. Williams is the direct beneficial holder of 129,036 shares of Class A common stock.</w:t>
      </w:r>
    </w:p>
    <w:p>
      <w:pPr>
        <w:spacing w:after="0" w:line="23" w:lineRule="exact"/>
        <w:rPr>
          <w:rFonts w:ascii="Times New Roman" w:cs="Times New Roman" w:eastAsia="Times New Roman" w:hAnsi="Times New Roman"/>
          <w:sz w:val="43"/>
          <w:szCs w:val="43"/>
          <w:color w:val="auto"/>
          <w:vertAlign w:val="subscript"/>
        </w:rPr>
      </w:pPr>
    </w:p>
    <w:p>
      <w:pPr>
        <w:ind w:left="927" w:hanging="927"/>
        <w:spacing w:after="0"/>
        <w:tabs>
          <w:tab w:leader="none" w:pos="9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7" w:right="16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following percentages are based on (i) the number of shares that may be deemed to be beneficially owned by the Reporting Persons as of December 31, 2025, and (ii) the number of shares of Class A common stock deemed outstanding (77,914,619 shares) by the Issuer on November 07, 2025. As of the close of business on December 31,</w:t>
      </w:r>
    </w:p>
    <w:p>
      <w:pPr>
        <w:sectPr>
          <w:pgSz w:w="11920" w:h="16863" w:orient="portrait"/>
          <w:cols w:equalWidth="0" w:num="1">
            <w:col w:w="11187"/>
          </w:cols>
          <w:pgMar w:left="373" w:top="121" w:right="358" w:bottom="0" w:gutter="0" w:footer="0" w:header="0"/>
        </w:sectPr>
      </w:pPr>
    </w:p>
    <w:bookmarkStart w:id="7" w:name="page8"/>
    <w:bookmarkEnd w:id="7"/>
    <w:p>
      <w:pPr>
        <w:ind w:left="927" w:right="140"/>
        <w:spacing w:after="0" w:line="244" w:lineRule="auto"/>
        <w:rPr>
          <w:sz w:val="20"/>
          <w:szCs w:val="20"/>
          <w:color w:val="auto"/>
        </w:rPr>
      </w:pPr>
      <w:r>
        <w:rPr>
          <w:rFonts w:ascii="Times New Roman" w:cs="Times New Roman" w:eastAsia="Times New Roman" w:hAnsi="Times New Roman"/>
          <w:sz w:val="22"/>
          <w:szCs w:val="22"/>
          <w:color w:val="auto"/>
        </w:rPr>
        <w:t>2025, Mr. Poston beneficially owned approximately 9.9% of the outstanding shares of Class A Common Stock. As of the close of business on December 31, 2025, Mr. Williams beneficially owned approximately 10.4% of the outstanding shares of Class A Common Stock. %</w:t>
      </w:r>
    </w:p>
    <w:p>
      <w:pPr>
        <w:spacing w:after="0" w:line="12" w:lineRule="exact"/>
        <w:rPr>
          <w:sz w:val="20"/>
          <w:szCs w:val="20"/>
          <w:color w:val="auto"/>
        </w:rPr>
      </w:pPr>
    </w:p>
    <w:p>
      <w:pPr>
        <w:ind w:left="927" w:hanging="927"/>
        <w:spacing w:after="0"/>
        <w:tabs>
          <w:tab w:leader="none" w:pos="92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20" w:h="16838" w:orient="portrait"/>
          <w:cols w:equalWidth="0" w:num="1">
            <w:col w:w="11187"/>
          </w:cols>
          <w:pgMar w:left="373" w:top="106" w:right="358"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4" w:right="6580" w:hanging="4"/>
        <w:spacing w:after="0" w:line="486" w:lineRule="auto"/>
        <w:tabs>
          <w:tab w:leader="none" w:pos="26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row 5 of the cover pages</w:t>
      </w:r>
    </w:p>
    <w:p>
      <w:pPr>
        <w:spacing w:after="0" w:line="1" w:lineRule="exact"/>
        <w:rPr>
          <w:rFonts w:ascii="Times New Roman" w:cs="Times New Roman" w:eastAsia="Times New Roman" w:hAnsi="Times New Roman"/>
          <w:sz w:val="22"/>
          <w:szCs w:val="22"/>
          <w:color w:val="auto"/>
        </w:rPr>
      </w:pPr>
    </w:p>
    <w:p>
      <w:pPr>
        <w:ind w:left="4" w:right="6300" w:hanging="4"/>
        <w:spacing w:after="0" w:line="486" w:lineRule="auto"/>
        <w:tabs>
          <w:tab w:leader="none" w:pos="32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the cover pages</w:t>
      </w:r>
    </w:p>
    <w:p>
      <w:pPr>
        <w:spacing w:after="0" w:line="1" w:lineRule="exact"/>
        <w:rPr>
          <w:rFonts w:ascii="Times New Roman" w:cs="Times New Roman" w:eastAsia="Times New Roman" w:hAnsi="Times New Roman"/>
          <w:sz w:val="22"/>
          <w:szCs w:val="22"/>
          <w:color w:val="auto"/>
        </w:rPr>
      </w:pPr>
    </w:p>
    <w:p>
      <w:pPr>
        <w:ind w:left="4" w:right="5360" w:hanging="4"/>
        <w:spacing w:after="0" w:line="486" w:lineRule="auto"/>
        <w:tabs>
          <w:tab w:leader="none" w:pos="3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the cover pages</w:t>
      </w:r>
    </w:p>
    <w:p>
      <w:pPr>
        <w:spacing w:after="0" w:line="1" w:lineRule="exact"/>
        <w:rPr>
          <w:rFonts w:ascii="Times New Roman" w:cs="Times New Roman" w:eastAsia="Times New Roman" w:hAnsi="Times New Roman"/>
          <w:sz w:val="22"/>
          <w:szCs w:val="22"/>
          <w:color w:val="auto"/>
        </w:rPr>
      </w:pPr>
    </w:p>
    <w:p>
      <w:pPr>
        <w:ind w:left="4" w:right="5160" w:hanging="4"/>
        <w:spacing w:after="0" w:line="486" w:lineRule="auto"/>
        <w:tabs>
          <w:tab w:leader="none" w:pos="37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the cover pages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ectPr>
          <w:pgSz w:w="11920" w:h="16838" w:orient="portrait"/>
          <w:cols w:equalWidth="0" w:num="2">
            <w:col w:w="607" w:space="316"/>
            <w:col w:w="10264"/>
          </w:cols>
          <w:pgMar w:left="373" w:top="106" w:right="358" w:bottom="0" w:gutter="0" w:footer="0" w:header="0"/>
          <w:type w:val="continuous"/>
        </w:sectPr>
      </w:pPr>
    </w:p>
    <w:p>
      <w:pPr>
        <w:jc w:val="both"/>
        <w:ind w:left="927"/>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7" w:right="160"/>
        <w:spacing w:after="0" w:line="249" w:lineRule="auto"/>
        <w:rPr>
          <w:sz w:val="20"/>
          <w:szCs w:val="20"/>
          <w:color w:val="auto"/>
        </w:rPr>
      </w:pPr>
      <w:r>
        <w:rPr>
          <w:rFonts w:ascii="Times New Roman" w:cs="Times New Roman" w:eastAsia="Times New Roman" w:hAnsi="Times New Roman"/>
          <w:sz w:val="21"/>
          <w:szCs w:val="21"/>
          <w:color w:val="auto"/>
        </w:rPr>
        <w:t>This Amendment is being filed to report the dissolution of the group previously reported under Section 13(d). The group was dissolved on December 23, 2025. The Reporting Persons are no longer acting as a group for purposes of Rule 13d-5(b) under the Securities Exchange Act of 1934. Each Reporting Person disclaims membership in any such group and disclaims beneficial ownership of any shares of the Issuer's securities other than those reported herein as directly or beneficially owned by such Reporting Person. Mr. Poston and Mr. Williams will continue to file in their individual capacities with respect to all shares of the Issuer beneficially owned by each such individual.</w:t>
      </w:r>
    </w:p>
    <w:p>
      <w:pPr>
        <w:spacing w:after="0" w:line="2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767"/>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7"/>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7"/>
        <w:spacing w:after="0"/>
        <w:rPr>
          <w:sz w:val="20"/>
          <w:szCs w:val="20"/>
          <w:color w:val="auto"/>
        </w:rPr>
      </w:pPr>
      <w:r>
        <w:rPr>
          <w:rFonts w:ascii="Times New Roman" w:cs="Times New Roman" w:eastAsia="Times New Roman" w:hAnsi="Times New Roman"/>
          <w:sz w:val="22"/>
          <w:szCs w:val="22"/>
          <w:color w:val="auto"/>
        </w:rPr>
        <w:t>MAW Management Co.</w:t>
      </w:r>
    </w:p>
    <w:p>
      <w:pPr>
        <w:spacing w:after="0" w:line="152" w:lineRule="exact"/>
        <w:rPr>
          <w:sz w:val="20"/>
          <w:szCs w:val="20"/>
          <w:color w:val="auto"/>
        </w:rPr>
      </w:pPr>
    </w:p>
    <w:p>
      <w:pPr>
        <w:ind w:left="3727"/>
        <w:spacing w:after="0"/>
        <w:tabs>
          <w:tab w:leader="none" w:pos="4786"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Mel Williams</w:t>
      </w:r>
    </w:p>
    <w:p>
      <w:pPr>
        <w:spacing w:after="0" w:line="44" w:lineRule="exact"/>
        <w:rPr>
          <w:sz w:val="20"/>
          <w:szCs w:val="20"/>
          <w:color w:val="auto"/>
        </w:rPr>
      </w:pPr>
    </w:p>
    <w:p>
      <w:pPr>
        <w:ind w:left="3727"/>
        <w:spacing w:after="0"/>
        <w:rPr>
          <w:sz w:val="20"/>
          <w:szCs w:val="20"/>
          <w:color w:val="auto"/>
        </w:rPr>
      </w:pPr>
      <w:r>
        <w:rPr>
          <w:rFonts w:ascii="Times New Roman" w:cs="Times New Roman" w:eastAsia="Times New Roman" w:hAnsi="Times New Roman"/>
          <w:sz w:val="22"/>
          <w:szCs w:val="22"/>
          <w:color w:val="auto"/>
        </w:rPr>
        <w:t>Name/Title: By: Mel Williams, President</w:t>
      </w:r>
    </w:p>
    <w:p>
      <w:pPr>
        <w:spacing w:after="0" w:line="44" w:lineRule="exact"/>
        <w:rPr>
          <w:sz w:val="20"/>
          <w:szCs w:val="20"/>
          <w:color w:val="auto"/>
        </w:rPr>
      </w:pPr>
    </w:p>
    <w:p>
      <w:pPr>
        <w:ind w:left="3727"/>
        <w:spacing w:after="0"/>
        <w:tabs>
          <w:tab w:leader="none" w:pos="4786"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487"/>
        <w:spacing w:after="0"/>
        <w:rPr>
          <w:sz w:val="20"/>
          <w:szCs w:val="20"/>
          <w:color w:val="auto"/>
        </w:rPr>
      </w:pPr>
      <w:r>
        <w:rPr>
          <w:rFonts w:ascii="Times New Roman" w:cs="Times New Roman" w:eastAsia="Times New Roman" w:hAnsi="Times New Roman"/>
          <w:sz w:val="22"/>
          <w:szCs w:val="22"/>
          <w:color w:val="auto"/>
        </w:rPr>
        <w:t>TrueBridge Colonial Fund, U/A dated 11/15/2015</w:t>
      </w:r>
    </w:p>
    <w:p>
      <w:pPr>
        <w:spacing w:after="0" w:line="152" w:lineRule="exact"/>
        <w:rPr>
          <w:sz w:val="20"/>
          <w:szCs w:val="20"/>
          <w:color w:val="auto"/>
        </w:rPr>
      </w:pPr>
    </w:p>
    <w:p>
      <w:pPr>
        <w:ind w:left="5347"/>
        <w:spacing w:after="0"/>
        <w:tabs>
          <w:tab w:leader="none" w:pos="6426"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/s/Megan A. Rosini</w:t>
      </w:r>
    </w:p>
    <w:p>
      <w:pPr>
        <w:spacing w:after="0" w:line="44" w:lineRule="exact"/>
        <w:rPr>
          <w:sz w:val="20"/>
          <w:szCs w:val="20"/>
          <w:color w:val="auto"/>
        </w:rPr>
      </w:pPr>
    </w:p>
    <w:p>
      <w:pPr>
        <w:ind w:left="5347"/>
        <w:spacing w:after="0"/>
        <w:rPr>
          <w:sz w:val="20"/>
          <w:szCs w:val="20"/>
          <w:color w:val="auto"/>
        </w:rPr>
      </w:pPr>
      <w:r>
        <w:rPr>
          <w:rFonts w:ascii="Times New Roman" w:cs="Times New Roman" w:eastAsia="Times New Roman" w:hAnsi="Times New Roman"/>
          <w:sz w:val="22"/>
          <w:szCs w:val="22"/>
          <w:color w:val="auto"/>
        </w:rPr>
        <w:t>Name/Title: By: JTC Trust Company (DE) Ltd., Its: Trustee</w:t>
      </w:r>
    </w:p>
    <w:p>
      <w:pPr>
        <w:spacing w:after="0" w:line="44" w:lineRule="exact"/>
        <w:rPr>
          <w:sz w:val="20"/>
          <w:szCs w:val="20"/>
          <w:color w:val="auto"/>
        </w:rPr>
      </w:pPr>
    </w:p>
    <w:p>
      <w:pPr>
        <w:ind w:left="5347"/>
        <w:spacing w:after="0"/>
        <w:tabs>
          <w:tab w:leader="none" w:pos="6426"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947"/>
        <w:spacing w:after="0"/>
        <w:tabs>
          <w:tab w:leader="none" w:pos="6006"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/s/Megan A. Rosini</w:t>
      </w:r>
    </w:p>
    <w:p>
      <w:pPr>
        <w:spacing w:after="0" w:line="44" w:lineRule="exact"/>
        <w:rPr>
          <w:sz w:val="20"/>
          <w:szCs w:val="20"/>
          <w:color w:val="auto"/>
        </w:rPr>
      </w:pPr>
    </w:p>
    <w:p>
      <w:pPr>
        <w:ind w:left="4947"/>
        <w:spacing w:after="0"/>
        <w:rPr>
          <w:sz w:val="20"/>
          <w:szCs w:val="20"/>
          <w:color w:val="auto"/>
        </w:rPr>
      </w:pPr>
      <w:r>
        <w:rPr>
          <w:rFonts w:ascii="Times New Roman" w:cs="Times New Roman" w:eastAsia="Times New Roman" w:hAnsi="Times New Roman"/>
          <w:sz w:val="22"/>
          <w:szCs w:val="22"/>
          <w:color w:val="auto"/>
        </w:rPr>
        <w:t>Name/Title: By: Megan A. Rosini, Senior Trust Officer</w:t>
      </w:r>
    </w:p>
    <w:p>
      <w:pPr>
        <w:sectPr>
          <w:pgSz w:w="11920" w:h="16838" w:orient="portrait"/>
          <w:cols w:equalWidth="0" w:num="1">
            <w:col w:w="11187"/>
          </w:cols>
          <w:pgMar w:left="373" w:top="106" w:right="358" w:bottom="0" w:gutter="0" w:footer="0" w:header="0"/>
          <w:type w:val="continuous"/>
        </w:sectPr>
      </w:pPr>
    </w:p>
    <w:bookmarkStart w:id="8" w:name="page9"/>
    <w:bookmarkEnd w:id="8"/>
    <w:p>
      <w:pPr>
        <w:ind w:left="388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The Mel Williams Irrevocable Trust u/a/d August 12, 2015</w:t>
      </w:r>
    </w:p>
    <w:p>
      <w:pPr>
        <w:spacing w:after="0" w:line="16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Jacqui Miller</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By: Alliance Trust Company, Its: Trustee</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Jacqui Miller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By: Jacqui Miller, Senior Trust Officer</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Edwin A. Poston Revocable Trust</w:t>
      </w:r>
    </w:p>
    <w:p>
      <w:pPr>
        <w:spacing w:after="0" w:line="152" w:lineRule="exact"/>
        <w:rPr>
          <w:sz w:val="20"/>
          <w:szCs w:val="20"/>
          <w:color w:val="auto"/>
        </w:rPr>
      </w:pPr>
    </w:p>
    <w:p>
      <w:pPr>
        <w:ind w:left="252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Poston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By: Edwin Poston, Trustee</w:t>
      </w:r>
    </w:p>
    <w:p>
      <w:pPr>
        <w:spacing w:after="0" w:line="44" w:lineRule="exact"/>
        <w:rPr>
          <w:sz w:val="20"/>
          <w:szCs w:val="20"/>
          <w:color w:val="auto"/>
        </w:rPr>
      </w:pPr>
    </w:p>
    <w:p>
      <w:pPr>
        <w:ind w:left="252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Edwin A. Poston</w:t>
      </w:r>
    </w:p>
    <w:p>
      <w:pPr>
        <w:spacing w:after="0" w:line="152"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Poston</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Edwin Poston</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Mel Williams</w:t>
      </w:r>
    </w:p>
    <w:p>
      <w:pPr>
        <w:spacing w:after="0" w:line="152" w:lineRule="exact"/>
        <w:rPr>
          <w:sz w:val="20"/>
          <w:szCs w:val="20"/>
          <w:color w:val="auto"/>
        </w:rPr>
      </w:pPr>
    </w:p>
    <w:p>
      <w:pPr>
        <w:ind w:left="1640"/>
        <w:spacing w:after="0"/>
        <w:tabs>
          <w:tab w:leader="none" w:pos="2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Mel Williams</w:t>
      </w:r>
    </w:p>
    <w:p>
      <w:pPr>
        <w:spacing w:after="0" w:line="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Name/Title: Mel Williams</w:t>
      </w:r>
    </w:p>
    <w:p>
      <w:pPr>
        <w:spacing w:after="0" w:line="44" w:lineRule="exact"/>
        <w:rPr>
          <w:sz w:val="20"/>
          <w:szCs w:val="20"/>
          <w:color w:val="auto"/>
        </w:rPr>
      </w:pPr>
    </w:p>
    <w:p>
      <w:pPr>
        <w:ind w:left="1640"/>
        <w:spacing w:after="0"/>
        <w:tabs>
          <w:tab w:leader="none" w:pos="2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20" w:h="16838" w:orient="portrait"/>
      <w:cols w:equalWidth="0" w:num="1">
        <w:col w:w="9240"/>
      </w:cols>
      <w:pgMar w:left="1440" w:top="121" w:right="123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1)"/>
      <w:numFmt w:val="lowerRoman"/>
      <w:start w:val="2"/>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1)"/>
      <w:numFmt w:val="lowerRoman"/>
      <w:start w:val="2"/>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5"/>
    </w:lvl>
  </w:abstractNum>
  <w:abstractNum w:abstractNumId="15">
    <w:nsid w:val="431BD7B7"/>
    <w:multiLevelType w:val="hybridMultilevel"/>
    <w:lvl w:ilvl="0">
      <w:lvlJc w:val="left"/>
      <w:lvlText w:val="(%1)"/>
      <w:numFmt w:val="lowerLetter"/>
      <w:start w:val="10"/>
    </w:lvl>
  </w:abstractNum>
  <w:abstractNum w:abstractNumId="16">
    <w:nsid w:val="3F2DBA31"/>
    <w:multiLevelType w:val="hybridMultilevel"/>
    <w:lvl w:ilvl="0">
      <w:lvlJc w:val="left"/>
      <w:lvlText w:val="(%1)"/>
      <w:numFmt w:val="lowerLetter"/>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2026-02-17T17:32:18Z</dcterms:created>
  <dcterms:modified xsi:type="dcterms:W3CDTF">2026-02-17T17:32:18Z</dcterms:modified>
</cp:coreProperties>
</file>