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64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6432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Coussens Amanda 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73"/>
        <w:spacing w:after="0"/>
        <w:rPr>
          <w:sz w:val="20"/>
          <w:szCs w:val="20"/>
          <w:color w:val="auto"/>
        </w:rPr>
      </w:pPr>
      <w:r>
        <w:rPr>
          <w:rFonts w:ascii="Times New Roman" w:cs="Times New Roman" w:eastAsia="Times New Roman" w:hAnsi="Times New Roman"/>
          <w:sz w:val="17"/>
          <w:szCs w:val="17"/>
          <w:color w:val="0000FF"/>
        </w:rPr>
        <w:t>See remarks</w:t>
      </w:r>
    </w:p>
    <w:p>
      <w:pPr>
        <w:spacing w:after="0" w:line="383"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03/02/2023</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8,385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8,385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03/02/2023</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2,042</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10.82</w:t>
            </w:r>
          </w:p>
        </w:tc>
        <w:tc>
          <w:tcPr>
            <w:tcW w:w="1280" w:type="dxa"/>
            <w:vAlign w:val="bottom"/>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6,343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8,385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03/02/2023</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8,385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10,115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03/09/2023</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396"/>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10,115</w:t>
            </w:r>
          </w:p>
        </w:tc>
        <w:tc>
          <w:tcPr>
            <w:tcW w:w="4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1"/>
              <w:spacing w:after="0" w:line="128" w:lineRule="exact"/>
              <w:rPr>
                <w:sz w:val="20"/>
                <w:szCs w:val="20"/>
                <w:color w:val="auto"/>
              </w:rPr>
            </w:pPr>
            <w:r>
              <w:rPr>
                <w:rFonts w:ascii="Times New Roman" w:cs="Times New Roman" w:eastAsia="Times New Roman" w:hAnsi="Times New Roman"/>
                <w:sz w:val="13"/>
                <w:szCs w:val="13"/>
                <w:color w:val="0000FF"/>
                <w:w w:val="94"/>
              </w:rPr>
              <w:t>10,115</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55,325</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03/09/2023</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55,325</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03/09/2033</w:t>
            </w: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55,325</w:t>
            </w:r>
          </w:p>
        </w:tc>
        <w:tc>
          <w:tcPr>
            <w:tcW w:w="26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-2610485</wp:posOffset>
            </wp:positionV>
            <wp:extent cx="28575" cy="2615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15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Ms. Coussens was granted 8,385 RSUs, all of which vested on the first anniversary of such grant date.</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Ms. Coussens was granted a total of 10,115 RSUs, all of which will vest on the first anniversary of the grant date (March 9, 2024), provided that Ms. Coussens remains in continuous service with the Issuer through such date.</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Ms. Coussens was granted a total of 55,325 stock options, all of which will vest on the fifth anniversary of the grant date (March 9, 2028), provided that Ms. Coussens remains in continuous service with the Issuer through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&amp; Chief Compliance Officer</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/s/Amanda Coussens</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03/14/2023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856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2023-03-14T18:39:14Z</dcterms:created>
  <dcterms:modified xsi:type="dcterms:W3CDTF">2023-03-14T18:39:14Z</dcterms:modified>
</cp:coreProperties>
</file>