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43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43992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Gehl Jeff Patrick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P10,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11/15/2022</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36"/>
        <w:spacing w:after="0"/>
        <w:rPr>
          <w:sz w:val="20"/>
          <w:szCs w:val="20"/>
          <w:color w:val="auto"/>
        </w:rPr>
      </w:pPr>
      <w:r>
        <w:rPr>
          <w:rFonts w:ascii="Times New Roman" w:cs="Times New Roman" w:eastAsia="Times New Roman" w:hAnsi="Times New Roman"/>
          <w:sz w:val="17"/>
          <w:szCs w:val="17"/>
          <w:color w:val="0000FF"/>
        </w:rPr>
        <w:t>Head Marketing &amp; Distribution</w:t>
      </w:r>
    </w:p>
    <w:p>
      <w:pPr>
        <w:spacing w:after="0" w:line="38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6"/>
          </w:tcPr>
          <w:p>
            <w:pPr>
              <w:jc w:val="center"/>
              <w:ind w:right="41"/>
              <w:spacing w:after="0" w:line="141" w:lineRule="exact"/>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75205</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5"/>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By the Jeff</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66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300,000</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restart"/>
          </w:tcPr>
          <w:p>
            <w:pPr>
              <w:ind w:left="280"/>
              <w:spacing w:after="0" w:line="203"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(3)</w:t>
            </w:r>
          </w:p>
        </w:tc>
        <w:tc>
          <w:tcPr>
            <w:tcW w:w="820" w:type="dxa"/>
            <w:vAlign w:val="bottom"/>
            <w:tcBorders>
              <w:right w:val="single" w:sz="8" w:color="2C2C2C"/>
            </w:tcBorders>
            <w:gridSpan w:val="3"/>
            <w:vMerge w:val="restart"/>
          </w:tcPr>
          <w:p>
            <w:pPr>
              <w:ind w:left="140"/>
              <w:spacing w:after="0" w:line="140" w:lineRule="exact"/>
              <w:rPr>
                <w:sz w:val="20"/>
                <w:szCs w:val="20"/>
                <w:color w:val="auto"/>
              </w:rPr>
            </w:pPr>
            <w:r>
              <w:rPr>
                <w:rFonts w:ascii="Times New Roman" w:cs="Times New Roman" w:eastAsia="Times New Roman" w:hAnsi="Times New Roman"/>
                <w:sz w:val="13"/>
                <w:szCs w:val="13"/>
                <w:color w:val="0000FF"/>
              </w:rPr>
              <w:t>P. Gehl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restart"/>
          </w:tcPr>
          <w:p>
            <w:pPr>
              <w:ind w:left="260"/>
              <w:spacing w:after="0" w:line="141" w:lineRule="exact"/>
              <w:rPr>
                <w:sz w:val="20"/>
                <w:szCs w:val="20"/>
                <w:color w:val="auto"/>
              </w:rPr>
            </w:pPr>
            <w:r>
              <w:rPr>
                <w:rFonts w:ascii="Times New Roman" w:cs="Times New Roman" w:eastAsia="Times New Roman" w:hAnsi="Times New Roman"/>
                <w:sz w:val="13"/>
                <w:szCs w:val="13"/>
                <w:color w:val="0000FF"/>
              </w:rPr>
              <w:t>11/15/2022</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S</w:t>
            </w:r>
          </w:p>
        </w:tc>
        <w:tc>
          <w:tcPr>
            <w:tcW w:w="920" w:type="dxa"/>
            <w:vAlign w:val="bottom"/>
            <w:vMerge w:val="restart"/>
          </w:tcPr>
          <w:p>
            <w:pPr>
              <w:ind w:left="400"/>
              <w:spacing w:after="0" w:line="141" w:lineRule="exact"/>
              <w:rPr>
                <w:sz w:val="20"/>
                <w:szCs w:val="20"/>
                <w:color w:val="auto"/>
              </w:rPr>
            </w:pPr>
            <w:r>
              <w:rPr>
                <w:rFonts w:ascii="Times New Roman" w:cs="Times New Roman" w:eastAsia="Times New Roman" w:hAnsi="Times New Roman"/>
                <w:sz w:val="13"/>
                <w:szCs w:val="13"/>
                <w:color w:val="0000FF"/>
              </w:rPr>
              <w:t>300,000</w:t>
            </w: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9.2</w:t>
            </w:r>
          </w:p>
        </w:tc>
        <w:tc>
          <w:tcPr>
            <w:tcW w:w="880" w:type="dxa"/>
            <w:vAlign w:val="bottom"/>
            <w:gridSpan w:val="2"/>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3,961,939</w:t>
            </w:r>
          </w:p>
        </w:tc>
        <w:tc>
          <w:tcPr>
            <w:tcW w:w="640" w:type="dxa"/>
            <w:vAlign w:val="bottom"/>
            <w:vMerge w:val="continue"/>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20" w:type="dxa"/>
            <w:vAlign w:val="bottom"/>
            <w:tcBorders>
              <w:right w:val="single" w:sz="8" w:color="2C2C2C"/>
            </w:tcBorders>
            <w:gridSpan w:val="3"/>
            <w:vMerge w:val="restart"/>
          </w:tcPr>
          <w:p>
            <w:pPr>
              <w:ind w:left="140"/>
              <w:spacing w:after="0" w:line="140" w:lineRule="exact"/>
              <w:rPr>
                <w:sz w:val="20"/>
                <w:szCs w:val="20"/>
                <w:color w:val="auto"/>
              </w:rPr>
            </w:pPr>
            <w:r>
              <w:rPr>
                <w:rFonts w:ascii="Times New Roman" w:cs="Times New Roman" w:eastAsia="Times New Roman" w:hAnsi="Times New Roman"/>
                <w:sz w:val="13"/>
                <w:szCs w:val="13"/>
                <w:color w:val="0000FF"/>
              </w:rPr>
              <w:t>Living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-1831340</wp:posOffset>
            </wp:positionV>
            <wp:extent cx="28575" cy="1836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364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19" w:lineRule="exact"/>
        <w:rPr>
          <w:rFonts w:ascii="Times New Roman" w:cs="Times New Roman" w:eastAsia="Times New Roman" w:hAnsi="Times New Roman"/>
          <w:sz w:val="13"/>
          <w:szCs w:val="13"/>
          <w:color w:val="008000"/>
        </w:rPr>
      </w:pPr>
    </w:p>
    <w:p>
      <w:pPr>
        <w:ind w:left="40" w:right="160"/>
        <w:spacing w:after="0" w:line="23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the Jeff P. Gehl Living Trust. The Reporting Person disclaims beneficial ownership of these securities except to the extent of his pecuniary interest therein.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/s/Amanda Coussens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992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6"/>
          <w:szCs w:val="16"/>
          <w:color w:val="0000FF"/>
        </w:rPr>
        <w:t>11/17/2022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3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732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5527"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2022-11-17T17:32:07Z</dcterms:created>
  <dcterms:modified xsi:type="dcterms:W3CDTF">2022-11-17T17:32:07Z</dcterms:modified>
</cp:coreProperties>
</file>