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__)*</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P10, Inc.</w:t>
      </w:r>
    </w:p>
    <w:p>
      <w:pPr>
        <w:spacing w:after="0" w:line="29"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3260"/>
        <w:spacing w:after="0"/>
        <w:rPr>
          <w:sz w:val="20"/>
          <w:szCs w:val="20"/>
          <w:color w:val="auto"/>
        </w:rPr>
      </w:pPr>
      <w:r>
        <w:rPr>
          <w:rFonts w:ascii="Arial" w:cs="Arial" w:eastAsia="Arial" w:hAnsi="Arial"/>
          <w:sz w:val="22"/>
          <w:szCs w:val="22"/>
          <w:b w:val="1"/>
          <w:bCs w:val="1"/>
          <w:color w:val="auto"/>
        </w:rPr>
        <w:t>Class A Common Stock, $0.001 par value per share</w:t>
      </w:r>
    </w:p>
    <w:p>
      <w:pPr>
        <w:spacing w:after="0" w:line="14"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69376K106</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December 13, 2021</w:t>
      </w:r>
    </w:p>
    <w:p>
      <w:pPr>
        <w:spacing w:after="0" w:line="14"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9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13" w:lineRule="exact"/>
        <w:rPr>
          <w:sz w:val="24"/>
          <w:szCs w:val="24"/>
          <w:color w:val="auto"/>
        </w:rPr>
      </w:pPr>
    </w:p>
    <w:p>
      <w:pPr>
        <w:jc w:val="both"/>
        <w:ind w:left="440" w:right="9320"/>
        <w:spacing w:after="0" w:line="224" w:lineRule="exact"/>
        <w:tabs>
          <w:tab w:leader="none" w:pos="87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Rule 13d-1(c)</w:t>
      </w:r>
    </w:p>
    <w:p>
      <w:pPr>
        <w:ind w:left="880" w:hanging="440"/>
        <w:spacing w:after="0"/>
        <w:tabs>
          <w:tab w:leader="none" w:pos="8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Rule 13d-1(d)</w:t>
      </w:r>
    </w:p>
    <w:p>
      <w:pPr>
        <w:spacing w:after="0" w:line="202"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1400" w:type="dxa"/>
            <w:vAlign w:val="bottom"/>
          </w:tcPr>
          <w:p>
            <w:pPr>
              <w:spacing w:after="0"/>
              <w:rPr>
                <w:sz w:val="20"/>
                <w:szCs w:val="20"/>
                <w:color w:val="auto"/>
              </w:rPr>
            </w:pPr>
            <w:r>
              <w:rPr>
                <w:rFonts w:ascii="Arial" w:cs="Arial" w:eastAsia="Arial" w:hAnsi="Arial"/>
                <w:sz w:val="18"/>
                <w:szCs w:val="18"/>
                <w:color w:val="auto"/>
              </w:rPr>
              <w:t>CUSIP No.</w:t>
            </w:r>
          </w:p>
        </w:tc>
        <w:tc>
          <w:tcPr>
            <w:tcW w:w="340" w:type="dxa"/>
            <w:vAlign w:val="bottom"/>
            <w:tcBorders>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69376K106</w:t>
            </w:r>
          </w:p>
        </w:tc>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0" w:type="dxa"/>
            <w:vAlign w:val="bottom"/>
            <w:tcBorders>
              <w:bottom w:val="single" w:sz="8" w:color="auto"/>
            </w:tcBorders>
          </w:tcPr>
          <w:p>
            <w:pPr>
              <w:spacing w:after="0"/>
              <w:rPr>
                <w:sz w:val="20"/>
                <w:szCs w:val="20"/>
                <w:color w:val="auto"/>
              </w:rPr>
            </w:pPr>
          </w:p>
        </w:tc>
        <w:tc>
          <w:tcPr>
            <w:tcW w:w="9720" w:type="dxa"/>
            <w:vAlign w:val="bottom"/>
            <w:tcBorders>
              <w:bottom w:val="single" w:sz="8" w:color="auto"/>
            </w:tcBorders>
            <w:gridSpan w:val="6"/>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Arial" w:cs="Arial" w:eastAsia="Arial" w:hAnsi="Arial"/>
                <w:sz w:val="18"/>
                <w:szCs w:val="18"/>
                <w:color w:val="auto"/>
              </w:rPr>
              <w:t>The Conversant Opportunity Master Fund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9720" w:type="dxa"/>
            <w:vAlign w:val="bottom"/>
            <w:tcBorders>
              <w:bottom w:val="single" w:sz="8" w:color="auto"/>
            </w:tcBorders>
            <w:gridSpan w:val="6"/>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9720" w:type="dxa"/>
            <w:vAlign w:val="bottom"/>
            <w:gridSpan w:val="6"/>
            <w:shd w:val="clear" w:color="auto" w:fill="BFBFBF"/>
          </w:tcPr>
          <w:p>
            <w:pPr>
              <w:ind w:left="20"/>
              <w:spacing w:after="0"/>
              <w:rPr>
                <w:sz w:val="20"/>
                <w:szCs w:val="20"/>
                <w:color w:val="auto"/>
              </w:rPr>
            </w:pPr>
            <w:r>
              <w:rPr>
                <w:rFonts w:ascii="Arial" w:cs="Arial" w:eastAsia="Arial" w:hAnsi="Arial"/>
                <w:sz w:val="18"/>
                <w:szCs w:val="18"/>
                <w:b w:val="1"/>
                <w:bCs w:val="1"/>
                <w:color w:val="auto"/>
              </w:rPr>
              <w:t>SEC USE ONLY</w:t>
            </w: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20" w:type="dxa"/>
            <w:vAlign w:val="bottom"/>
            <w:tcBorders>
              <w:right w:val="single" w:sz="8" w:color="BFBFBF"/>
            </w:tcBorders>
            <w:shd w:val="clear" w:color="auto" w:fill="BFBFBF"/>
          </w:tcPr>
          <w:p>
            <w:pPr>
              <w:spacing w:after="0"/>
              <w:rPr>
                <w:sz w:val="24"/>
                <w:szCs w:val="24"/>
                <w:color w:val="auto"/>
              </w:rPr>
            </w:pPr>
          </w:p>
        </w:tc>
        <w:tc>
          <w:tcPr>
            <w:tcW w:w="76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34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820" w:type="dxa"/>
            <w:vAlign w:val="bottom"/>
            <w:tcBorders>
              <w:bottom w:val="single" w:sz="8" w:color="auto"/>
              <w:right w:val="single" w:sz="8" w:color="BFBFBF"/>
            </w:tcBorders>
            <w:shd w:val="clear" w:color="auto" w:fill="BFBFBF"/>
          </w:tcPr>
          <w:p>
            <w:pPr>
              <w:spacing w:after="0"/>
              <w:rPr>
                <w:sz w:val="23"/>
                <w:szCs w:val="23"/>
                <w:color w:val="auto"/>
              </w:rPr>
            </w:pPr>
          </w:p>
        </w:tc>
        <w:tc>
          <w:tcPr>
            <w:tcW w:w="76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Arial" w:cs="Arial" w:eastAsia="Arial" w:hAnsi="Arial"/>
                <w:sz w:val="18"/>
                <w:szCs w:val="18"/>
                <w:color w:val="auto"/>
              </w:rPr>
              <w:t>Cayman Islands</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8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420" w:type="dxa"/>
            <w:vAlign w:val="bottom"/>
            <w:gridSpan w:val="2"/>
          </w:tcPr>
          <w:p>
            <w:pPr>
              <w:ind w:left="40"/>
              <w:spacing w:after="0" w:line="214" w:lineRule="exact"/>
              <w:rPr>
                <w:sz w:val="20"/>
                <w:szCs w:val="20"/>
                <w:color w:val="auto"/>
              </w:rPr>
            </w:pPr>
            <w:r>
              <w:rPr>
                <w:rFonts w:ascii="Arial" w:cs="Arial" w:eastAsia="Arial" w:hAnsi="Arial"/>
                <w:sz w:val="20"/>
                <w:szCs w:val="20"/>
                <w:color w:val="auto"/>
              </w:rPr>
              <w:t>1,333,340</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6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8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42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820" w:type="dxa"/>
            <w:vAlign w:val="bottom"/>
          </w:tcPr>
          <w:p>
            <w:pPr>
              <w:spacing w:after="0"/>
              <w:rPr>
                <w:sz w:val="4"/>
                <w:szCs w:val="4"/>
                <w:color w:val="auto"/>
              </w:rPr>
            </w:pPr>
          </w:p>
        </w:tc>
        <w:tc>
          <w:tcPr>
            <w:tcW w:w="76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w w:val="92"/>
              </w:rPr>
              <w:t>1,333,340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8"/>
                <w:szCs w:val="18"/>
                <w:color w:val="auto"/>
                <w:w w:val="94"/>
              </w:rPr>
              <w:t>1,333,340</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420" w:type="dxa"/>
            <w:vAlign w:val="bottom"/>
            <w:tcBorders>
              <w:bottom w:val="single" w:sz="8" w:color="auto"/>
            </w:tcBorders>
            <w:gridSpan w:val="2"/>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Arial" w:cs="Arial" w:eastAsia="Arial" w:hAnsi="Arial"/>
                <w:sz w:val="18"/>
                <w:szCs w:val="18"/>
                <w:color w:val="auto"/>
              </w:rPr>
              <w:t>PN</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5"/>
        </w:trPr>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00" w:type="dxa"/>
            <w:vAlign w:val="bottom"/>
          </w:tcPr>
          <w:p>
            <w:pPr>
              <w:spacing w:after="0"/>
              <w:rPr>
                <w:sz w:val="20"/>
                <w:szCs w:val="20"/>
                <w:color w:val="auto"/>
              </w:rPr>
            </w:pPr>
            <w:r>
              <w:rPr>
                <w:rFonts w:ascii="Arial" w:cs="Arial" w:eastAsia="Arial" w:hAnsi="Arial"/>
                <w:sz w:val="18"/>
                <w:szCs w:val="18"/>
                <w:color w:val="auto"/>
              </w:rPr>
              <w:t>CUSIP No.</w:t>
            </w:r>
          </w:p>
        </w:tc>
        <w:tc>
          <w:tcPr>
            <w:tcW w:w="340" w:type="dxa"/>
            <w:vAlign w:val="bottom"/>
            <w:tcBorders>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69376K106</w:t>
            </w:r>
          </w:p>
        </w:tc>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Arial" w:cs="Arial" w:eastAsia="Arial" w:hAnsi="Arial"/>
                <w:sz w:val="18"/>
                <w:szCs w:val="18"/>
                <w:color w:val="auto"/>
              </w:rPr>
              <w:t>Conversant GP Holdings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tcBorders>
            <w:gridSpan w:val="5"/>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9720" w:type="dxa"/>
            <w:vAlign w:val="bottom"/>
            <w:gridSpan w:val="6"/>
            <w:shd w:val="clear" w:color="auto" w:fill="BFBFBF"/>
          </w:tcPr>
          <w:p>
            <w:pPr>
              <w:ind w:left="20"/>
              <w:spacing w:after="0"/>
              <w:rPr>
                <w:sz w:val="20"/>
                <w:szCs w:val="20"/>
                <w:color w:val="auto"/>
              </w:rPr>
            </w:pPr>
            <w:r>
              <w:rPr>
                <w:rFonts w:ascii="Arial" w:cs="Arial" w:eastAsia="Arial" w:hAnsi="Arial"/>
                <w:sz w:val="18"/>
                <w:szCs w:val="18"/>
                <w:b w:val="1"/>
                <w:bCs w:val="1"/>
                <w:color w:val="auto"/>
              </w:rPr>
              <w:t>SEC USE ONLY</w:t>
            </w: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20" w:type="dxa"/>
            <w:vAlign w:val="bottom"/>
            <w:tcBorders>
              <w:right w:val="single" w:sz="8" w:color="BFBFBF"/>
            </w:tcBorders>
            <w:shd w:val="clear" w:color="auto" w:fill="BFBFBF"/>
          </w:tcPr>
          <w:p>
            <w:pPr>
              <w:spacing w:after="0"/>
              <w:rPr>
                <w:sz w:val="24"/>
                <w:szCs w:val="24"/>
                <w:color w:val="auto"/>
              </w:rPr>
            </w:pPr>
          </w:p>
        </w:tc>
        <w:tc>
          <w:tcPr>
            <w:tcW w:w="76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34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820" w:type="dxa"/>
            <w:vAlign w:val="bottom"/>
            <w:tcBorders>
              <w:bottom w:val="single" w:sz="8" w:color="auto"/>
              <w:right w:val="single" w:sz="8" w:color="BFBFBF"/>
            </w:tcBorders>
            <w:shd w:val="clear" w:color="auto" w:fill="BFBFBF"/>
          </w:tcPr>
          <w:p>
            <w:pPr>
              <w:spacing w:after="0"/>
              <w:rPr>
                <w:sz w:val="23"/>
                <w:szCs w:val="23"/>
                <w:color w:val="auto"/>
              </w:rPr>
            </w:pPr>
          </w:p>
        </w:tc>
        <w:tc>
          <w:tcPr>
            <w:tcW w:w="76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8"/>
                <w:szCs w:val="18"/>
                <w:color w:val="auto"/>
                <w:w w:val="99"/>
              </w:rPr>
              <w:t>Delaware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8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w w:val="92"/>
              </w:rPr>
              <w:t>1,333,340</w:t>
            </w:r>
          </w:p>
        </w:tc>
        <w:tc>
          <w:tcPr>
            <w:tcW w:w="7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6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8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42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820" w:type="dxa"/>
            <w:vAlign w:val="bottom"/>
          </w:tcPr>
          <w:p>
            <w:pPr>
              <w:spacing w:after="0"/>
              <w:rPr>
                <w:sz w:val="4"/>
                <w:szCs w:val="4"/>
                <w:color w:val="auto"/>
              </w:rPr>
            </w:pPr>
          </w:p>
        </w:tc>
        <w:tc>
          <w:tcPr>
            <w:tcW w:w="76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w w:val="92"/>
              </w:rPr>
              <w:t>1,333,340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8"/>
                <w:szCs w:val="18"/>
                <w:color w:val="auto"/>
                <w:w w:val="94"/>
              </w:rPr>
              <w:t>1,333,340</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Arial" w:cs="Arial" w:eastAsia="Arial" w:hAnsi="Arial"/>
                <w:sz w:val="18"/>
                <w:szCs w:val="18"/>
                <w:color w:val="auto"/>
              </w:rPr>
              <w:t>OO</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5"/>
        </w:trPr>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00" w:type="dxa"/>
            <w:vAlign w:val="bottom"/>
          </w:tcPr>
          <w:p>
            <w:pPr>
              <w:spacing w:after="0"/>
              <w:rPr>
                <w:sz w:val="20"/>
                <w:szCs w:val="20"/>
                <w:color w:val="auto"/>
              </w:rPr>
            </w:pPr>
            <w:r>
              <w:rPr>
                <w:rFonts w:ascii="Arial" w:cs="Arial" w:eastAsia="Arial" w:hAnsi="Arial"/>
                <w:sz w:val="18"/>
                <w:szCs w:val="18"/>
                <w:color w:val="auto"/>
              </w:rPr>
              <w:t>CUSIP No.</w:t>
            </w:r>
          </w:p>
        </w:tc>
        <w:tc>
          <w:tcPr>
            <w:tcW w:w="340" w:type="dxa"/>
            <w:vAlign w:val="bottom"/>
            <w:tcBorders>
              <w:right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rPr>
              <w:t>69376K106</w:t>
            </w: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7"/>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7"/>
            <w:vMerge w:val="restart"/>
          </w:tcPr>
          <w:p>
            <w:pPr>
              <w:ind w:left="40"/>
              <w:spacing w:after="0"/>
              <w:rPr>
                <w:sz w:val="20"/>
                <w:szCs w:val="20"/>
                <w:color w:val="auto"/>
              </w:rPr>
            </w:pPr>
            <w:r>
              <w:rPr>
                <w:rFonts w:ascii="Arial" w:cs="Arial" w:eastAsia="Arial" w:hAnsi="Arial"/>
                <w:sz w:val="18"/>
                <w:szCs w:val="18"/>
                <w:color w:val="auto"/>
              </w:rPr>
              <w:t>Conversant Capital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7"/>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tcBorders>
            <w:gridSpan w:val="6"/>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5"/>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00" w:type="dxa"/>
            <w:vAlign w:val="bottom"/>
            <w:tcBorders>
              <w:right w:val="single" w:sz="8" w:color="BFBFBF"/>
            </w:tcBorders>
            <w:shd w:val="clear" w:color="auto" w:fill="BFBFBF"/>
          </w:tcPr>
          <w:p>
            <w:pPr>
              <w:spacing w:after="0"/>
              <w:rPr>
                <w:sz w:val="20"/>
                <w:szCs w:val="20"/>
                <w:color w:val="auto"/>
              </w:rPr>
            </w:pPr>
          </w:p>
        </w:tc>
        <w:tc>
          <w:tcPr>
            <w:tcW w:w="76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00" w:type="dxa"/>
            <w:vAlign w:val="bottom"/>
            <w:tcBorders>
              <w:right w:val="single" w:sz="8" w:color="BFBFBF"/>
            </w:tcBorders>
            <w:shd w:val="clear" w:color="auto" w:fill="BFBFBF"/>
          </w:tcPr>
          <w:p>
            <w:pPr>
              <w:spacing w:after="0"/>
              <w:rPr>
                <w:sz w:val="24"/>
                <w:szCs w:val="24"/>
                <w:color w:val="auto"/>
              </w:rPr>
            </w:pPr>
          </w:p>
        </w:tc>
        <w:tc>
          <w:tcPr>
            <w:tcW w:w="76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34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00" w:type="dxa"/>
            <w:vAlign w:val="bottom"/>
            <w:tcBorders>
              <w:bottom w:val="single" w:sz="8" w:color="auto"/>
              <w:right w:val="single" w:sz="8" w:color="BFBFBF"/>
            </w:tcBorders>
            <w:shd w:val="clear" w:color="auto" w:fill="BFBFBF"/>
          </w:tcPr>
          <w:p>
            <w:pPr>
              <w:spacing w:after="0"/>
              <w:rPr>
                <w:sz w:val="23"/>
                <w:szCs w:val="23"/>
                <w:color w:val="auto"/>
              </w:rPr>
            </w:pPr>
          </w:p>
        </w:tc>
        <w:tc>
          <w:tcPr>
            <w:tcW w:w="76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7"/>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8"/>
                <w:szCs w:val="18"/>
                <w:color w:val="auto"/>
                <w:w w:val="99"/>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92"/>
              </w:rPr>
              <w:t>1,333,340</w:t>
            </w:r>
          </w:p>
        </w:tc>
        <w:tc>
          <w:tcPr>
            <w:tcW w:w="7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6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76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34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vMerge w:val="restart"/>
          </w:tcPr>
          <w:p>
            <w:pPr>
              <w:ind w:left="20"/>
              <w:spacing w:after="0"/>
              <w:rPr>
                <w:sz w:val="20"/>
                <w:szCs w:val="20"/>
                <w:color w:val="auto"/>
              </w:rPr>
            </w:pPr>
            <w:r>
              <w:rPr>
                <w:rFonts w:ascii="Arial" w:cs="Arial" w:eastAsia="Arial" w:hAnsi="Arial"/>
                <w:sz w:val="18"/>
                <w:szCs w:val="18"/>
                <w:color w:val="auto"/>
                <w:w w:val="92"/>
              </w:rPr>
              <w:t>1,333,340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7"/>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8"/>
                <w:szCs w:val="18"/>
                <w:color w:val="auto"/>
                <w:w w:val="94"/>
              </w:rPr>
              <w:t>1,333,340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20" w:type="dxa"/>
            <w:vAlign w:val="bottom"/>
            <w:tcBorders>
              <w:bottom w:val="single" w:sz="8" w:color="auto"/>
            </w:tcBorders>
            <w:gridSpan w:val="2"/>
          </w:tcPr>
          <w:p>
            <w:pPr>
              <w:spacing w:after="0"/>
              <w:rPr>
                <w:sz w:val="12"/>
                <w:szCs w:val="12"/>
                <w:color w:val="auto"/>
              </w:rPr>
            </w:pPr>
          </w:p>
        </w:tc>
        <w:tc>
          <w:tcPr>
            <w:tcW w:w="76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8"/>
                <w:szCs w:val="18"/>
                <w:color w:val="auto"/>
              </w:rPr>
              <w:t>OO, 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5"/>
        </w:trPr>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00" w:type="dxa"/>
            <w:vAlign w:val="bottom"/>
          </w:tcPr>
          <w:p>
            <w:pPr>
              <w:spacing w:after="0"/>
              <w:rPr>
                <w:sz w:val="20"/>
                <w:szCs w:val="20"/>
                <w:color w:val="auto"/>
              </w:rPr>
            </w:pPr>
            <w:r>
              <w:rPr>
                <w:rFonts w:ascii="Arial" w:cs="Arial" w:eastAsia="Arial" w:hAnsi="Arial"/>
                <w:sz w:val="18"/>
                <w:szCs w:val="18"/>
                <w:color w:val="auto"/>
              </w:rPr>
              <w:t>CUSIP No.</w:t>
            </w:r>
          </w:p>
        </w:tc>
        <w:tc>
          <w:tcPr>
            <w:tcW w:w="340" w:type="dxa"/>
            <w:vAlign w:val="bottom"/>
            <w:tcBorders>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69376K106</w:t>
            </w:r>
          </w:p>
        </w:tc>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Arial" w:cs="Arial" w:eastAsia="Arial" w:hAnsi="Arial"/>
                <w:sz w:val="18"/>
                <w:szCs w:val="18"/>
                <w:color w:val="auto"/>
              </w:rPr>
              <w:t>Michael Simanovsky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tcBorders>
            <w:gridSpan w:val="5"/>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9720" w:type="dxa"/>
            <w:vAlign w:val="bottom"/>
            <w:gridSpan w:val="6"/>
            <w:shd w:val="clear" w:color="auto" w:fill="BFBFBF"/>
          </w:tcPr>
          <w:p>
            <w:pPr>
              <w:ind w:left="20"/>
              <w:spacing w:after="0"/>
              <w:rPr>
                <w:sz w:val="20"/>
                <w:szCs w:val="20"/>
                <w:color w:val="auto"/>
              </w:rPr>
            </w:pPr>
            <w:r>
              <w:rPr>
                <w:rFonts w:ascii="Arial" w:cs="Arial" w:eastAsia="Arial" w:hAnsi="Arial"/>
                <w:sz w:val="18"/>
                <w:szCs w:val="18"/>
                <w:b w:val="1"/>
                <w:bCs w:val="1"/>
                <w:color w:val="auto"/>
              </w:rPr>
              <w:t>SEC USE ONLY</w:t>
            </w: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20" w:type="dxa"/>
            <w:vAlign w:val="bottom"/>
            <w:tcBorders>
              <w:right w:val="single" w:sz="8" w:color="BFBFBF"/>
            </w:tcBorders>
            <w:shd w:val="clear" w:color="auto" w:fill="BFBFBF"/>
          </w:tcPr>
          <w:p>
            <w:pPr>
              <w:spacing w:after="0"/>
              <w:rPr>
                <w:sz w:val="24"/>
                <w:szCs w:val="24"/>
                <w:color w:val="auto"/>
              </w:rPr>
            </w:pPr>
          </w:p>
        </w:tc>
        <w:tc>
          <w:tcPr>
            <w:tcW w:w="76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34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820" w:type="dxa"/>
            <w:vAlign w:val="bottom"/>
            <w:tcBorders>
              <w:bottom w:val="single" w:sz="8" w:color="auto"/>
              <w:right w:val="single" w:sz="8" w:color="BFBFBF"/>
            </w:tcBorders>
            <w:shd w:val="clear" w:color="auto" w:fill="BFBFBF"/>
          </w:tcPr>
          <w:p>
            <w:pPr>
              <w:spacing w:after="0"/>
              <w:rPr>
                <w:sz w:val="23"/>
                <w:szCs w:val="23"/>
                <w:color w:val="auto"/>
              </w:rPr>
            </w:pPr>
          </w:p>
        </w:tc>
        <w:tc>
          <w:tcPr>
            <w:tcW w:w="76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8"/>
                <w:szCs w:val="18"/>
                <w:color w:val="auto"/>
                <w:w w:val="99"/>
              </w:rPr>
              <w:t>Delaware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8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w w:val="92"/>
              </w:rPr>
              <w:t>1,333,340</w:t>
            </w:r>
          </w:p>
        </w:tc>
        <w:tc>
          <w:tcPr>
            <w:tcW w:w="7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6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8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42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820" w:type="dxa"/>
            <w:vAlign w:val="bottom"/>
          </w:tcPr>
          <w:p>
            <w:pPr>
              <w:spacing w:after="0"/>
              <w:rPr>
                <w:sz w:val="4"/>
                <w:szCs w:val="4"/>
                <w:color w:val="auto"/>
              </w:rPr>
            </w:pPr>
          </w:p>
        </w:tc>
        <w:tc>
          <w:tcPr>
            <w:tcW w:w="76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09"/>
              <w:spacing w:after="0"/>
              <w:rPr>
                <w:sz w:val="20"/>
                <w:szCs w:val="20"/>
                <w:color w:val="auto"/>
              </w:rPr>
            </w:pPr>
            <w:r>
              <w:rPr>
                <w:rFonts w:ascii="Arial" w:cs="Arial" w:eastAsia="Arial" w:hAnsi="Arial"/>
                <w:sz w:val="18"/>
                <w:szCs w:val="18"/>
                <w:b w:val="1"/>
                <w:bCs w:val="1"/>
                <w:color w:val="auto"/>
              </w:rPr>
              <w:t>WITH</w:t>
            </w: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4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w w:val="92"/>
              </w:rPr>
              <w:t>1,333,340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8"/>
                <w:szCs w:val="18"/>
                <w:color w:val="auto"/>
                <w:w w:val="94"/>
              </w:rPr>
              <w:t>1,333,340</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Arial" w:cs="Arial" w:eastAsia="Arial" w:hAnsi="Arial"/>
                <w:sz w:val="18"/>
                <w:szCs w:val="18"/>
                <w:color w:val="auto"/>
              </w:rPr>
              <w:t>IN</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5"/>
        </w:trPr>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5" w:name="page6"/>
    <w:bookmarkEnd w:id="5"/>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name of the issuer is P10,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principal executive offices are located at 4514 Cole Ave., Suite 1600, Dallas, TX 75205.</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statement is filed by:</w:t>
      </w:r>
    </w:p>
    <w:p>
      <w:pPr>
        <w:spacing w:after="0" w:line="225" w:lineRule="exact"/>
        <w:rPr>
          <w:sz w:val="20"/>
          <w:szCs w:val="20"/>
          <w:color w:val="auto"/>
        </w:rPr>
      </w:pPr>
    </w:p>
    <w:p>
      <w:pPr>
        <w:ind w:left="1360" w:hanging="448"/>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Conversant Opportunity Master Fund LP, a Cayman Islands exempted limited partnership (“</w:t>
      </w:r>
      <w:r>
        <w:rPr>
          <w:rFonts w:ascii="Arial" w:cs="Arial" w:eastAsia="Arial" w:hAnsi="Arial"/>
          <w:sz w:val="18"/>
          <w:szCs w:val="18"/>
          <w:u w:val="single" w:color="auto"/>
          <w:color w:val="auto"/>
        </w:rPr>
        <w:t>Opportunity Master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right="660" w:hanging="448"/>
        <w:spacing w:after="0" w:line="277" w:lineRule="auto"/>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Conversant GP Holdings LLC, a Delaware limited liability company (“</w:t>
      </w:r>
      <w:r>
        <w:rPr>
          <w:rFonts w:ascii="Arial" w:cs="Arial" w:eastAsia="Arial" w:hAnsi="Arial"/>
          <w:sz w:val="18"/>
          <w:szCs w:val="18"/>
          <w:u w:val="single" w:color="auto"/>
          <w:color w:val="auto"/>
        </w:rPr>
        <w:t>Conversant GP</w:t>
      </w:r>
      <w:r>
        <w:rPr>
          <w:rFonts w:ascii="Arial" w:cs="Arial" w:eastAsia="Arial" w:hAnsi="Arial"/>
          <w:sz w:val="18"/>
          <w:szCs w:val="18"/>
          <w:color w:val="auto"/>
        </w:rPr>
        <w:t>”), which serves as the general partner of Opportunity Master;</w:t>
      </w:r>
    </w:p>
    <w:p>
      <w:pPr>
        <w:spacing w:after="0" w:line="170" w:lineRule="exact"/>
        <w:rPr>
          <w:rFonts w:ascii="Arial" w:cs="Arial" w:eastAsia="Arial" w:hAnsi="Arial"/>
          <w:sz w:val="18"/>
          <w:szCs w:val="18"/>
          <w:color w:val="auto"/>
        </w:rPr>
      </w:pPr>
    </w:p>
    <w:p>
      <w:pPr>
        <w:ind w:left="1360" w:right="420" w:hanging="448"/>
        <w:spacing w:after="0" w:line="277" w:lineRule="auto"/>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Conversant Capital LLC, a Delaware limited liability company (“</w:t>
      </w:r>
      <w:r>
        <w:rPr>
          <w:rFonts w:ascii="Arial" w:cs="Arial" w:eastAsia="Arial" w:hAnsi="Arial"/>
          <w:sz w:val="18"/>
          <w:szCs w:val="18"/>
          <w:u w:val="single" w:color="auto"/>
          <w:color w:val="auto"/>
        </w:rPr>
        <w:t>Conversant Capital</w:t>
      </w:r>
      <w:r>
        <w:rPr>
          <w:rFonts w:ascii="Arial" w:cs="Arial" w:eastAsia="Arial" w:hAnsi="Arial"/>
          <w:sz w:val="18"/>
          <w:szCs w:val="18"/>
          <w:color w:val="auto"/>
        </w:rPr>
        <w:t>”), which serves as the investment manager to Opportunity Master; and</w:t>
      </w:r>
    </w:p>
    <w:p>
      <w:pPr>
        <w:spacing w:after="0" w:line="170" w:lineRule="exact"/>
        <w:rPr>
          <w:rFonts w:ascii="Arial" w:cs="Arial" w:eastAsia="Arial" w:hAnsi="Arial"/>
          <w:sz w:val="18"/>
          <w:szCs w:val="18"/>
          <w:color w:val="auto"/>
        </w:rPr>
      </w:pPr>
    </w:p>
    <w:p>
      <w:pPr>
        <w:ind w:left="1360" w:hanging="448"/>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Michael Simanovsky, an individual, who serves as sole managing member of Conversant GP and Conversant Capital.</w:t>
      </w:r>
    </w:p>
    <w:p>
      <w:pPr>
        <w:spacing w:after="0" w:line="252" w:lineRule="exact"/>
        <w:rPr>
          <w:sz w:val="20"/>
          <w:szCs w:val="20"/>
          <w:color w:val="auto"/>
        </w:rPr>
      </w:pPr>
    </w:p>
    <w:p>
      <w:pPr>
        <w:ind w:left="920"/>
        <w:spacing w:after="0" w:line="263" w:lineRule="auto"/>
        <w:rPr>
          <w:sz w:val="20"/>
          <w:szCs w:val="20"/>
          <w:color w:val="auto"/>
        </w:rPr>
      </w:pPr>
      <w:r>
        <w:rPr>
          <w:rFonts w:ascii="Arial" w:cs="Arial" w:eastAsia="Arial" w:hAnsi="Arial"/>
          <w:sz w:val="18"/>
          <w:szCs w:val="18"/>
          <w:color w:val="auto"/>
        </w:rPr>
        <w:t>Opportunity Master, Conversant GP, Conversant Capital, and Mr. Simanovsky are hereinafter sometimes collectively referred to as the “Reporting Persons.” Any disclosures herein with respect to persons other than the Reporting Persons are made on information and belief after making inquiry to the appropriate party.</w:t>
      </w:r>
    </w:p>
    <w:p>
      <w:pPr>
        <w:spacing w:after="0" w:line="184"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The Reporting Persons are filing this statement jointly with respect to the same securities as contemplated by Rule 13d-1(k)(1), not as members of a group.</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principal business address for each of the Reporting Persons is 25 Deforest Ave., Summit, NJ 07901.</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Opportunity Master is organized under the laws of the Cayman Islands. Conversant GP and Conversant Capital are organized under the laws of the State of Delaware. Mr. Simanovsky is a citizen of the United States of America.</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Class A Common Stock, $0.001 par value per share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6" w:name="page7"/>
    <w:bookmarkEnd w:id="6"/>
    <w:p>
      <w:pPr>
        <w:spacing w:after="0"/>
        <w:tabs>
          <w:tab w:leader="none" w:pos="9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No.</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CUSIP number for the Class A Common Stock is 69376K106.</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information in Items 5 through 9 and Item 11 on the cover pages to this Schedule 13G is hereby incorporated by reference.</w:t>
      </w:r>
    </w:p>
    <w:p>
      <w:pPr>
        <w:spacing w:after="0" w:line="225" w:lineRule="exact"/>
        <w:rPr>
          <w:sz w:val="20"/>
          <w:szCs w:val="20"/>
          <w:color w:val="auto"/>
        </w:rPr>
      </w:pPr>
    </w:p>
    <w:p>
      <w:pPr>
        <w:jc w:val="both"/>
        <w:ind w:left="880" w:right="20"/>
        <w:spacing w:after="0" w:line="342" w:lineRule="auto"/>
        <w:rPr>
          <w:sz w:val="20"/>
          <w:szCs w:val="20"/>
          <w:color w:val="auto"/>
        </w:rPr>
      </w:pPr>
      <w:r>
        <w:rPr>
          <w:rFonts w:ascii="Arial" w:cs="Arial" w:eastAsia="Arial" w:hAnsi="Arial"/>
          <w:sz w:val="16"/>
          <w:szCs w:val="16"/>
          <w:color w:val="auto"/>
        </w:rPr>
        <w:t>The percentages used herein are calculated based upon 23,000,000 shares of Class A Common Stock reported to be outstanding on November 22, 2021 in the Quarterly Report on Form 10-Q filed by the Company with the Securities and Exchange Commission on November 22, 2021.</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in Items 2 and 4 is hereby incorporated by reference.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92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7" w:name="page8"/>
    <w:bookmarkEnd w:id="7"/>
    <w:p>
      <w:pPr>
        <w:jc w:val="center"/>
        <w:ind w:right="-7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23, 2021</w:t>
      </w:r>
    </w:p>
    <w:p>
      <w:pPr>
        <w:spacing w:after="0" w:line="23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CONVERSANT OPPORTUNITY MASTER FUND LP</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Conversant GP Holdings LLC</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7343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Simanovsky</w:t>
      </w:r>
    </w:p>
    <w:p>
      <w:pPr>
        <w:spacing w:after="0" w:line="23"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CONVERSANT GP HOLDINGS LLC</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7343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Simanovsky</w:t>
      </w:r>
    </w:p>
    <w:p>
      <w:pPr>
        <w:spacing w:after="0" w:line="23"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CONVERSANT CAPITAL LLC</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7343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Simanovsky</w:t>
      </w:r>
    </w:p>
    <w:p>
      <w:pPr>
        <w:spacing w:after="0" w:line="23"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MICHAEL SIMANOVSKY</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7343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43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814" w:right="109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JOINT FILING AGREEMENT</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PURSUANT TO RULE 13d-1(k)</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The undersigned acknowledge and agree that the foregoing statement on Schedule 13G in respect of the Class A Common Stock of Bridge Investment Group Holdings Inc.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EXECUTED December 23, 2021</w:t>
      </w:r>
    </w:p>
    <w:p>
      <w:pPr>
        <w:spacing w:after="0" w:line="209"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CONVERSANT OPPORTUNITY MASTER FUND LP</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Conversant GP Holdings LLC</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7343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Simanovsky</w:t>
      </w:r>
    </w:p>
    <w:p>
      <w:pPr>
        <w:spacing w:after="0" w:line="23"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CONVERSANT GP HOLDINGS LLC</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7343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Simanovsky</w:t>
      </w:r>
    </w:p>
    <w:p>
      <w:pPr>
        <w:spacing w:after="0" w:line="23"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CONVERSANT CAPITAL LLC</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7343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Simanovsky</w:t>
      </w:r>
    </w:p>
    <w:p>
      <w:pPr>
        <w:spacing w:after="0" w:line="23"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MICHAEL SIMANOVSKY</w:t>
      </w:r>
    </w:p>
    <w:p>
      <w:pPr>
        <w:spacing w:after="0" w:line="22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27343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2021-12-23T15:02:44Z</dcterms:created>
  <dcterms:modified xsi:type="dcterms:W3CDTF">2021-12-23T15:02:44Z</dcterms:modified>
</cp:coreProperties>
</file>