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ACTIVE POWER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00504W100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2005</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00504W100</w:t>
            </w:r>
          </w:p>
        </w:tc>
        <w:tc>
          <w:tcPr>
            <w:tcW w:w="880" w:type="dxa"/>
            <w:vAlign w:val="bottom"/>
          </w:tcPr>
          <w:p>
            <w:pPr>
              <w:ind w:left="580"/>
              <w:spacing w:after="0"/>
              <w:rPr>
                <w:sz w:val="20"/>
                <w:szCs w:val="20"/>
                <w:color w:val="auto"/>
              </w:rPr>
            </w:pPr>
            <w:r>
              <w:rPr>
                <w:rFonts w:ascii="Courier New" w:cs="Courier New" w:eastAsia="Courier New" w:hAnsi="Courier New"/>
                <w:sz w:val="18"/>
                <w:szCs w:val="18"/>
                <w:color w:val="auto"/>
                <w:w w:val="86"/>
              </w:rPr>
              <w:t>13G</w:t>
            </w:r>
          </w:p>
        </w:tc>
      </w:tr>
    </w:tbl>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48,752,000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48,752,000</w:t>
      </w:r>
    </w:p>
    <w:p>
      <w:pPr>
        <w:spacing w:after="0" w:line="11" w:lineRule="exact"/>
        <w:rPr>
          <w:rFonts w:ascii="Courier New" w:cs="Courier New" w:eastAsia="Courier New" w:hAnsi="Courier New"/>
          <w:sz w:val="18"/>
          <w:szCs w:val="18"/>
          <w:color w:val="auto"/>
        </w:rPr>
      </w:pPr>
    </w:p>
    <w:p>
      <w:pPr>
        <w:ind w:right="241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48,752,000(ownership disclaimed pursuant to Section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7.74%</w:t>
      </w:r>
    </w:p>
    <w:p>
      <w:pPr>
        <w:spacing w:after="0" w:line="207" w:lineRule="exact"/>
        <w:rPr>
          <w:sz w:val="20"/>
          <w:szCs w:val="20"/>
          <w:color w:val="auto"/>
        </w:rPr>
      </w:pPr>
    </w:p>
    <w:p>
      <w:pPr>
        <w:ind w:right="7159" w:firstLine="8"/>
        <w:spacing w:after="0" w:line="470"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 BEFORE FILING OUT!</w:t>
      </w:r>
    </w:p>
    <w:p>
      <w:pPr>
        <w:ind w:left="420"/>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8</w:t>
      </w:r>
    </w:p>
    <w:p>
      <w:pPr>
        <w:spacing w:after="0" w:line="207" w:lineRule="exact"/>
        <w:rPr>
          <w:sz w:val="20"/>
          <w:szCs w:val="20"/>
          <w:color w:val="auto"/>
        </w:rPr>
      </w:pPr>
    </w:p>
    <w:p>
      <w:pPr>
        <w:ind w:right="241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jc w:val="both"/>
        <w:ind w:left="640" w:right="7679"/>
        <w:spacing w:after="0" w:line="279" w:lineRule="auto"/>
        <w:tabs>
          <w:tab w:leader="none" w:pos="10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ACTIVE POWER INC.(the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2128 W. Baker lane</w:t>
      </w:r>
    </w:p>
    <w:p>
      <w:pPr>
        <w:ind w:left="860"/>
        <w:spacing w:after="0" w:line="238" w:lineRule="auto"/>
        <w:rPr>
          <w:sz w:val="20"/>
          <w:szCs w:val="20"/>
          <w:color w:val="auto"/>
        </w:rPr>
      </w:pPr>
      <w:r>
        <w:rPr>
          <w:rFonts w:ascii="Courier New" w:cs="Courier New" w:eastAsia="Courier New" w:hAnsi="Courier New"/>
          <w:sz w:val="18"/>
          <w:szCs w:val="18"/>
          <w:color w:val="auto"/>
        </w:rPr>
        <w:t>BK12</w:t>
      </w:r>
    </w:p>
    <w:p>
      <w:pPr>
        <w:ind w:left="8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Merrill Lynch &amp; Co., Inc.</w:t>
      </w:r>
    </w:p>
    <w:p>
      <w:pPr>
        <w:ind w:left="1060"/>
        <w:spacing w:after="0" w:line="237"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rPr>
          <w:sz w:val="20"/>
          <w:szCs w:val="20"/>
          <w:color w:val="auto"/>
        </w:rPr>
      </w:pPr>
      <w:r>
        <w:rPr>
          <w:rFonts w:ascii="Courier New" w:cs="Courier New" w:eastAsia="Courier New" w:hAnsi="Courier New"/>
          <w:sz w:val="18"/>
          <w:szCs w:val="18"/>
          <w:color w:val="auto"/>
        </w:rPr>
        <w:t>World Financial Center, North Tower</w:t>
      </w:r>
    </w:p>
    <w:p>
      <w:pPr>
        <w:spacing w:after="0" w:line="237" w:lineRule="auto"/>
        <w:rPr>
          <w:sz w:val="20"/>
          <w:szCs w:val="20"/>
          <w:color w:val="auto"/>
        </w:rPr>
      </w:pPr>
      <w:r>
        <w:rPr>
          <w:rFonts w:ascii="Courier New" w:cs="Courier New" w:eastAsia="Courier New" w:hAnsi="Courier New"/>
          <w:sz w:val="18"/>
          <w:szCs w:val="18"/>
          <w:color w:val="auto"/>
        </w:rPr>
        <w:t>250 Vesey Street</w:t>
      </w:r>
    </w:p>
    <w:p>
      <w:pPr>
        <w:spacing w:after="0" w:line="238" w:lineRule="auto"/>
        <w:rPr>
          <w:sz w:val="20"/>
          <w:szCs w:val="20"/>
          <w:color w:val="auto"/>
        </w:rPr>
      </w:pPr>
      <w:r>
        <w:rPr>
          <w:rFonts w:ascii="Courier New" w:cs="Courier New" w:eastAsia="Courier New" w:hAnsi="Courier New"/>
          <w:sz w:val="18"/>
          <w:szCs w:val="18"/>
          <w:color w:val="auto"/>
        </w:rPr>
        <w:t>New York, NY 10381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13d-2(c),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in accordance with Rule 13d-1(b) (1) (ii) (E),</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w:t>
      </w:r>
    </w:p>
    <w:p>
      <w:pPr>
        <w:spacing w:after="0" w:line="207" w:lineRule="exact"/>
        <w:rPr>
          <w:sz w:val="20"/>
          <w:szCs w:val="20"/>
          <w:color w:val="auto"/>
        </w:rPr>
      </w:pPr>
    </w:p>
    <w:p>
      <w:pPr>
        <w:ind w:left="860" w:right="315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Rule 13d-1(b) (ii) (G); see Item 7,</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 (1) (ii) (J).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540" w:right="6939" w:hanging="532"/>
        <w:spacing w:after="0" w:line="536"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Pages.</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pages</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pages</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If this statement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is</w:t>
            </w:r>
          </w:p>
        </w:tc>
        <w:tc>
          <w:tcPr>
            <w:tcW w:w="55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being filed to report the fact that as of the date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5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person has ceased to be the beneficial owner of more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than five percent</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class of securities,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check the following: [   ]</w:t>
            </w:r>
          </w:p>
        </w:tc>
      </w:tr>
      <w:tr>
        <w:trPr>
          <w:trHeight w:val="405"/>
        </w:trPr>
        <w:tc>
          <w:tcPr>
            <w:tcW w:w="2580" w:type="dxa"/>
            <w:vAlign w:val="bottom"/>
            <w:gridSpan w:val="3"/>
          </w:tcPr>
          <w:p>
            <w:pPr>
              <w:spacing w:after="0"/>
              <w:rPr>
                <w:sz w:val="20"/>
                <w:szCs w:val="20"/>
                <w:color w:val="auto"/>
              </w:rPr>
            </w:pPr>
            <w:r>
              <w:rPr>
                <w:rFonts w:ascii="Courier New" w:cs="Courier New" w:eastAsia="Courier New" w:hAnsi="Courier New"/>
                <w:sz w:val="18"/>
                <w:szCs w:val="18"/>
                <w:color w:val="auto"/>
                <w:w w:val="98"/>
              </w:rPr>
              <w:t>ITEM 6 Ownership of More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than Five Percent on</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Behalf of Another Person.</w:t>
            </w:r>
          </w:p>
        </w:tc>
      </w:tr>
      <w:tr>
        <w:trPr>
          <w:trHeight w:val="203"/>
        </w:trPr>
        <w:tc>
          <w:tcPr>
            <w:tcW w:w="770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Merrill Lynch &amp;</w:t>
            </w:r>
          </w:p>
        </w:tc>
        <w:tc>
          <w:tcPr>
            <w:tcW w:w="58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Co., Inc. ("ML&amp;Co.") is a parent holding company.</w:t>
            </w: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Merrill Lynch Investment</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Managers ("MLIM") is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 operating division</w:t>
            </w: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ML&amp;Co.'s indirectly owned asset management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Certain of</w:t>
            </w:r>
          </w:p>
        </w:tc>
      </w:tr>
    </w:tbl>
    <w:p>
      <w:pPr>
        <w:sectPr>
          <w:pgSz w:w="11900" w:h="16838" w:orient="portrait"/>
          <w:cols w:equalWidth="0" w:num="1">
            <w:col w:w="10219"/>
          </w:cols>
          <w:pgMar w:left="240" w:top="339"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these subsidiaries hold certain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839" w:firstLine="421"/>
        <w:spacing w:after="0" w:line="273" w:lineRule="auto"/>
        <w:rPr>
          <w:sz w:val="20"/>
          <w:szCs w:val="20"/>
          <w:color w:val="auto"/>
        </w:rPr>
      </w:pPr>
      <w:r>
        <w:rPr>
          <w:rFonts w:ascii="Courier New" w:cs="Courier New" w:eastAsia="Courier New" w:hAnsi="Courier New"/>
          <w:sz w:val="16"/>
          <w:szCs w:val="16"/>
          <w:color w:val="auto"/>
        </w:rPr>
        <w:t>Merrill Lynch &amp; Co., Inc. ("ML&amp;Co.") is a parent holding company. Merrill Lynch Investment Managers ("MLIM") is an operating division of ML&amp;Co. consisting of ML&amp;Co.'s indirectly-owned asset management subsidiaries. The following asset management subsidiaries hold certain shares of the common stock, which is the subject of this 13G filing: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FUND ASSET MANAGEMENT, L.P</w:t>
      </w:r>
    </w:p>
    <w:p>
      <w:pPr>
        <w:spacing w:after="0" w:line="238" w:lineRule="auto"/>
        <w:rPr>
          <w:sz w:val="20"/>
          <w:szCs w:val="20"/>
          <w:color w:val="auto"/>
        </w:rPr>
      </w:pPr>
      <w:r>
        <w:rPr>
          <w:rFonts w:ascii="Courier New" w:cs="Courier New" w:eastAsia="Courier New" w:hAnsi="Courier New"/>
          <w:sz w:val="18"/>
          <w:szCs w:val="18"/>
          <w:color w:val="auto"/>
        </w:rPr>
        <w:t>MERRILL LYNCH INVESTMENT MANAGERS,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(on behalf of Merrill Lynch Investment Managers ("MLIM"))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Jeffrey Hiller</w:t>
      </w:r>
    </w:p>
    <w:p>
      <w:pPr>
        <w:spacing w:after="0" w:line="201"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Jeffrey Hiller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14, 2004, included as Exhibit B to this Schedule 13G filed with the Securities and Exchange Commission by Merrill Lynch &amp; Co, Inc. (on behalf of Merrill Lynch Investment Managers ("MLIM")</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Page 7 of 8</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Merrill Lynch Investment Managers("MLIM")of ML&amp;Co. is comprised of the following legal entities: Merrill Lynch Investment Managers, L.P., ("MLIMLP") doing business as Merrill Lynch Investment Managers; Fund Asset Management, L.P. ("FAM") doing business as Fund Asset Management; Merrill Lynch Investment Managers, LLC ("MLIMLLC"); Merrill Lynch Asset Management U.K. Limited</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("MLAM UK"); Merrill Lynch (Suisse) Investment Management S.A. (MLS); Merrill Lynch Investment Managers International Limited ("MLIMI"); Merrill Lynch Investment Managers Limited; Merrill Lynch Investment Managers (Asia Pacific)Limited; Merrill Lynch Investment Managers (Asia)Limited; Merrill Lynch Investment Managers Limited (Australia); Merrill Lynch Investment Managers (Isle of Man) Limited; Munich London Investment Management Limited; Munich London Investment Management (Jersey)</w:t>
      </w:r>
    </w:p>
    <w:p>
      <w:pPr>
        <w:spacing w:after="0" w:line="1"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Limited; Merrill Lynch Investment Managers Co. Ltd; DSP Merrill Lynch Fund Managers Ltd; Merrill Lynch Global Asset Management Limited; Merrill Lynch Fund Managers Limited; Merrill Lynch Fund Managers (Channel Islands)Limited; Merrill Lynch Investment Managers (Channel Islands)Limited; and Merrill Lynch Pensions Limited. Each of MLIMLP, FAM, MLAM UK, MLS and MLIMI is an investment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adviser registered under Section 203 of the Investment Advisers Act of 1940, which acts as investment adviser to various investment companies registered under Section 8 of the Investment Company Act of 1940. Each other firm constituting part of MLIM is an investment adviser operating under the laws of a jurisdiction other than the United States. The investment advisers that comprise MLIM exercise voting and investment powers over portfolio securities independently from other direct and indirect subsidiaries of ML&amp;Co.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 of 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Merrill Lynch &amp; Co., Inc. (the "Corporation"), a corporation duly organized under the laws of the State of Delaware, with its principal place of business at 4 World Financial Center, New York, New York, 10080, does hereby make, constitute and appoint Andrew J. Donohue, Jeffrey Hiller,</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Alice Pellegrino and Brad Lucido acting severally, each of whose address is Merrill Lynch Investment Managers, L.P., 800 Scudders Mill Road,</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Plainsboro, NJ, 08536,as it true and lawful attorneys-in-fact, for it and in its name, place and stead (i) to execute on behalf of the Corporation and cause to be filed and/or delivered, as required under Section 13(d) of the Securities Exchange Act of 1934 (the "Act") and the regulations thereunder, any number,</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appropriate, of original, copies, or electronic filings of the Securities and Exchange Commission Schedule 13D or Schedule 13G Beneficial Ownership Reports (together with any amendments and joint filing agreements under Rule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asif the undersigned could do if personally present. This Power of Attorney shall remain in effect until revoked, in writing, by the undersigned.</w:t>
      </w:r>
    </w:p>
    <w:p>
      <w:pPr>
        <w:spacing w:after="0" w:line="212"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14th day of September,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/s/ Rosemary T. Berkery</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Name: Rosemary T. Berkery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8</w:t>
      </w:r>
    </w:p>
    <w:sectPr>
      <w:pgSz w:w="11900" w:h="16838" w:orient="portrait"/>
      <w:cols w:equalWidth="0" w:num="1">
        <w:col w:w="10219"/>
      </w:cols>
      <w:pgMar w:left="240" w:top="339" w:right="1440" w:bottom="3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6"/>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upperLetter"/>
      <w:start w:val="24"/>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2019-12-14T18:22:16Z</dcterms:created>
  <dcterms:modified xsi:type="dcterms:W3CDTF">2019-12-14T18:22:16Z</dcterms:modified>
</cp:coreProperties>
</file>