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34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Gehl Jeff Patrick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20" w:type="dxa"/>
            <w:vAlign w:val="bottom"/>
            <w:tcBorders>
              <w:top w:val="single" w:sz="8" w:color="0000EE"/>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10/20/2021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P10,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PX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346"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7"/>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820" w:type="dxa"/>
            <w:vAlign w:val="bottom"/>
          </w:tcPr>
          <w:p>
            <w:pPr>
              <w:ind w:left="120"/>
              <w:spacing w:after="0"/>
              <w:rPr>
                <w:sz w:val="20"/>
                <w:szCs w:val="20"/>
                <w:color w:val="auto"/>
              </w:rPr>
            </w:pPr>
            <w:r>
              <w:rPr>
                <w:rFonts w:ascii="Arial" w:cs="Arial" w:eastAsia="Arial" w:hAnsi="Arial"/>
                <w:sz w:val="20"/>
                <w:szCs w:val="20"/>
                <w:color w:val="0000FF"/>
              </w:rPr>
              <w:t>TX</w:t>
            </w:r>
          </w:p>
        </w:tc>
        <w:tc>
          <w:tcPr>
            <w:tcW w:w="1340" w:type="dxa"/>
            <w:vAlign w:val="bottom"/>
          </w:tcPr>
          <w:p>
            <w:pPr>
              <w:ind w:left="340"/>
              <w:spacing w:after="0"/>
              <w:rPr>
                <w:sz w:val="20"/>
                <w:szCs w:val="20"/>
                <w:color w:val="auto"/>
              </w:rPr>
            </w:pPr>
            <w:r>
              <w:rPr>
                <w:rFonts w:ascii="Arial" w:cs="Arial" w:eastAsia="Arial" w:hAnsi="Arial"/>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2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440" w:type="dxa"/>
            <w:vAlign w:val="bottom"/>
          </w:tcPr>
          <w:p>
            <w:pPr>
              <w:spacing w:after="0"/>
              <w:rPr>
                <w:sz w:val="21"/>
                <w:szCs w:val="21"/>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440" w:type="dxa"/>
            <w:vAlign w:val="bottom"/>
          </w:tcPr>
          <w:p>
            <w:pPr>
              <w:ind w:left="200"/>
              <w:spacing w:after="0" w:line="227" w:lineRule="exact"/>
              <w:rPr>
                <w:sz w:val="20"/>
                <w:szCs w:val="20"/>
                <w:color w:val="auto"/>
              </w:rPr>
            </w:pPr>
            <w:r>
              <w:rPr>
                <w:rFonts w:ascii="Arial" w:cs="Arial" w:eastAsia="Arial" w:hAnsi="Arial"/>
                <w:sz w:val="20"/>
                <w:szCs w:val="20"/>
                <w:color w:val="0000FF"/>
              </w:rPr>
              <w:t>X</w:t>
            </w:r>
          </w:p>
        </w:tc>
        <w:tc>
          <w:tcPr>
            <w:tcW w:w="1020" w:type="dxa"/>
            <w:vAlign w:val="bottom"/>
          </w:tcPr>
          <w:p>
            <w:pPr>
              <w:ind w:left="80"/>
              <w:spacing w:after="0"/>
              <w:rPr>
                <w:sz w:val="20"/>
                <w:szCs w:val="20"/>
                <w:color w:val="auto"/>
              </w:rPr>
            </w:pPr>
            <w:r>
              <w:rPr>
                <w:rFonts w:ascii="Arial" w:cs="Arial" w:eastAsia="Arial" w:hAnsi="Arial"/>
                <w:sz w:val="15"/>
                <w:szCs w:val="15"/>
                <w:color w:val="auto"/>
                <w:w w:val="98"/>
              </w:rPr>
              <w:t>Other (specify</w:t>
            </w:r>
          </w:p>
        </w:tc>
      </w:tr>
      <w:tr>
        <w:trPr>
          <w:trHeight w:val="180"/>
        </w:trPr>
        <w:tc>
          <w:tcPr>
            <w:tcW w:w="24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440" w:type="dxa"/>
            <w:vAlign w:val="bottom"/>
          </w:tcPr>
          <w:p>
            <w:pPr>
              <w:spacing w:after="0"/>
              <w:rPr>
                <w:sz w:val="15"/>
                <w:szCs w:val="15"/>
                <w:color w:val="auto"/>
              </w:rPr>
            </w:pPr>
          </w:p>
        </w:tc>
        <w:tc>
          <w:tcPr>
            <w:tcW w:w="1020" w:type="dxa"/>
            <w:vAlign w:val="bottom"/>
          </w:tcPr>
          <w:p>
            <w:pPr>
              <w:ind w:left="80"/>
              <w:spacing w:after="0"/>
              <w:rPr>
                <w:sz w:val="20"/>
                <w:szCs w:val="20"/>
                <w:color w:val="auto"/>
              </w:rPr>
            </w:pPr>
            <w:r>
              <w:rPr>
                <w:rFonts w:ascii="Arial" w:cs="Arial" w:eastAsia="Arial" w:hAnsi="Arial"/>
                <w:sz w:val="15"/>
                <w:szCs w:val="15"/>
                <w:color w:val="auto"/>
              </w:rPr>
              <w:t>below)</w:t>
            </w:r>
          </w:p>
        </w:tc>
      </w:tr>
    </w:tbl>
    <w:p>
      <w:pPr>
        <w:spacing w:after="0" w:line="22" w:lineRule="exact"/>
        <w:rPr>
          <w:sz w:val="24"/>
          <w:szCs w:val="24"/>
          <w:color w:val="auto"/>
        </w:rPr>
      </w:pPr>
    </w:p>
    <w:p>
      <w:pPr>
        <w:jc w:val="center"/>
        <w:ind w:left="-102"/>
        <w:spacing w:after="0"/>
        <w:rPr>
          <w:sz w:val="20"/>
          <w:szCs w:val="20"/>
          <w:color w:val="auto"/>
        </w:rPr>
      </w:pPr>
      <w:r>
        <w:rPr>
          <w:rFonts w:ascii="Arial" w:cs="Arial" w:eastAsia="Arial" w:hAnsi="Arial"/>
          <w:sz w:val="18"/>
          <w:szCs w:val="18"/>
          <w:color w:val="0000FF"/>
        </w:rPr>
        <w:t xml:space="preserve">Head Marketing &amp; Distribution </w:t>
      </w:r>
      <w:r>
        <w:rPr>
          <w:rFonts w:ascii="Arial" w:cs="Arial" w:eastAsia="Arial" w:hAnsi="Arial"/>
          <w:sz w:val="22"/>
          <w:szCs w:val="22"/>
          <w:color w:val="000000"/>
        </w:rPr>
        <w:t>/</w:t>
      </w:r>
      <w:r>
        <w:rPr>
          <w:rFonts w:ascii="Arial" w:cs="Arial" w:eastAsia="Arial" w:hAnsi="Arial"/>
          <w:sz w:val="18"/>
          <w:szCs w:val="18"/>
          <w:color w:val="0000FF"/>
        </w:rPr>
        <w:t xml:space="preserve"> See</w:t>
      </w:r>
    </w:p>
    <w:p>
      <w:pPr>
        <w:spacing w:after="0" w:line="47" w:lineRule="exact"/>
        <w:rPr>
          <w:sz w:val="24"/>
          <w:szCs w:val="24"/>
          <w:color w:val="auto"/>
        </w:rPr>
      </w:pPr>
    </w:p>
    <w:p>
      <w:pPr>
        <w:jc w:val="center"/>
        <w:ind w:left="-102"/>
        <w:spacing w:after="0"/>
        <w:rPr>
          <w:sz w:val="20"/>
          <w:szCs w:val="20"/>
          <w:color w:val="auto"/>
        </w:rPr>
      </w:pPr>
      <w:r>
        <w:rPr>
          <w:rFonts w:ascii="Arial" w:cs="Arial" w:eastAsia="Arial" w:hAnsi="Arial"/>
          <w:sz w:val="20"/>
          <w:szCs w:val="20"/>
          <w:color w:val="0000FF"/>
        </w:rPr>
        <w:t>Footnote 1</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23" w:space="249"/>
            <w:col w:w="2671"/>
          </w:cols>
          <w:pgMar w:left="480" w:top="236" w:right="479" w:bottom="346" w:gutter="0" w:footer="0" w:header="0"/>
          <w:type w:val="continuous"/>
        </w:sectPr>
      </w:pPr>
    </w:p>
    <w:p>
      <w:pPr>
        <w:spacing w:after="0" w:line="13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 4)</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6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7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6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26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20"/>
                <w:szCs w:val="20"/>
                <w:color w:val="0000FF"/>
              </w:rPr>
              <w:t>By the Jeff P.</w:t>
            </w:r>
          </w:p>
        </w:tc>
        <w:tc>
          <w:tcPr>
            <w:tcW w:w="0" w:type="dxa"/>
            <w:vAlign w:val="bottom"/>
          </w:tcPr>
          <w:p>
            <w:pPr>
              <w:spacing w:after="0"/>
              <w:rPr>
                <w:sz w:val="1"/>
                <w:szCs w:val="1"/>
                <w:color w:val="auto"/>
              </w:rPr>
            </w:pPr>
          </w:p>
        </w:tc>
      </w:tr>
      <w:tr>
        <w:trPr>
          <w:trHeight w:val="120"/>
        </w:trPr>
        <w:tc>
          <w:tcPr>
            <w:tcW w:w="2760" w:type="dxa"/>
            <w:vAlign w:val="bottom"/>
            <w:vMerge w:val="restart"/>
          </w:tcPr>
          <w:p>
            <w:pPr>
              <w:ind w:left="80"/>
              <w:spacing w:after="0" w:line="240" w:lineRule="exact"/>
              <w:rPr>
                <w:sz w:val="20"/>
                <w:szCs w:val="20"/>
                <w:color w:val="auto"/>
              </w:rPr>
            </w:pPr>
            <w:r>
              <w:rPr>
                <w:rFonts w:ascii="Arial" w:cs="Arial" w:eastAsia="Arial" w:hAnsi="Arial"/>
                <w:sz w:val="20"/>
                <w:szCs w:val="20"/>
                <w:color w:val="0000FF"/>
              </w:rPr>
              <w:t>Class B Common Stock</w:t>
            </w:r>
            <w:r>
              <w:rPr>
                <w:rFonts w:ascii="Arial" w:cs="Arial" w:eastAsia="Arial" w:hAnsi="Arial"/>
                <w:sz w:val="25"/>
                <w:szCs w:val="25"/>
                <w:color w:val="008000"/>
                <w:vertAlign w:val="superscript"/>
              </w:rPr>
              <w:t>(1)</w:t>
            </w:r>
          </w:p>
        </w:tc>
        <w:tc>
          <w:tcPr>
            <w:tcW w:w="980" w:type="dxa"/>
            <w:vAlign w:val="bottom"/>
            <w:vMerge w:val="restart"/>
          </w:tcPr>
          <w:p>
            <w:pPr>
              <w:ind w:left="340"/>
              <w:spacing w:after="0"/>
              <w:rPr>
                <w:sz w:val="20"/>
                <w:szCs w:val="20"/>
                <w:color w:val="auto"/>
              </w:rPr>
            </w:pPr>
            <w:r>
              <w:rPr>
                <w:rFonts w:ascii="Arial" w:cs="Arial" w:eastAsia="Arial" w:hAnsi="Arial"/>
                <w:sz w:val="13"/>
                <w:szCs w:val="13"/>
                <w:color w:val="008000"/>
              </w:rPr>
              <w:t>(2)(3)</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(2)(3)</w:t>
            </w:r>
          </w:p>
        </w:tc>
        <w:tc>
          <w:tcPr>
            <w:tcW w:w="1680" w:type="dxa"/>
            <w:vAlign w:val="bottom"/>
            <w:vMerge w:val="continue"/>
          </w:tcPr>
          <w:p>
            <w:pPr>
              <w:spacing w:after="0"/>
              <w:rPr>
                <w:sz w:val="10"/>
                <w:szCs w:val="10"/>
                <w:color w:val="auto"/>
              </w:rPr>
            </w:pPr>
          </w:p>
        </w:tc>
        <w:tc>
          <w:tcPr>
            <w:tcW w:w="1260" w:type="dxa"/>
            <w:vAlign w:val="bottom"/>
            <w:vMerge w:val="restart"/>
          </w:tcPr>
          <w:p>
            <w:pPr>
              <w:ind w:left="120"/>
              <w:spacing w:after="0" w:line="240" w:lineRule="exact"/>
              <w:rPr>
                <w:sz w:val="20"/>
                <w:szCs w:val="20"/>
                <w:color w:val="auto"/>
              </w:rPr>
            </w:pPr>
            <w:r>
              <w:rPr>
                <w:rFonts w:ascii="Arial" w:cs="Arial" w:eastAsia="Arial" w:hAnsi="Arial"/>
                <w:sz w:val="20"/>
                <w:szCs w:val="20"/>
                <w:color w:val="0000FF"/>
                <w:w w:val="86"/>
              </w:rPr>
              <w:t>4,905,274</w:t>
            </w:r>
            <w:r>
              <w:rPr>
                <w:rFonts w:ascii="Arial" w:cs="Arial" w:eastAsia="Arial" w:hAnsi="Arial"/>
                <w:sz w:val="25"/>
                <w:szCs w:val="25"/>
                <w:color w:val="008000"/>
                <w:w w:val="86"/>
                <w:vertAlign w:val="superscript"/>
              </w:rPr>
              <w:t>(2)(3)</w:t>
            </w:r>
          </w:p>
        </w:tc>
        <w:tc>
          <w:tcPr>
            <w:tcW w:w="1000" w:type="dxa"/>
            <w:vAlign w:val="bottom"/>
            <w:vMerge w:val="restart"/>
          </w:tcPr>
          <w:p>
            <w:pPr>
              <w:ind w:left="360"/>
              <w:spacing w:after="0"/>
              <w:rPr>
                <w:sz w:val="20"/>
                <w:szCs w:val="20"/>
                <w:color w:val="auto"/>
              </w:rPr>
            </w:pPr>
            <w:r>
              <w:rPr>
                <w:rFonts w:ascii="Arial" w:cs="Arial" w:eastAsia="Arial" w:hAnsi="Arial"/>
                <w:sz w:val="13"/>
                <w:szCs w:val="13"/>
                <w:color w:val="008000"/>
              </w:rPr>
              <w:t>(2)(3)</w:t>
            </w:r>
          </w:p>
        </w:tc>
        <w:tc>
          <w:tcPr>
            <w:tcW w:w="92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(4)</w:t>
            </w:r>
          </w:p>
        </w:tc>
        <w:tc>
          <w:tcPr>
            <w:tcW w:w="1400" w:type="dxa"/>
            <w:vAlign w:val="bottom"/>
            <w:vMerge w:val="restart"/>
          </w:tcPr>
          <w:p>
            <w:pPr>
              <w:ind w:left="80"/>
              <w:spacing w:after="0"/>
              <w:rPr>
                <w:sz w:val="20"/>
                <w:szCs w:val="20"/>
                <w:color w:val="auto"/>
              </w:rPr>
            </w:pPr>
            <w:r>
              <w:rPr>
                <w:rFonts w:ascii="Arial" w:cs="Arial" w:eastAsia="Arial" w:hAnsi="Arial"/>
                <w:sz w:val="20"/>
                <w:szCs w:val="20"/>
                <w:color w:val="0000FF"/>
              </w:rPr>
              <w:t>Gehl Living</w:t>
            </w:r>
          </w:p>
        </w:tc>
        <w:tc>
          <w:tcPr>
            <w:tcW w:w="0" w:type="dxa"/>
            <w:vAlign w:val="bottom"/>
          </w:tcPr>
          <w:p>
            <w:pPr>
              <w:spacing w:after="0"/>
              <w:rPr>
                <w:sz w:val="1"/>
                <w:szCs w:val="1"/>
                <w:color w:val="auto"/>
              </w:rPr>
            </w:pPr>
          </w:p>
        </w:tc>
      </w:tr>
      <w:tr>
        <w:trPr>
          <w:trHeight w:val="120"/>
        </w:trPr>
        <w:tc>
          <w:tcPr>
            <w:tcW w:w="2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2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0" w:type="dxa"/>
            <w:vAlign w:val="bottom"/>
            <w:vMerge w:val="restart"/>
          </w:tcPr>
          <w:p>
            <w:pPr>
              <w:ind w:left="80"/>
              <w:spacing w:after="0"/>
              <w:rPr>
                <w:sz w:val="20"/>
                <w:szCs w:val="20"/>
                <w:color w:val="auto"/>
              </w:rPr>
            </w:pPr>
            <w:r>
              <w:rPr>
                <w:rFonts w:ascii="Arial" w:cs="Arial" w:eastAsia="Arial" w:hAnsi="Arial"/>
                <w:sz w:val="20"/>
                <w:szCs w:val="20"/>
                <w:color w:val="0000FF"/>
              </w:rPr>
              <w:t>Trust</w:t>
            </w:r>
          </w:p>
        </w:tc>
        <w:tc>
          <w:tcPr>
            <w:tcW w:w="0" w:type="dxa"/>
            <w:vAlign w:val="bottom"/>
          </w:tcPr>
          <w:p>
            <w:pPr>
              <w:spacing w:after="0"/>
              <w:rPr>
                <w:sz w:val="1"/>
                <w:szCs w:val="1"/>
                <w:color w:val="auto"/>
              </w:rPr>
            </w:pPr>
          </w:p>
        </w:tc>
      </w:tr>
      <w:tr>
        <w:trPr>
          <w:trHeight w:val="120"/>
        </w:trPr>
        <w:tc>
          <w:tcPr>
            <w:tcW w:w="27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56"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Form 3 is being filed by Jeff P. Gehl and the Jeff P. Gehl Living Trust (the "Gehl Trust" and together with Mr. Gehl,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 securities are being reported in separate Form 3 filings. The Reporting Persons disclaim beneficial ownership of the securities of the Issuer reported herein, except to the extent of his or its pecuniary interest therein, and the filing of this Form 3 shall not be construed as an admission that the Reporting Persons are the beneficial owners of the securities of the Issuer reported herein.</w:t>
      </w:r>
    </w:p>
    <w:p>
      <w:pPr>
        <w:spacing w:after="0" w:line="26" w:lineRule="exact"/>
        <w:rPr>
          <w:rFonts w:ascii="Arial" w:cs="Arial" w:eastAsia="Arial" w:hAnsi="Arial"/>
          <w:sz w:val="14"/>
          <w:szCs w:val="14"/>
          <w:color w:val="008000"/>
        </w:rPr>
      </w:pPr>
    </w:p>
    <w:p>
      <w:pPr>
        <w:ind w:left="40" w:right="16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Holders of Class B Common Stock may elect to convert such shares on a one-for-one basis into Class A Common Stock at any time. Upon any transfer, Class B Common Stock converts automatically on a one-for-one basis into shares of Class A Common Stock, except in the case of transfers to certain permitted transferees. After a Sunset (as defined below) becomes effective, each share of Class B Common Stock will automatically convert into Class A Common Stock.</w:t>
      </w:r>
    </w:p>
    <w:p>
      <w:pPr>
        <w:spacing w:after="0" w:line="35" w:lineRule="exact"/>
        <w:rPr>
          <w:rFonts w:ascii="Arial" w:cs="Arial" w:eastAsia="Arial" w:hAnsi="Arial"/>
          <w:sz w:val="15"/>
          <w:szCs w:val="15"/>
          <w:color w:val="008000"/>
        </w:rPr>
      </w:pPr>
    </w:p>
    <w:p>
      <w:pPr>
        <w:ind w:left="40" w:right="12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37" w:lineRule="exact"/>
        <w:rPr>
          <w:rFonts w:ascii="Arial" w:cs="Arial" w:eastAsia="Arial" w:hAnsi="Arial"/>
          <w:sz w:val="15"/>
          <w:szCs w:val="15"/>
          <w:color w:val="008000"/>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shares of Class B Common Stock owned directly by the Gehl Trust. As trustee of the Gehl Trust, Mr. Gehl may be deemed to beneficially own the shares of Class B Common Stock owned directly by the Gehl Trust.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Jeff Gehl, individually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89"/>
              </w:rPr>
              <w:t>and as trustee of the Gehl  10/20/2021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3"/>
              </w:rPr>
              <w:t>Trust</w:t>
            </w:r>
          </w:p>
        </w:tc>
        <w:tc>
          <w:tcPr>
            <w:tcW w:w="1580" w:type="dxa"/>
            <w:vAlign w:val="bottom"/>
            <w:tcBorders>
              <w:top w:val="single" w:sz="8" w:color="auto"/>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346"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color w:val="auto"/>
        </w:rPr>
        <w:t>Exhibit 24</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220" w:firstLine="720"/>
        <w:spacing w:after="0" w:line="284" w:lineRule="auto"/>
        <w:rPr>
          <w:sz w:val="20"/>
          <w:szCs w:val="20"/>
          <w:color w:val="auto"/>
        </w:rPr>
      </w:pPr>
      <w:r>
        <w:rPr>
          <w:rFonts w:ascii="Arial" w:cs="Arial" w:eastAsia="Arial" w:hAnsi="Arial"/>
          <w:sz w:val="19"/>
          <w:szCs w:val="19"/>
          <w:color w:val="auto"/>
        </w:rPr>
        <w:t>Know all by these presents, that, for good and valuable consideration, the sufficiency and receipt of which are hereby acknowledged, each of the undersigned hereby constitutes and appoints each of Robert Alpert, C. Clark Webb and Amanda Coussens, and any of their substitutes, signing singly, each undersigned’s true and lawful attorney-in-fact to:</w:t>
      </w:r>
    </w:p>
    <w:p>
      <w:pPr>
        <w:spacing w:after="0" w:line="185" w:lineRule="exact"/>
        <w:rPr>
          <w:sz w:val="20"/>
          <w:szCs w:val="20"/>
          <w:color w:val="auto"/>
        </w:rPr>
      </w:pPr>
    </w:p>
    <w:p>
      <w:pPr>
        <w:ind w:left="720" w:right="80" w:firstLine="721"/>
        <w:spacing w:after="0" w:line="259"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each undersigned (in accordance with Section 16(a) of the Securities Exchange Act of 1934, as amended, and the rules thereunder (the “Exchange Act”)), in such undersigned’s capacity, any and all Forms 3, 4 and/or 5, and any amendments thereto, that are necessary or advisable for such undersigned to file under Section 16(a) (collectively, “Documents”);</w:t>
      </w:r>
    </w:p>
    <w:p>
      <w:pPr>
        <w:spacing w:after="0" w:line="207" w:lineRule="exact"/>
        <w:rPr>
          <w:rFonts w:ascii="Arial" w:cs="Arial" w:eastAsia="Arial" w:hAnsi="Arial"/>
          <w:sz w:val="20"/>
          <w:szCs w:val="20"/>
          <w:color w:val="auto"/>
        </w:rPr>
      </w:pPr>
    </w:p>
    <w:p>
      <w:pPr>
        <w:jc w:val="both"/>
        <w:ind w:left="720" w:right="300" w:firstLine="721"/>
        <w:spacing w:after="0" w:line="264"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such undersigned that may be necessary or desirable to complete and execute any such Documents and timely file such Documents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ind w:left="720" w:right="180" w:firstLine="721"/>
        <w:spacing w:after="0" w:line="257" w:lineRule="auto"/>
        <w:tabs>
          <w:tab w:leader="none" w:pos="2024"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such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68" w:lineRule="auto"/>
        <w:rPr>
          <w:sz w:val="20"/>
          <w:szCs w:val="20"/>
          <w:color w:val="auto"/>
        </w:rPr>
      </w:pPr>
      <w:r>
        <w:rPr>
          <w:rFonts w:ascii="Arial" w:cs="Arial" w:eastAsia="Arial" w:hAnsi="Arial"/>
          <w:sz w:val="19"/>
          <w:szCs w:val="19"/>
          <w:color w:val="auto"/>
        </w:rPr>
        <w:t>Each of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such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Each of the undersigned acknowledges that each attorney-in-fact, in serving in such capacity at the request of such undersigned, is not assuming, nor is such attorney-in-fact’s substitute or substitutes or P10, Inc., a Delaware corporation (the “Company”) assuming, any of such undersigned’s responsibilities to comply with the Exchange Act. Each of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201" w:lineRule="exact"/>
        <w:rPr>
          <w:sz w:val="20"/>
          <w:szCs w:val="20"/>
          <w:color w:val="auto"/>
        </w:rPr>
      </w:pPr>
    </w:p>
    <w:p>
      <w:pPr>
        <w:ind w:right="40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such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caused this Power of Attorney to be executed as of this 20th day of October,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2021.</w:t>
      </w:r>
    </w:p>
    <w:p>
      <w:pPr>
        <w:spacing w:after="0" w:line="234"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/s/ Jeff P. Gehl</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JEFF P. GEHL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-145415</wp:posOffset>
            </wp:positionV>
            <wp:extent cx="32683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683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415925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123" w:right="479" w:bottom="1440" w:gutter="0" w:footer="0" w:header="0"/>
        </w:sectPr>
      </w:pPr>
    </w:p>
    <w:bookmarkStart w:id="2" w:name="page3"/>
    <w:bookmarkEnd w:id="2"/>
    <w:p>
      <w:pPr>
        <w:ind w:left="4740" w:right="20"/>
        <w:spacing w:after="0" w:line="282" w:lineRule="auto"/>
        <w:rPr>
          <w:sz w:val="20"/>
          <w:szCs w:val="20"/>
          <w:color w:val="auto"/>
        </w:rPr>
      </w:pPr>
      <w:r>
        <w:rPr>
          <w:rFonts w:ascii="Arial" w:cs="Arial" w:eastAsia="Arial" w:hAnsi="Arial"/>
          <w:sz w:val="20"/>
          <w:szCs w:val="20"/>
          <w:b w:val="1"/>
          <w:bCs w:val="1"/>
          <w:color w:val="auto"/>
        </w:rPr>
        <w:t>Jeff P. Gehl as Trustee of the Jeff P. Gehl Living Trust dated January 25, 2011</w:t>
      </w:r>
    </w:p>
    <w:p>
      <w:pPr>
        <w:spacing w:after="0" w:line="184" w:lineRule="exact"/>
        <w:rPr>
          <w:sz w:val="20"/>
          <w:szCs w:val="20"/>
          <w:color w:val="auto"/>
        </w:rPr>
      </w:pPr>
    </w:p>
    <w:tbl>
      <w:tblPr>
        <w:tblLayout w:type="fixed"/>
        <w:tblInd w:w="474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Arial" w:cs="Arial" w:eastAsia="Arial" w:hAnsi="Arial"/>
                <w:sz w:val="20"/>
                <w:szCs w:val="20"/>
                <w:color w:val="auto"/>
              </w:rPr>
              <w:t>By:</w:t>
            </w: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Jeff P. Gehl</w:t>
            </w:r>
          </w:p>
        </w:tc>
      </w:tr>
      <w:tr>
        <w:trPr>
          <w:trHeight w:val="219"/>
        </w:trPr>
        <w:tc>
          <w:tcPr>
            <w:tcW w:w="640" w:type="dxa"/>
            <w:vAlign w:val="bottom"/>
          </w:tcPr>
          <w:p>
            <w:pPr>
              <w:spacing w:after="0"/>
              <w:rPr>
                <w:sz w:val="19"/>
                <w:szCs w:val="19"/>
                <w:color w:val="auto"/>
              </w:rPr>
            </w:pPr>
          </w:p>
        </w:tc>
        <w:tc>
          <w:tcPr>
            <w:tcW w:w="780" w:type="dxa"/>
            <w:vAlign w:val="bottom"/>
          </w:tcPr>
          <w:p>
            <w:pPr>
              <w:ind w:left="20"/>
              <w:spacing w:after="0" w:line="219" w:lineRule="exact"/>
              <w:rPr>
                <w:sz w:val="20"/>
                <w:szCs w:val="20"/>
                <w:color w:val="auto"/>
              </w:rPr>
            </w:pPr>
            <w:r>
              <w:rPr>
                <w:rFonts w:ascii="Arial" w:cs="Arial" w:eastAsia="Arial" w:hAnsi="Arial"/>
                <w:sz w:val="20"/>
                <w:szCs w:val="20"/>
                <w:color w:val="auto"/>
              </w:rPr>
              <w:t>Name:</w:t>
            </w:r>
          </w:p>
        </w:tc>
        <w:tc>
          <w:tcPr>
            <w:tcW w:w="3720" w:type="dxa"/>
            <w:vAlign w:val="bottom"/>
          </w:tcPr>
          <w:p>
            <w:pPr>
              <w:ind w:left="220"/>
              <w:spacing w:after="0" w:line="219" w:lineRule="exact"/>
              <w:rPr>
                <w:sz w:val="20"/>
                <w:szCs w:val="20"/>
                <w:color w:val="auto"/>
              </w:rPr>
            </w:pPr>
            <w:r>
              <w:rPr>
                <w:rFonts w:ascii="Arial" w:cs="Arial" w:eastAsia="Arial" w:hAnsi="Arial"/>
                <w:sz w:val="20"/>
                <w:szCs w:val="20"/>
                <w:color w:val="auto"/>
              </w:rPr>
              <w:t>Jeff P. Gehl</w:t>
            </w:r>
          </w:p>
        </w:tc>
      </w:tr>
      <w:tr>
        <w:trPr>
          <w:trHeight w:val="256"/>
        </w:trPr>
        <w:tc>
          <w:tcPr>
            <w:tcW w:w="640" w:type="dxa"/>
            <w:vAlign w:val="bottom"/>
          </w:tcPr>
          <w:p>
            <w:pPr>
              <w:spacing w:after="0"/>
              <w:rPr>
                <w:sz w:val="22"/>
                <w:szCs w:val="22"/>
                <w:color w:val="auto"/>
              </w:rPr>
            </w:pPr>
          </w:p>
        </w:tc>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3720" w:type="dxa"/>
            <w:vAlign w:val="bottom"/>
          </w:tcPr>
          <w:p>
            <w:pPr>
              <w:ind w:left="220"/>
              <w:spacing w:after="0"/>
              <w:rPr>
                <w:sz w:val="20"/>
                <w:szCs w:val="20"/>
                <w:color w:val="auto"/>
              </w:rPr>
            </w:pPr>
            <w:r>
              <w:rPr>
                <w:rFonts w:ascii="Arial" w:cs="Arial" w:eastAsia="Arial" w:hAnsi="Arial"/>
                <w:sz w:val="20"/>
                <w:szCs w:val="20"/>
                <w:color w:val="auto"/>
              </w:rPr>
              <w:t>Trustee</w:t>
            </w:r>
          </w:p>
        </w:tc>
      </w:tr>
    </w:tbl>
    <w:p>
      <w:pPr>
        <w:spacing w:after="0" w:line="1" w:lineRule="exact"/>
        <w:rPr>
          <w:sz w:val="20"/>
          <w:szCs w:val="20"/>
          <w:color w:val="auto"/>
        </w:rPr>
      </w:pPr>
    </w:p>
    <w:sectPr>
      <w:pgSz w:w="11900" w:h="16838" w:orient="portrait"/>
      <w:cols w:equalWidth="0" w:num="1">
        <w:col w:w="9880"/>
      </w:cols>
      <w:pgMar w:left="1440" w:top="63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05527"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2021-10-20T20:24:46Z</dcterms:created>
  <dcterms:modified xsi:type="dcterms:W3CDTF">2021-10-20T20:24:46Z</dcterms:modified>
</cp:coreProperties>
</file>