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50831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5083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Coussens Amanda N.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P10,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4514 COLE AVENUE, SUITE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P10,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 and CCO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3" w:space="720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7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10/23/2024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21,506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37,030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10/23/2024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6,958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11.27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30,072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43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21,506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10/23/2024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00" w:type="dxa"/>
            <w:vAlign w:val="bottom"/>
          </w:tcPr>
          <w:p>
            <w:pPr>
              <w:ind w:left="4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21,506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Each restricted stock unit ("RSU") represents a right to receive one share of the Issuer's Class A Common Stock upon vesting.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On October 23, 2023, the reporting person was granted 21,506 RSUs, all of which vested on the first anniversary of the grant date.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Amanda Coussens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10/24/2024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8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-2931160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88563" TargetMode="External"/><Relationship Id="rId14" Type="http://schemas.openxmlformats.org/officeDocument/2006/relationships/hyperlink" Target="http://www.sec.gov/cgi-bin/browse-edgar?action=getcompany&amp;CIK=00018419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2024-10-25T10:34:22Z</dcterms:created>
  <dcterms:modified xsi:type="dcterms:W3CDTF">2024-10-25T10:34:22Z</dcterms:modified>
</cp:coreProperties>
</file>