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S-3/A</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NO.1)</w:t>
      </w:r>
    </w:p>
    <w:p>
      <w:pPr>
        <w:jc w:val="center"/>
        <w:ind w:right="-119"/>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7"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2880" w:type="dxa"/>
            <w:vAlign w:val="bottom"/>
          </w:tcPr>
          <w:p>
            <w:pPr>
              <w:jc w:val="center"/>
              <w:ind w:right="86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860" w:type="dxa"/>
            <w:vAlign w:val="bottom"/>
          </w:tcPr>
          <w:p>
            <w:pPr>
              <w:jc w:val="center"/>
              <w:ind w:right="84"/>
              <w:spacing w:after="0"/>
              <w:rPr>
                <w:sz w:val="20"/>
                <w:szCs w:val="20"/>
                <w:color w:val="auto"/>
              </w:rPr>
            </w:pPr>
            <w:r>
              <w:rPr>
                <w:rFonts w:ascii="Times New Roman" w:cs="Times New Roman" w:eastAsia="Times New Roman" w:hAnsi="Times New Roman"/>
                <w:sz w:val="17"/>
                <w:szCs w:val="17"/>
                <w:b w:val="1"/>
                <w:bCs w:val="1"/>
                <w:color w:val="auto"/>
                <w:w w:val="99"/>
              </w:rPr>
              <w:t>6282</w:t>
            </w:r>
          </w:p>
        </w:tc>
        <w:tc>
          <w:tcPr>
            <w:tcW w:w="2240" w:type="dxa"/>
            <w:vAlign w:val="bottom"/>
          </w:tcPr>
          <w:p>
            <w:pPr>
              <w:jc w:val="center"/>
              <w:ind w:left="1024"/>
              <w:spacing w:after="0"/>
              <w:rPr>
                <w:sz w:val="20"/>
                <w:szCs w:val="20"/>
                <w:color w:val="auto"/>
              </w:rPr>
            </w:pPr>
            <w:r>
              <w:rPr>
                <w:rFonts w:ascii="Times New Roman" w:cs="Times New Roman" w:eastAsia="Times New Roman" w:hAnsi="Times New Roman"/>
                <w:sz w:val="17"/>
                <w:szCs w:val="17"/>
                <w:b w:val="1"/>
                <w:bCs w:val="1"/>
                <w:color w:val="auto"/>
                <w:w w:val="99"/>
              </w:rPr>
              <w:t>87-2908160</w:t>
            </w:r>
          </w:p>
        </w:tc>
      </w:tr>
      <w:tr>
        <w:trPr>
          <w:trHeight w:val="149"/>
        </w:trPr>
        <w:tc>
          <w:tcPr>
            <w:tcW w:w="2880" w:type="dxa"/>
            <w:vAlign w:val="bottom"/>
          </w:tcPr>
          <w:p>
            <w:pPr>
              <w:jc w:val="center"/>
              <w:ind w:right="86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40" w:type="dxa"/>
            <w:vAlign w:val="bottom"/>
          </w:tcPr>
          <w:p>
            <w:pPr>
              <w:jc w:val="center"/>
              <w:ind w:left="10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80" w:type="dxa"/>
            <w:vAlign w:val="bottom"/>
          </w:tcPr>
          <w:p>
            <w:pPr>
              <w:jc w:val="center"/>
              <w:ind w:right="86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Classification Code No.)</w:t>
            </w:r>
          </w:p>
        </w:tc>
        <w:tc>
          <w:tcPr>
            <w:tcW w:w="2240" w:type="dxa"/>
            <w:vAlign w:val="bottom"/>
          </w:tcPr>
          <w:p>
            <w:pPr>
              <w:jc w:val="center"/>
              <w:ind w:left="102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4514 Cole Avenue, Suite 1600</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Dallas, Texas 75205</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(214) 865-7998</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Robert Alpert</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 Clark Webb</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Co-Chief Executive Officer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P10, Inc.</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4514 Cole Avenue, Suite 1600</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Dallas, Texas 75205</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(214) 865-7998</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i w:val="1"/>
          <w:iCs w:val="1"/>
          <w:color w:val="auto"/>
        </w:rPr>
        <w:t>With copies to:</w:t>
      </w:r>
    </w:p>
    <w:p>
      <w:pPr>
        <w:spacing w:after="0" w:line="1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Adam Finerman, Esq.</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Baker &amp; Hostetler LLP</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45 Rockefeller Plaza</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New York, NY 10111</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Tel: (216) 589-4233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the public: </w:t>
      </w:r>
      <w:r>
        <w:rPr>
          <w:rFonts w:ascii="Times New Roman" w:cs="Times New Roman" w:eastAsia="Times New Roman" w:hAnsi="Times New Roman"/>
          <w:sz w:val="17"/>
          <w:szCs w:val="17"/>
          <w:color w:val="auto"/>
        </w:rPr>
        <w:t>From time to time after the effective date of this Registration Statement.</w:t>
      </w:r>
    </w:p>
    <w:p>
      <w:pPr>
        <w:spacing w:after="0" w:line="104" w:lineRule="exact"/>
        <w:rPr>
          <w:sz w:val="24"/>
          <w:szCs w:val="24"/>
          <w:color w:val="auto"/>
        </w:rPr>
      </w:pPr>
    </w:p>
    <w:p>
      <w:pPr>
        <w:ind w:left="120"/>
        <w:spacing w:after="0" w:line="196"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43" w:lineRule="exact"/>
        <w:rPr>
          <w:sz w:val="24"/>
          <w:szCs w:val="24"/>
          <w:color w:val="auto"/>
        </w:rPr>
      </w:pPr>
    </w:p>
    <w:p>
      <w:pPr>
        <w:ind w:left="120" w:right="240"/>
        <w:spacing w:after="0" w:line="229"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70" w:lineRule="exact"/>
        <w:rPr>
          <w:sz w:val="24"/>
          <w:szCs w:val="24"/>
          <w:color w:val="auto"/>
        </w:rPr>
      </w:pPr>
    </w:p>
    <w:p>
      <w:pPr>
        <w:ind w:left="120" w:right="1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0" w:lineRule="exact"/>
        <w:rPr>
          <w:sz w:val="24"/>
          <w:szCs w:val="24"/>
          <w:color w:val="auto"/>
        </w:rPr>
      </w:pPr>
    </w:p>
    <w:p>
      <w:pPr>
        <w:ind w:left="120" w:right="4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0" w:lineRule="exact"/>
        <w:rPr>
          <w:sz w:val="24"/>
          <w:szCs w:val="24"/>
          <w:color w:val="auto"/>
        </w:rPr>
      </w:pPr>
    </w:p>
    <w:p>
      <w:pPr>
        <w:ind w:left="120" w:right="2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70" w:lineRule="exact"/>
        <w:rPr>
          <w:sz w:val="24"/>
          <w:szCs w:val="24"/>
          <w:color w:val="auto"/>
        </w:rPr>
      </w:pPr>
    </w:p>
    <w:p>
      <w:pPr>
        <w:ind w:left="120" w:right="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70" w:lineRule="exact"/>
        <w:rPr>
          <w:sz w:val="24"/>
          <w:szCs w:val="24"/>
          <w:color w:val="auto"/>
        </w:rPr>
      </w:pPr>
    </w:p>
    <w:p>
      <w:pPr>
        <w:ind w:left="120" w:right="8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00" w:type="dxa"/>
            <w:vAlign w:val="bottom"/>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5380" w:type="dxa"/>
            <w:vAlign w:val="bottom"/>
          </w:tcPr>
          <w:p>
            <w:pPr>
              <w:ind w:left="3340"/>
              <w:spacing w:after="0"/>
              <w:rPr>
                <w:sz w:val="20"/>
                <w:szCs w:val="20"/>
                <w:color w:val="auto"/>
              </w:rPr>
            </w:pPr>
            <w:r>
              <w:rPr>
                <w:rFonts w:ascii="Times New Roman" w:cs="Times New Roman" w:eastAsia="Times New Roman" w:hAnsi="Times New Roman"/>
                <w:sz w:val="17"/>
                <w:szCs w:val="17"/>
                <w:color w:val="auto"/>
              </w:rPr>
              <w:t>Accelerated filer</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43"/>
        </w:trPr>
        <w:tc>
          <w:tcPr>
            <w:tcW w:w="1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00" w:type="dxa"/>
            <w:vAlign w:val="bottom"/>
          </w:tcPr>
          <w:p>
            <w:pPr>
              <w:ind w:left="120"/>
              <w:spacing w:after="0" w:line="171" w:lineRule="exact"/>
              <w:rPr>
                <w:sz w:val="20"/>
                <w:szCs w:val="20"/>
                <w:color w:val="auto"/>
              </w:rPr>
            </w:pPr>
            <w:r>
              <w:rPr>
                <w:rFonts w:ascii="MS PGothic" w:cs="MS PGothic" w:eastAsia="MS PGothic" w:hAnsi="MS PGothic"/>
                <w:sz w:val="17"/>
                <w:szCs w:val="17"/>
                <w:color w:val="auto"/>
              </w:rPr>
              <w:t>☒</w:t>
            </w:r>
          </w:p>
        </w:tc>
        <w:tc>
          <w:tcPr>
            <w:tcW w:w="5380" w:type="dxa"/>
            <w:vAlign w:val="bottom"/>
          </w:tcPr>
          <w:p>
            <w:pPr>
              <w:ind w:left="33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166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380" w:type="dxa"/>
            <w:vAlign w:val="bottom"/>
          </w:tcPr>
          <w:p>
            <w:pPr>
              <w:ind w:left="33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0" w:lineRule="exact"/>
        <w:rPr>
          <w:sz w:val="24"/>
          <w:szCs w:val="24"/>
          <w:color w:val="auto"/>
        </w:rPr>
      </w:pPr>
    </w:p>
    <w:p>
      <w:pPr>
        <w:ind w:left="120" w:right="3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50165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26"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0840"/>
          </w:cols>
          <w:pgMar w:left="440" w:top="118" w:right="6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$300,000,000</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and up to</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22,100,000 Shares of</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Stock by Selling</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6"/>
          <w:szCs w:val="16"/>
          <w:color w:val="auto"/>
        </w:rPr>
        <w:t>This prospectus provides a general description of the Class A common stock, preferred stock, debt securities, warrants, depositary shares, purchase contracts and units that we and any selling securityholders may offer from time to time. We will not receive any proceeds from the sale of our securities by any selling securityholders. Each time any securities are offered pursuant to this prospectus, we, or the selling securityholders, will provide a prospectus supplement and attach it to this prospectus. The prospectus supplement will contain more specific information about the offering and, if applicable, the selling securityholders. The prospectus supplement may also add, update or change information contained in this prospectus. This prospectus may not be used to offer or sell securities without a prospectus supplement describing the method and terms of the offering. We or any selling stockholders may offer and sell these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from the sale of such securities will also be set forth in a prospectus supplement. You should carefully read this prospectus and any accompanying prospectus supplement, together with the documents we incorporate by reference, before you invest in our securities. The aggregate offering price of the securities we sell pursuant to this prospectus will not exceed $300,000,000 and selling stockholders identified in one or more prospectus supplements may offer and sell up to 22,100,000 shares of Class A Common Stock from time to time. In connection with and as consideration for completed acquisitions, the selling stockholders received shares of Class B Common Stock convertible to Class A Common Stock, Restricted Stock Units to be settled in shares of Class B Common Stock and/or membership interests in a subsidiary of the Company that are convertible to shares of Class A Common Stock. See “</w:t>
      </w:r>
      <w:r>
        <w:rPr>
          <w:rFonts w:ascii="Times New Roman" w:cs="Times New Roman" w:eastAsia="Times New Roman" w:hAnsi="Times New Roman"/>
          <w:sz w:val="16"/>
          <w:szCs w:val="16"/>
          <w:i w:val="1"/>
          <w:iCs w:val="1"/>
          <w:color w:val="auto"/>
        </w:rPr>
        <w:t>Selling Securityholders</w:t>
      </w: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left="120" w:right="20" w:firstLine="440"/>
        <w:spacing w:after="0" w:line="275" w:lineRule="auto"/>
        <w:rPr>
          <w:sz w:val="20"/>
          <w:szCs w:val="20"/>
          <w:color w:val="auto"/>
        </w:rPr>
      </w:pPr>
      <w:r>
        <w:rPr>
          <w:rFonts w:ascii="Times New Roman" w:cs="Times New Roman" w:eastAsia="Times New Roman" w:hAnsi="Times New Roman"/>
          <w:sz w:val="16"/>
          <w:szCs w:val="16"/>
          <w:color w:val="auto"/>
        </w:rPr>
        <w:t>Our Class A common stock is listed on the New York Stock Exchange (“NYSE”) under the symbol “PX”. On December 13, 2022, the last reported sales price of our Class A common stock was $10.62. We have two classes of common stock: Class A common stock and Class B common stock. Each share of Class A common stock entitles its holder to one vote per share. None of the other securities that we may offer under this prospectus are currently publicly traded. Each prospectus supplement will indicate whether the securities offered thereby will be listed on any securities exchange.</w:t>
      </w:r>
    </w:p>
    <w:p>
      <w:pPr>
        <w:spacing w:after="0" w:line="62" w:lineRule="exact"/>
        <w:rPr>
          <w:sz w:val="20"/>
          <w:szCs w:val="20"/>
          <w:color w:val="auto"/>
        </w:rPr>
      </w:pPr>
    </w:p>
    <w:p>
      <w:pPr>
        <w:ind w:left="120" w:right="120" w:firstLine="44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See “</w:t>
      </w:r>
      <w:r>
        <w:rPr>
          <w:rFonts w:ascii="Times New Roman" w:cs="Times New Roman" w:eastAsia="Times New Roman" w:hAnsi="Times New Roman"/>
          <w:sz w:val="20"/>
          <w:szCs w:val="20"/>
          <w:b w:val="1"/>
          <w:bCs w:val="1"/>
          <w:i w:val="1"/>
          <w:iCs w:val="1"/>
          <w:u w:val="single" w:color="auto"/>
          <w:color w:val="0000EE"/>
        </w:rPr>
        <w:t>Risk Factors</w:t>
      </w:r>
      <w:r>
        <w:rPr>
          <w:rFonts w:ascii="Times New Roman" w:cs="Times New Roman" w:eastAsia="Times New Roman" w:hAnsi="Times New Roman"/>
          <w:sz w:val="20"/>
          <w:szCs w:val="20"/>
          <w:b w:val="1"/>
          <w:bCs w:val="1"/>
          <w:color w:val="auto"/>
        </w:rPr>
        <w:t>” beginning on page 6 of this prospectus and page 36 of our Annual Report on Form 10-K for the year ended December 31, 2021, incorporated by reference herein as well as the other information contained in or incorporated by reference in this prospectus or in any accompanying prospectus supplement before making a decision to invest in our securities.</w:t>
      </w:r>
    </w:p>
    <w:p>
      <w:pPr>
        <w:spacing w:after="0" w:line="79" w:lineRule="exact"/>
        <w:rPr>
          <w:sz w:val="20"/>
          <w:szCs w:val="20"/>
          <w:color w:val="auto"/>
        </w:rPr>
      </w:pPr>
    </w:p>
    <w:p>
      <w:pPr>
        <w:ind w:left="120" w:right="4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(“SEC”) nor any state securities commission has approved or disapproved of these securities or passed upon the adequacy or accuracy of this prospectus. Any representation to the contrary is a criminal offense.</w:t>
      </w:r>
    </w:p>
    <w:p>
      <w:pPr>
        <w:spacing w:after="0" w:line="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16, 2022.</w:t>
      </w:r>
    </w:p>
    <w:p>
      <w:pPr>
        <w:sectPr>
          <w:pgSz w:w="11900" w:h="16838" w:orient="portrait"/>
          <w:cols w:equalWidth="0" w:num="1">
            <w:col w:w="11120"/>
          </w:cols>
          <w:pgMar w:left="320" w:top="455"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58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440" w:type="dxa"/>
            <w:vAlign w:val="bottom"/>
            <w:gridSpan w:val="2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76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480" w:type="dxa"/>
            <w:vAlign w:val="bottom"/>
            <w:gridSpan w:val="1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4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3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70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788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520" w:type="dxa"/>
            <w:vAlign w:val="bottom"/>
            <w:tcBorders>
              <w:top w:val="single" w:sz="8" w:color="0000EE"/>
            </w:tcBorders>
            <w:gridSpan w:val="10"/>
          </w:tcPr>
          <w:p>
            <w:pPr>
              <w:spacing w:after="0"/>
              <w:rPr>
                <w:sz w:val="17"/>
                <w:szCs w:val="17"/>
                <w:color w:val="auto"/>
              </w:rPr>
            </w:pPr>
          </w:p>
        </w:tc>
        <w:tc>
          <w:tcPr>
            <w:tcW w:w="682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0" w:type="dxa"/>
            <w:vAlign w:val="bottom"/>
          </w:tcPr>
          <w:p>
            <w:pPr>
              <w:spacing w:after="0"/>
              <w:rPr>
                <w:sz w:val="17"/>
                <w:szCs w:val="17"/>
                <w:color w:val="auto"/>
              </w:rPr>
            </w:pPr>
          </w:p>
        </w:tc>
        <w:tc>
          <w:tcPr>
            <w:tcW w:w="99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ANTI-TAKEOVER EFFECTS OF PROVISIONS OF DELAWARE LAW AND OUR AMENDED AND RESTATED CERTIFICATE OF</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AND BYLAWS</w:t>
            </w:r>
          </w:p>
        </w:tc>
        <w:tc>
          <w:tcPr>
            <w:tcW w:w="750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70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LIMITATIONS ON LIABILITY AND INDEMNIFICATION OF OFFICERS AND DIRECTORS</w:t>
            </w:r>
          </w:p>
        </w:tc>
        <w:tc>
          <w:tcPr>
            <w:tcW w:w="32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78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786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832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3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3800" w:type="dxa"/>
            <w:vAlign w:val="bottom"/>
            <w:gridSpan w:val="1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634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we and any selling securityholders may, from time to time, sell any combination of the securities described in this prospectus in one or more offerings. We will not receive any proceeds from the sale by such selling securityholders of the securities offered by them described in this prospectus.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types of securities that we may offer and sell from time to time by this prospectus are:</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secured or unsecured;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entitling the holders to purchase Class A common stock, preferred stock or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contracts;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w:t>
      </w:r>
    </w:p>
    <w:p>
      <w:pPr>
        <w:spacing w:after="0" w:line="225"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We may sell these securities either separately or in units. We may issue debt securities convertible into shares of our Class A common stock or preferred stock. The preferred stock also may be convertible into shares of our Class A common stock or another series of preferred stock. This prospectus provides a general description of the securities that may be offered. In addition, selling securityholders to be named in a supplement to this prospectus may sell our securities from time to time in one or more offerings. Each time we or the selling securityholders sell securities, we or the selling securityholders will provide a supplement to this prospectus that contains specific information about the offering and the specific terms of the securities offered.</w:t>
      </w:r>
    </w:p>
    <w:p>
      <w:pPr>
        <w:spacing w:after="0" w:line="187"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have authorized anyone to provide you with any information or to make any representations other than those contained in this prospectus or any applicable prospectus supplement. Neither we nor the selling securityholders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securityholders will make an offer to sell these securities in any jurisdiction where the offer or sale is not permitted.</w:t>
      </w:r>
    </w:p>
    <w:p>
      <w:pPr>
        <w:spacing w:after="0" w:line="17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information incorporated by reference herein or therein. For general information about the distribution of securities offered, please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below. You should read both this prospectus and any prospectus supplement, together with the additional information described in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before you make any investment decisions regarding the securities. You may obtain the information incorporated by reference into this prospectus without charge by following the instructions under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below.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summarizes certain documents and other information, and we refer you to them for a more complete understanding of what we discuss in this prospectus. All of the summaries are qualified in their entirety by the actual documents. In making an investment decision, you must rely on your own examination of our Company and the terms of the offering and the securities, including the merits and risks involved.</w:t>
      </w:r>
    </w:p>
    <w:p>
      <w:pPr>
        <w:spacing w:after="0" w:line="176"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are not making any representation to any purchasers of the securities regarding the legality of an investment in the securities by such purchasers. You should not consider any information in this prospectus to be legal, business or tax advice. You should consult your own attorney, business advisor or tax advisor for legal, business and tax advice regarding an investment in the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“P10,” “we,” “us,” “our” and similar terms refer to P10,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any prospectus supplement and any related free writing prospectus, including the information incorporated by reference herein and therein, contain or may contain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these forward-looking statements. Any forward-looking statements contained in this prospectus are based upon our historical performance and on our current plans, estimates and expectations. The inclusion of this or any forward-looking information 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or incorporated by reference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factors should not be construed as exhaustive and should be read in conjunction with the other cautionary statements that are included or incorporated by reference in this prospectus or any applicable prospectus supplement.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or future developments, except as otherwise required by law.</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in or incorporated by reference into this prospectus. Because it is a summary, it may not contain all of the information that may be important to you. To understand this offering fully, you should read this entire prospectus and the documents incorporated by reference herein carefully, including the information referenced under the heading “Risk Factors” and in our financial statements, together with any accompanying prospectus supplement.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40" w:firstLine="426"/>
        <w:spacing w:after="0" w:line="254"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192"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w:t>
      </w:r>
    </w:p>
    <w:p>
      <w:pPr>
        <w:spacing w:after="0" w:line="18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2, LLC and RCP Advisors 3, LLC (collectively, “RCP Advisors”) and Bonaccord Capital Partners (“Bonaccord”), LLC, our Private Equity solutions; TrueBridge Capital Partners LLC (“TrueBridge”), our Venture Capital solution; Enhanced Capital Group, LLC (“Enhanced”), our Impact Investing solution; Five Points Capital, Inc. (“Five Points”) and Hark Capital Advisors, LLC (“Hark”), our Private Credit solutions (Five Points also offers certain private equity solutions); and Westech Investment Advisors LLC (“WTI”), our Venture Debt solution.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prospectus, we are pursuing additional acquisitions and are in discussions with certain target companies, however the Company does not currently have any agreements or commitments with respect to any acquisitions.</w:t>
      </w:r>
    </w:p>
    <w:p>
      <w:pPr>
        <w:spacing w:after="0" w:line="190"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Our success and growth have been driven by our long history of strong performance and our position in the private markets ecosystem. We believe our growing scale in the middle and lower-middle markets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61" w:lineRule="auto"/>
        <w:rPr>
          <w:sz w:val="20"/>
          <w:szCs w:val="20"/>
          <w:color w:val="auto"/>
        </w:rPr>
      </w:pPr>
      <w:r>
        <w:rPr>
          <w:rFonts w:ascii="Times New Roman" w:cs="Times New Roman" w:eastAsia="Times New Roman" w:hAnsi="Times New Roman"/>
          <w:sz w:val="18"/>
          <w:szCs w:val="18"/>
          <w:color w:val="auto"/>
        </w:rPr>
        <w:t>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 highly synergistic, and coupled with our vast network of general partners and portfolio companies, drive cross-solution sourcing opportunities.</w:t>
      </w:r>
    </w:p>
    <w:p>
      <w:pPr>
        <w:spacing w:after="0" w:line="180"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September 30, 2022, we had 204 employees, including 91 investment professionals across 8 offices located in 7 states.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P10, Inc. was incorporated in Delaware on January 20, 2021 as a wholly owned subsidiary of P10 Holdings, Inc. P10, Inc. became the sole stockholder of P10 Holdings, Inc. pursuant to a corporate reorganization. Our principal executive office is located at 4514 Cole Avenue, Suite 1600, Dallas, Texas 75205, and our phone number is (214) 865-7998. Our website is www.p10alts.com. Information contained on or accessible through our website is not incorporated by reference into this prospectus and should not be considered a part of this 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or in any applicable prospectus supplement.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last few years and have no plans to pay dividends. Each holder of common stock is entitled to one vote per share. The holders of common stock have no preemptive rights.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and our amended and restated certificate of incorporation, to issue up to 10,000,000 shares of preferred stock in one or more series, to establish from time to time the number of shares to be included in each series, and to fix the designation, powers, preferences and rights of the shares of each series and any of its qualifications, limitations or restrictions,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07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00"/>
        <w:spacing w:after="0" w:line="266" w:lineRule="auto"/>
        <w:rPr>
          <w:sz w:val="20"/>
          <w:szCs w:val="20"/>
          <w:color w:val="auto"/>
        </w:rPr>
      </w:pPr>
      <w:r>
        <w:rPr>
          <w:rFonts w:ascii="Times New Roman" w:cs="Times New Roman" w:eastAsia="Times New Roman" w:hAnsi="Times New Roman"/>
          <w:sz w:val="18"/>
          <w:szCs w:val="18"/>
          <w:color w:val="auto"/>
        </w:rPr>
        <w:t>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We may offer one or more series of senior or subordinated debt. The senior debt securities and the subordinated debt securities are together referred to in this prospectus as the “debt securities.” The debt securities may be issued in one or more series with the same or various maturities at par, at premium or at a discount. Unless otherwise specified in a prospectus supplement, the debt securities will be our direct, unsecured obligations. The subordinated debt securities generally will be entitled to payment only after payment of our senior debt. Senior debt generally includes all debt for money borrowed by us, except debt that is stated in the instrument governing the terms of that debt not to be senior to, or to have the same rank in right of payment as, or to be expressly junior to, the subordinated debt securities. We may issue debt securities that are convertible into shares of our common stock.</w:t>
      </w:r>
    </w:p>
    <w:p>
      <w:pPr>
        <w:spacing w:after="0" w:line="18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the general features of the debt securities to be governed by the form of indenture in this prospectus and the form of indenture has been filed as an exhibit to the registration statement of which this prospectus forms a part. We encourage you to read the indenture.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or debt securities. We may offer warrants independently or together with other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including all future filings we make with the SEC pursuant to Sections 13(a), 13(c), 14 or 15(d) of the Exchange Act, as well as the risk factors and other information contained in or incorporated by reference into any accompanying prospectus supplement before investing in any of our securities. Our financial condition, results of operations or cash flows could be materially adversely affected by any of these risks. The risks and uncertainties described in the documents incorporated by reference herein are not the only risks and uncertainties that you may face.</w:t>
      </w:r>
    </w:p>
    <w:p>
      <w:pPr>
        <w:spacing w:after="0" w:line="187"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about our SEC filings, please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this prospectus, the net proceeds from the sale by us of the securities to which this prospectus relates will be used for general corporate purposes. Net proceeds may be temporarily invested prior to use. When we offer and sell the securities to which this prospectus relates, the prospectus supplement related to such offering will set forth our intended use of the proceeds, if any, received from the sale of such securities. We will not receive any of the proceeds from the sale of securities offered by any selling securityholders.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is qualified in its entirety by reference to our amended and restated certificate of incorporation (“Certificate of Incorporation”) and amended and restated bylaws (“Bylaws”), copies of which have been filed with the SEC and are incorporated by reference as exhibits to the registration statement of which this prospectus forms a part, and by applicable law. The terms of the offering of securities, the initial offering price and the net proceeds to us or any selling stockholders will be contained in the prospectus supplement, and other offering material, relating to such offer.</w:t>
      </w:r>
    </w:p>
    <w:p>
      <w:pPr>
        <w:spacing w:after="0" w:line="183"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As of the date of this prospectus, our authorized capital stock consists of 510,000,000 shares of Class A common stock, par value $0.001 per share, 180,000,000 shares of Class B common stock, par value $0.001 per share, and 10,000,000 shares of preferred stock, par value $0.001 per share. Unless our board of directors determines otherwise, we issue all shares of our Class A common stock and Class B common stock in uncertificated form.</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Our Class A common stock is our publicly traded stock, registered under Section 12 of the Exchange Act and listed on NYSE under the symbol “PX”. Holders of our Class A common stock are entitled to one vote for each share held of record on all matters submitted to a vote of stockholders.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holders of Class A common stock and Class B common stock shall vote together as one class on all matters (including the election of directors) submitted to a vote of the stockholders of the Corporation. Each holder of shares of Class A common stock shall be entitled to one vote for each share of Class A common stock held of record by such holder as of the applicable record date on any matter submitted to a vote of stockholders generally, and until a Sunset (as defined below) has become effective, each holder of shares of Class B common stock shall be entitled to 10 votes for each share of Class B common stock held of record by such holder as of the applicable record date on any matter submitted to a vote of stockholders generally. From and after such time when the Sunset has become effective, each share of Class B common stock shall automatically, without any further action, convert into one (1) fully paid and nonassessable share of Class A common stock in accordance with Section 4.4(b)(iii). The holders of shares of common stock shall not have cumulative voting rights.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Holders of Class A common stock and Class B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dissolution, liquidation or winding up of the Corporation, the holders of any outstanding series of preferred stock, shares of Class A common stock and Class B common stock shall be entitled to receive the assets of the Corporation available for distribution to its stockholders ratably in proportion to the number of shares held by them.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holder of shares of common stock, solely by virtue of such holder’s status as such, shall be entitled to preemptive or subscription rights.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On October 20, 2021, in connection with our initial public offering, the Company undertook certain transactions as part of a corporation reorganization (the “P10 Reorganization”), pursuant to which, among other things, the Company issued an aggregate of 97,155,596 shares of the Company’s Class B common stock, par value $0.001 per share, to all of the then-existing stockholders of P10 Holdings, Inc. (“P10 Holdings”) and certain other investors. Holders of Class B common stock may elect to convert shares of Class B common stock on a one-for-one basis into Class A common stock at any time. After a Sunset (as defined below) becomes effective, each share of Class B common stock will automatically convert into Class A common stock. A “Sunset” is triggered by any of the earlier of the following: (i) the Sunset Holders (as defined in the Amended and Restated Certificate of Incorporation (as defined below))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Amended and Restated Certificate of Incorporation.</w:t>
      </w:r>
    </w:p>
    <w:p>
      <w:pPr>
        <w:spacing w:after="0" w:line="19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A common stock and Class B common stock vote together as a single class on all matters presented to our stockholders for their vote or approval, except as otherwise required in our Certificate of Incorporation or by applicable law.</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Class A and Class B common stock will be entitled to receive pro rata our remaining assets available for distribution, unless otherwise approved by separate votes of the Class A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board of directors is authorized to issue, without further action by the stockholders, up to 10,000,000 shares of preferred stock, par value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$0.001 per share. As of the date of this prospectus, we have no shares of preferred stock issued and outstanding and we have not designated any series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preferred stock. Subject to limitations prescribed by law and the Certificate of Incorporation, shares of preferred stock may be issued from time to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one or more series as the board of directors may from time to time determine by resolution and by causing the filing of a preferred stock designation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issuance of the shares of preferred stock in one or more series, and to establish from time to time the number of shares to be included in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series, and to fix the designations, powers, preferences, and relative, participating, optional or other rights, if any, and the qualifications, limitations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restrictions, if any, of the shares of each such series.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the NYSE Manual, which would apply so long as the Class A common stock remains listed on the NYSE, require stockholder approval of certain issuances equal to or exceeding 20% of the then outstanding voting power or then outstanding number of shares of Class A common stock. These additional shares may be used for a variety of corporate purposes, including future public offerings, to raise additional capital or to facilitate acquisitions.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Class A common stock is listed on the New York Stock Exchange under the symbol “PX.”</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indicate in the supplement to what extent the general terms and provisions described in this prospectus apply to a particular series of debt securities.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or subordinated obligations and, unless otherwise specified in a supplement to this prospectus, the debt securities will be our direct, unsecured obligations and may be issued in one or more series. We may issue debt securities that are convertible into shares of our common stock.</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specified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In addition, any changes to the description below also will be set forth in the applicable prospectus supplement.</w:t>
      </w:r>
    </w:p>
    <w:p>
      <w:pPr>
        <w:spacing w:after="0" w:line="7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and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or premium or interest on the debt securities will be made in one or more currencies or currency units other than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and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assets or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130" w:lineRule="exact"/>
        <w:rPr>
          <w:rFonts w:ascii="Times New Roman" w:cs="Times New Roman" w:eastAsia="Times New Roman" w:hAnsi="Times New Roman"/>
          <w:sz w:val="18"/>
          <w:szCs w:val="18"/>
          <w:color w:val="auto"/>
        </w:rPr>
      </w:pPr>
    </w:p>
    <w:p>
      <w:pPr>
        <w:ind w:left="1080" w:hanging="424"/>
        <w:spacing w:after="0" w:line="289" w:lineRule="auto"/>
        <w:tabs>
          <w:tab w:leader="none" w:pos="10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change or eliminate any provision of the indenture or the debt securities of any series in accordance with the Trust Indenture Act, or to comply with the provisions of DTC, Euroclear or Clearstream or the Trustee with respect to provisions of the indenture or the debt securities of any series relating to transfers or exchanges of the debt securities of such series or beneficial interests in such securities; or</w:t>
      </w:r>
    </w:p>
    <w:p>
      <w:pPr>
        <w:spacing w:after="0" w:line="63"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the indenture, insofar as it relates to the debt securities of any series, to the description of the debt securities of such series in the prospectus supplement relating to the offering of the debt securities of such series.</w:t>
      </w:r>
    </w:p>
    <w:p>
      <w:pPr>
        <w:spacing w:after="0" w:line="162"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or premium and interest on those debt securities and to institute suit for the enforcement of any such payment;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b w:val="1"/>
          <w:bCs w:val="1"/>
          <w:i w:val="1"/>
          <w:iCs w:val="1"/>
          <w:color w:val="auto"/>
        </w:rPr>
        <w:t>Legal Defeasance</w:t>
      </w:r>
    </w:p>
    <w:p>
      <w:pPr>
        <w:spacing w:after="0" w:line="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60"/>
        <w:spacing w:after="0" w:line="258" w:lineRule="auto"/>
        <w:rPr>
          <w:sz w:val="20"/>
          <w:szCs w:val="20"/>
          <w:color w:val="auto"/>
        </w:rPr>
      </w:pPr>
      <w:r>
        <w:rPr>
          <w:rFonts w:ascii="Times New Roman" w:cs="Times New Roman" w:eastAsia="Times New Roman" w:hAnsi="Times New Roman"/>
          <w:sz w:val="18"/>
          <w:szCs w:val="18"/>
          <w:color w:val="auto"/>
        </w:rPr>
        <w:t>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9" w:lineRule="exact"/>
        <w:rPr>
          <w:sz w:val="20"/>
          <w:szCs w:val="20"/>
          <w:color w:val="auto"/>
        </w:rPr>
      </w:pPr>
    </w:p>
    <w:p>
      <w:pPr>
        <w:ind w:left="1080" w:right="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of a share of a particular series of preferred stock, to be described in the applicable prospectus supplement. Unless otherwise provided in the prospectus supplement, each owner of a depositary share will be entitled to all the rights and preferences of the preferred stock represented by the depositary share, in proportion to the applicable fractional interest in a share of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depositary agreement. Holders of depositary receipts agree to be bound by the deposit agreement, which will require holders to take certain actions such as filing proof of residence and paying certain charges.</w:t>
      </w:r>
    </w:p>
    <w:p>
      <w:pPr>
        <w:spacing w:after="0" w:line="14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with our approval, the depositary may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the Company,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deliver fractional shares of preferred stock upon surrender of depositary receipts. Holders of preferred stock so withdrawn may not thereafter deposit those shares under the deposit agreement or receive depositary receipts evidencing depositary shares therefor.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380" w:firstLine="440"/>
        <w:spacing w:after="0" w:line="281" w:lineRule="auto"/>
        <w:rPr>
          <w:sz w:val="20"/>
          <w:szCs w:val="20"/>
          <w:color w:val="auto"/>
        </w:rPr>
      </w:pPr>
      <w:r>
        <w:rPr>
          <w:rFonts w:ascii="Times New Roman" w:cs="Times New Roman" w:eastAsia="Times New Roman" w:hAnsi="Times New Roman"/>
          <w:sz w:val="17"/>
          <w:szCs w:val="17"/>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prospectus supplement will describe the following terms of any warrants:</w:t>
      </w:r>
    </w:p>
    <w:p>
      <w:pPr>
        <w:spacing w:after="0" w:line="13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warrants or debt securities,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18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warrants or debt securities,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warrants or debt securities,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 agreements,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contracts may obligate us to purchase from holders, and obligate holders to sell to us, a specific or varying number of our securities.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37" w:lineRule="exact"/>
        <w:rPr>
          <w:sz w:val="20"/>
          <w:szCs w:val="20"/>
          <w:color w:val="auto"/>
        </w:rPr>
      </w:pPr>
    </w:p>
    <w:p>
      <w:pPr>
        <w:jc w:val="center"/>
        <w:ind w:left="460" w:right="24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DELAWARE LAW AND OUR AMENDED AND RESTATED CERTIFICATE OF INCORPORATION AND BYLAWS</w:t>
      </w:r>
    </w:p>
    <w:p>
      <w:pPr>
        <w:spacing w:after="0" w:line="15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or proxy fight. Such provisions could have the effect of discouraging others from making tender offers for our shares and, as a consequence, they also may inhibit fluctuations in the market price of our Class A common stock that could result from actual or rumored takeover attempts. Such provisions also may have the effect of preventing changes in our management or delaying or preventing a transaction that might benefit you or other minority stockholders.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22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Super Voting Stock</w:t>
      </w:r>
      <w:r>
        <w:rPr>
          <w:rFonts w:ascii="Times New Roman" w:cs="Times New Roman" w:eastAsia="Times New Roman" w:hAnsi="Times New Roman"/>
          <w:sz w:val="18"/>
          <w:szCs w:val="18"/>
          <w:color w:val="auto"/>
        </w:rPr>
        <w:t>. The Class A common stock and Class B common stock vote together on all matters on which stockholders are entitled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set forth in our Certificate of Incorporation or required by applicable law. However, until a Sunset becomes effective, the Class B common stock will have ten votes per share and the Class A common stock will have one vote per share. Consequently, the holders of our Class B common stock will have greater influence over decisions to be made by our stockholders, including the election of directors.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Certificate of Incorporation and Bylaws classify our board of directors into three classes of directors, serving staggered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terms of office. Our board of directors has the exclusive power to fix the number of directors in each class. Upon the expiration of the initial term of office for each class of directors, each director in such class shall be elected for a term of three years and serve until a successor is duly elected and qualified or until his or her earlier death, resignation or removal.</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Vacancies occurring on the board of directors, whether due to death, resignation, removal, retirement, disqualification or for any other reason, and newly created directorships resulting from an increase in the authorized number of directors, shall be filled solely by a majority of the remaining members of the board of directors or by a sole remaining director. As long as our board is classified, the existence of a classified board could delay a successful tender offeror from obtaining majority control of our board of directors, and the prospect of that delay might deter a potential offeror.</w:t>
      </w:r>
    </w:p>
    <w:p>
      <w:pPr>
        <w:spacing w:after="0" w:line="178"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Action by Written Consent; Special Meetings of Stockholders</w:t>
      </w:r>
      <w:r>
        <w:rPr>
          <w:rFonts w:ascii="Times New Roman" w:cs="Times New Roman" w:eastAsia="Times New Roman" w:hAnsi="Times New Roman"/>
          <w:sz w:val="18"/>
          <w:szCs w:val="18"/>
          <w:color w:val="auto"/>
        </w:rPr>
        <w:t>. Our Certificate of Incorporation provides that any action required or permitted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by the stockholders must be effected at a duly called annual or special meeting of stockholders and may not be effected by any consent in writing in lieu of a meeting of such stockholders. In addition, our Certificate of Incorporation and Bylaws provide that special meetings of stockholders may be called only by the board of directors or the chairman of the board of directors.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Election and Removal of Directors</w:t>
      </w:r>
      <w:r>
        <w:rPr>
          <w:rFonts w:ascii="Times New Roman" w:cs="Times New Roman" w:eastAsia="Times New Roman" w:hAnsi="Times New Roman"/>
          <w:sz w:val="18"/>
          <w:szCs w:val="18"/>
          <w:color w:val="auto"/>
        </w:rPr>
        <w:t>. The Delaware General Corporation Law (“DGCL”) provides that stockholders are not entitled to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cumulate votes in the election of directors unless our Certificate of Incorporation provides otherwise. Our Certificate of Incorporation does not expressly provide for cumulative voting. While the board is classified, directors may be removed, but only for cause, with the affirmative vote of the holders of a majority of the voting power of our common stock.</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As described above under the heading “Authorized but Unissued Capital Stock”, the existence of authorized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unissued and unreserved common stock and preferred stock could make more difficult or discourage an attempt to obtain control of us by means of a proxy contest, tender offer, merger or otherwise.</w:t>
      </w:r>
    </w:p>
    <w:p>
      <w:pPr>
        <w:spacing w:after="0" w:line="17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r>
        <w:rPr>
          <w:rFonts w:ascii="Times New Roman" w:cs="Times New Roman" w:eastAsia="Times New Roman" w:hAnsi="Times New Roman"/>
          <w:sz w:val="18"/>
          <w:szCs w:val="18"/>
          <w:color w:val="auto"/>
        </w:rPr>
        <w:t>. In general, Section 203 of the DGCL, an anti-takeover law, prohibits a publicly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w:t>
      </w:r>
    </w:p>
    <w:p>
      <w:pPr>
        <w:spacing w:after="0" w:line="18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elected in our Certificate of Incorporation not to be subject to Section 203. However, our Certificate of Incorporation contains provisions that have the same effect as Section 203,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pacing w:after="0" w:line="17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Advance Notice Provisions</w:t>
      </w:r>
      <w:r>
        <w:rPr>
          <w:rFonts w:ascii="Times New Roman" w:cs="Times New Roman" w:eastAsia="Times New Roman" w:hAnsi="Times New Roman"/>
          <w:sz w:val="18"/>
          <w:szCs w:val="18"/>
          <w:color w:val="auto"/>
        </w:rPr>
        <w:t>. Our Bylaws require stockholders seeking to nominate persons for election as directors at an annual or special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stockholders, or to bring other business before an annual or special meeting (other than a proposal submitted under Rule 14a-8 under the Exchange Act), to provide timely notice in writing. A stockholder’s notice to our corporate secretary must be in proper written form and must set forth certain information, as required under our Bylaws, related to the stockholder giving the notice, the beneficial owner (if any) on whose behalf the nomination is made as well as their control persons and information about the proposal or nominee for election to the board of directors.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Exclusive forum</w:t>
      </w:r>
      <w:r>
        <w:rPr>
          <w:rFonts w:ascii="Times New Roman" w:cs="Times New Roman" w:eastAsia="Times New Roman" w:hAnsi="Times New Roman"/>
          <w:sz w:val="18"/>
          <w:szCs w:val="18"/>
          <w:color w:val="auto"/>
        </w:rPr>
        <w:t>. Our Certificate of Incorporation provides that, unless we select or consent in writing to the selection of another forum, the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Chancery of the State of Delaware (or, if the Court of Chancery does not have jurisdiction, another state court or a federal court located within the State of Delaware) shall be the exclusive forum for any complaints asserting any “internal corporate claims,” which include claims in the right of our company (i) that are based upon a violation of a duty by a current or former director, officer, employee or stockholder in such capacity or (ii) as to which the DGCL confers jurisdiction upon the Court of Chancery. Furthermore, unless we select or consent to the selection of an alternative forum, the federal district courts of the United States of America shall be the exclusive forum for the resolution of any complaint asserting a cause of action arising under the Securities Act. Our exclusive forum provision does not apply to suits brought to enforce any liability or duty created by the Exchange Act, and investors cannot waive compliance with the federal securities laws and the rules and regulations thereunder. Any person or entity purchasing or otherwise acquiring an interest in any shares of our capital stock shall be deemed to have notice of and to have consented to the forum provisions in our Certificate of Incorporation. It is possible that a court could find our exclusive forum provision to be inapplicable or unenforceable.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Bylaws provide indemnification for our directors and officers to the fullest extent permitted by the DGCL. We have entered into indemnification agreements with each of our directors and executive officers that may, in some cases, be broader than the specific indemnification provisions contained under Delaware law. In addition, as permitted by Delaware law, our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recover monetary damages against a director for breach of fiduciary duties as a director, except that a director will be personally liable for:</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distributions to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may be held not to be enforceable for violations of the federal securities laws of the United States.</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payment of dividends on our common stock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 relevant.</w:t>
      </w: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 Up to 22,100,000 shares of Class A Common Stock may be offered and sold pursuant to this prospectus and one or more prospectus supplements by certain selling stockholders. In connection with and as consideration for the following completed acquisitions, the selling stockholders received shares of Class B Common Stock convertible to Class A Common Stock, Restricted Stock Units to be settled in shares of Class B Common Stock and/or membership interests in a subsidiary of the Company that are convertible to shares of Class A Common Stock:</w:t>
      </w:r>
    </w:p>
    <w:p>
      <w:pPr>
        <w:spacing w:after="0" w:line="93" w:lineRule="exact"/>
        <w:rPr>
          <w:sz w:val="20"/>
          <w:szCs w:val="20"/>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RCP Advisors in October 2017 and January 2018;</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Five Points in April 2020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TrueBridge in October 2020;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Enhanced in December 2020;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Hark in September 2021;</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Bonaccord in September 2021;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WTI in October 2022.</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320" w:top="455"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56" w:lineRule="exact"/>
        <w:rPr>
          <w:sz w:val="20"/>
          <w:szCs w:val="20"/>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and/or the selling securityholders, if applicable, may sell the securities in one or more of the following ways (or in any combination) from time to time: [through underwriters or dealers;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 to the extent applicable:</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selling stockholders,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or other options under which underwriters may purchase additional securities from us or any selling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and/or the selling stockholders, if applicable, use underwriters in the sale, the securities will be acquired by the underwriters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public offering price, dealer purchase price, discount, commission or concessions allowed or reallowed or paid to dealers may be changed from time to time.</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and/or the selling stockholders, if applicable, may sell the securities through agents from time to time.</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and/or the selling stockholders, if applicable, may sell the securities to other stockholders of the Company through a rights offering. This prospectus may be used in connection with any offering of our securities through any of these methods or other methods described in the applicable prospectus supplement.</w:t>
      </w:r>
    </w:p>
    <w:p>
      <w:pPr>
        <w:spacing w:after="0" w:line="1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320" w:top="455"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will name any agent involved in the offer or sale of the securities and any commissions we pay to them. Generally, any agent will be acting on a best efforts basis for the period of its appointment.</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and/or the selling securityholders, if applicable,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w:t>
      </w:r>
    </w:p>
    <w:p>
      <w:pPr>
        <w:spacing w:after="0" w:line="180"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or agents, as the case may be, involved in the offering of such securities may engage in transactions that stabilize, maintain or otherwise affect the price of such securities or other securities the prices of which may be used to determine payments on the securities. Specifically, the underwriters or agents, as the case may be, may over-allot in connection with the offering, creating a short position in such securities for their own account. In addition, to cover overallotments or to stabilize the price of the securities or of such other securities, the underwriters or agents, as the case may be, may bid for, and purchase, such securities in the open market. Finally, in any offering of such securities through a syndicate of underwriters, the underwriting syndicate may reclaim selling concessions allotted to an underwriter or a 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73" w:lineRule="exact"/>
        <w:rPr>
          <w:sz w:val="20"/>
          <w:szCs w:val="20"/>
          <w:color w:val="auto"/>
        </w:rPr>
      </w:pPr>
    </w:p>
    <w:p>
      <w:pPr>
        <w:jc w:val="both"/>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w:t>
      </w: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being offered by this prospectus will be passed upon by Baker &amp; Hostetler, LLP.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P10, Inc. as of December 31, 2021 and 2020 and for each of the years in the three-year period ended December 31, 2021 have been incorporated by reference herein in reliance upon the report of KPMG LLP,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and we have filed with the SEC a registration statement on Form S-3 under the Securities Act of 1933, as amended (the “Securities Act”), with respect to the securities offered by this prospectus. This prospectus, which forms part of the registration statement, does not contain all of the information included in the registration statement, including its exhibits and schedules. For further information about us and the securities described in this prospectus, you should refer to the registration statement, its exhibits and schedules and our reports, proxies, information statements and other information filed with the SEC. Our filings are available to the public on the Internet, through a database maintained by the SEC at www.sec.gov. Our filings are also available, free of charge, on our website at www.P10alts.com. We have included our website address for the information of prospective investors and do not intend it to be an active link to our website. Information contained on our website does not constitute a part of this prospectus or any applicable prospectus supplement (or any document incorporated by reference herein or therein).</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about us and our financial condition to you by referring you to other documents filed separately with the SEC. The information incorporated by reference is considered to be a part of this prospectus, except any information that is superseded by information that is included in a document subsequently filed with the SEC.</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and any future filings we make with the SEC under Sections 13(a), 13(c), 14 or 15(d) of the Securities Exchange Act of 1934, as amended (the “Exchange Act”), from the date of this prospectus until the termination of an offering of securities, except that we are not incorporating by reference any information furnished (and not filed) with the SEC, including our Compensation Committee report and performance graph or any information furnished pursuant to Items 2.02 or 7.01 of Form 8-K or related exhibits furnished pursuant to Item 9.01 of Form 8-K:</w:t>
      </w:r>
    </w:p>
    <w:p>
      <w:pPr>
        <w:spacing w:after="0" w:line="8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53">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54">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5">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56">
        <w:r>
          <w:rPr>
            <w:rFonts w:ascii="Times New Roman" w:cs="Times New Roman" w:eastAsia="Times New Roman" w:hAnsi="Times New Roman"/>
            <w:sz w:val="18"/>
            <w:szCs w:val="18"/>
            <w:u w:val="single" w:color="auto"/>
            <w:color w:val="0000EE"/>
          </w:rPr>
          <w:t>March 4, 2022</w:t>
        </w:r>
      </w:hyperlink>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u w:val="single" w:color="auto"/>
            <w:color w:val="0000EE"/>
          </w:rPr>
          <w:t>June 24, 2022</w:t>
        </w:r>
      </w:hyperlink>
      <w:r>
        <w:rPr>
          <w:rFonts w:ascii="Times New Roman" w:cs="Times New Roman" w:eastAsia="Times New Roman" w:hAnsi="Times New Roman"/>
          <w:sz w:val="18"/>
          <w:szCs w:val="18"/>
          <w:color w:val="auto"/>
        </w:rPr>
        <w:t xml:space="preserve">, </w:t>
      </w:r>
      <w:hyperlink r:id="rId58">
        <w:r>
          <w:rPr>
            <w:rFonts w:ascii="Times New Roman" w:cs="Times New Roman" w:eastAsia="Times New Roman" w:hAnsi="Times New Roman"/>
            <w:sz w:val="18"/>
            <w:szCs w:val="18"/>
            <w:u w:val="single" w:color="auto"/>
            <w:color w:val="0000EE"/>
          </w:rPr>
          <w:t>July 12, 2022</w:t>
        </w:r>
      </w:hyperlink>
      <w:r>
        <w:rPr>
          <w:rFonts w:ascii="Times New Roman" w:cs="Times New Roman" w:eastAsia="Times New Roman" w:hAnsi="Times New Roman"/>
          <w:sz w:val="18"/>
          <w:szCs w:val="18"/>
          <w:color w:val="auto"/>
        </w:rPr>
        <w:t xml:space="preserve">, </w:t>
      </w:r>
      <w:hyperlink r:id="rId59">
        <w:r>
          <w:rPr>
            <w:rFonts w:ascii="Times New Roman" w:cs="Times New Roman" w:eastAsia="Times New Roman" w:hAnsi="Times New Roman"/>
            <w:sz w:val="18"/>
            <w:szCs w:val="18"/>
            <w:u w:val="single" w:color="auto"/>
            <w:color w:val="0000EE"/>
          </w:rPr>
          <w:t>August 26, 2022</w:t>
        </w:r>
      </w:hyperlink>
      <w:r>
        <w:rPr>
          <w:rFonts w:ascii="Times New Roman" w:cs="Times New Roman" w:eastAsia="Times New Roman" w:hAnsi="Times New Roman"/>
          <w:sz w:val="18"/>
          <w:szCs w:val="18"/>
          <w:color w:val="auto"/>
        </w:rPr>
        <w:t xml:space="preserve">, and </w:t>
      </w:r>
      <w:hyperlink r:id="rId60">
        <w:r>
          <w:rPr>
            <w:rFonts w:ascii="Times New Roman" w:cs="Times New Roman" w:eastAsia="Times New Roman" w:hAnsi="Times New Roman"/>
            <w:sz w:val="18"/>
            <w:szCs w:val="18"/>
            <w:u w:val="single" w:color="auto"/>
            <w:color w:val="0000EE"/>
          </w:rPr>
          <w:t>October 13,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Statements on Schedule 14A filed on </w:t>
      </w:r>
      <w:hyperlink r:id="rId61">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2">
        <w:r>
          <w:rPr>
            <w:rFonts w:ascii="Times New Roman" w:cs="Times New Roman" w:eastAsia="Times New Roman" w:hAnsi="Times New Roman"/>
            <w:sz w:val="18"/>
            <w:szCs w:val="18"/>
            <w:u w:val="single" w:color="auto"/>
            <w:color w:val="0000EE"/>
          </w:rPr>
          <w:t>November 15,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the Prospectus filed pursuant to Rule </w:t>
      </w:r>
      <w:hyperlink r:id="rId63">
        <w:r>
          <w:rPr>
            <w:rFonts w:ascii="Times New Roman" w:cs="Times New Roman" w:eastAsia="Times New Roman" w:hAnsi="Times New Roman"/>
            <w:sz w:val="18"/>
            <w:szCs w:val="18"/>
            <w:u w:val="single" w:color="auto"/>
            <w:color w:val="0000EE"/>
          </w:rPr>
          <w:t>424(b)(4)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October 22, 2021, including any amendment or report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included in the Registrant’s Registration Statement on </w:t>
      </w:r>
      <w:hyperlink r:id="rId64">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under the Exchange Act filed with the SEC on October 19, 2021, including any amendment or report filed for the purpose of updating such description.</w:t>
      </w:r>
    </w:p>
    <w:p>
      <w:pPr>
        <w:spacing w:after="0" w:line="140"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all or a portion of which is incorporated or deemed to be incorporated by reference herein will be deemed to be modified or superseded to the extent that a statement contained herein or in any other subsequently filed document which also is or is deemed to be incorporated by reference herein modifies or supersedes such statement. Any statement so modified will not be deemed to constitute a part hereof, except as so modified, and any statement so superseded will not be deemed to constitute a part hereof.</w:t>
      </w:r>
    </w:p>
    <w:p>
      <w:pPr>
        <w:spacing w:after="0" w:line="112"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copy of any document incorporated by reference in this prospectus may be obtained at no cost by writing or telephoning us at the following address and telephone number:</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Attention: Amanda Coussens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(214) 865-7998</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a website at www.P10alts.com. Information about us, including our reports filed with the SEC, is available through that site. Such reports are accessible at no charge through our website and are made available as soon as reasonably practicable after such material is filed with or furnished to the SEC. Our website and the information contained on that website, or connected to that website, are not incorporated by reference in this prospectus.</w:t>
      </w:r>
    </w:p>
    <w:p>
      <w:pPr>
        <w:spacing w:after="0" w:line="178"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color w:val="auto"/>
        </w:rPr>
        <w:t>You may read and copy any materials we file with the SEC at the SEC’s website mentioned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The information on the SEC’s website is not incorporated by reference in this prospectus.</w:t>
      </w:r>
    </w:p>
    <w:p>
      <w:pPr>
        <w:spacing w:after="0" w:line="9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320" w:top="455"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200" w:lineRule="exact"/>
        <w:rPr>
          <w:sz w:val="20"/>
          <w:szCs w:val="20"/>
          <w:color w:val="auto"/>
        </w:rPr>
      </w:pPr>
    </w:p>
    <w:p>
      <w:pPr>
        <w:spacing w:after="0" w:line="2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9"/>
          <w:szCs w:val="29"/>
          <w:b w:val="1"/>
          <w:bCs w:val="1"/>
          <w:color w:val="auto"/>
        </w:rPr>
        <w:t>$300,000,000</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Purchase Contracts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and up to</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22,100,000 Shares of</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Class A Common</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Stock by Selling</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722630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680085</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748665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us)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 for:</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his duty of loyalty to us or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General Corporation Law of the State of Delaware;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 or improper distributions to stockholders.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ERISA excise taxes, penalties and amounts paid in settlement by or on behalf of the indemnitee actually and reasonably incurred by such indemnitee in connection therewith.</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The foregoing summaries are subject to the text of the DGCL, the registrant’s amended and restated certificate of incorporation and amended and restated bylaws, and the indemnification agreements referred to above, and are qualified in their entirety by reference thereto.</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5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5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24"/>
                <w:szCs w:val="24"/>
                <w:color w:val="auto"/>
              </w:rPr>
            </w:pPr>
          </w:p>
        </w:tc>
        <w:tc>
          <w:tcPr>
            <w:tcW w:w="95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Amended and Restated Certificate of Incorporation (incorporated by reference to the Company’s Current Report on Form 8-K,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6"/>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with the SEC on October 26, 2021)</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4"/>
                <w:szCs w:val="24"/>
                <w:color w:val="auto"/>
              </w:rPr>
            </w:pPr>
          </w:p>
        </w:tc>
        <w:tc>
          <w:tcPr>
            <w:tcW w:w="9500" w:type="dxa"/>
            <w:vAlign w:val="bottom"/>
            <w:gridSpan w:val="6"/>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Amended and Restated Bylaws (incorporated by reference to the Company’s Current Report on Form 8-K, filed with the SEC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October 26, 2021)</w:t>
              </w:r>
            </w:hyperlink>
          </w:p>
        </w:tc>
        <w:tc>
          <w:tcPr>
            <w:tcW w:w="8000" w:type="dxa"/>
            <w:vAlign w:val="bottom"/>
            <w:tcBorders>
              <w:top w:val="single" w:sz="8" w:color="0000EE"/>
            </w:tcBorders>
            <w:gridSpan w:val="4"/>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4"/>
                <w:szCs w:val="24"/>
                <w:color w:val="auto"/>
              </w:rPr>
            </w:pPr>
          </w:p>
        </w:tc>
        <w:tc>
          <w:tcPr>
            <w:tcW w:w="132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Form of Indenture</w:t>
              </w:r>
            </w:hyperlink>
          </w:p>
        </w:tc>
        <w:tc>
          <w:tcPr>
            <w:tcW w:w="8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Debt Security</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Depositary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Warrant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Subscription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Purchase Contract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Unit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tcPr>
          <w:p>
            <w:pPr>
              <w:spacing w:after="0"/>
              <w:rPr>
                <w:sz w:val="24"/>
                <w:szCs w:val="24"/>
                <w:color w:val="auto"/>
              </w:rPr>
            </w:pP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Unit</w:t>
            </w:r>
          </w:p>
        </w:tc>
        <w:tc>
          <w:tcPr>
            <w:tcW w:w="0" w:type="dxa"/>
            <w:vAlign w:val="bottom"/>
          </w:tcPr>
          <w:p>
            <w:pPr>
              <w:spacing w:after="0"/>
              <w:rPr>
                <w:sz w:val="1"/>
                <w:szCs w:val="1"/>
                <w:color w:val="auto"/>
              </w:rPr>
            </w:pPr>
          </w:p>
        </w:tc>
      </w:tr>
      <w:tr>
        <w:trPr>
          <w:trHeight w:val="283"/>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5.1****</w:t>
            </w:r>
          </w:p>
        </w:tc>
        <w:tc>
          <w:tcPr>
            <w:tcW w:w="95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Baker &amp; Hostetler LLP</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6960" w:type="dxa"/>
            <w:vAlign w:val="bottom"/>
            <w:gridSpan w:val="4"/>
          </w:tcPr>
          <w:p>
            <w:pPr>
              <w:ind w:left="1540"/>
              <w:spacing w:after="0"/>
              <w:rPr>
                <w:sz w:val="20"/>
                <w:szCs w:val="20"/>
                <w:color w:val="auto"/>
              </w:rPr>
            </w:pPr>
            <w:r>
              <w:rPr>
                <w:rFonts w:ascii="Times New Roman" w:cs="Times New Roman" w:eastAsia="Times New Roman" w:hAnsi="Times New Roman"/>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1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23.1****</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Power of Attorney (included on signature page hereto)</w:t>
              </w:r>
            </w:hyperlink>
          </w:p>
        </w:tc>
        <w:tc>
          <w:tcPr>
            <w:tcW w:w="420" w:type="dxa"/>
            <w:vAlign w:val="bottom"/>
            <w:tcBorders>
              <w:top w:val="single" w:sz="8" w:color="0000EE"/>
            </w:tcBorders>
          </w:tcPr>
          <w:p>
            <w:pPr>
              <w:spacing w:after="0"/>
              <w:rPr>
                <w:sz w:val="24"/>
                <w:szCs w:val="24"/>
                <w:color w:val="auto"/>
              </w:rPr>
            </w:pPr>
          </w:p>
        </w:tc>
        <w:tc>
          <w:tcPr>
            <w:tcW w:w="2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25.1***</w:t>
            </w:r>
          </w:p>
        </w:tc>
        <w:tc>
          <w:tcPr>
            <w:tcW w:w="70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Form T-1 Statement of Eligibility of Trustee for Indenture under the Trust Indenture Act of 1939.</w:t>
            </w:r>
          </w:p>
        </w:tc>
        <w:tc>
          <w:tcPr>
            <w:tcW w:w="0" w:type="dxa"/>
            <w:vAlign w:val="bottom"/>
          </w:tcPr>
          <w:p>
            <w:pPr>
              <w:spacing w:after="0"/>
              <w:rPr>
                <w:sz w:val="1"/>
                <w:szCs w:val="1"/>
                <w:color w:val="auto"/>
              </w:rPr>
            </w:pPr>
          </w:p>
        </w:tc>
      </w:tr>
      <w:tr>
        <w:trPr>
          <w:trHeight w:val="283"/>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58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3960" w:hanging="4"/>
        <w:spacing w:after="0" w:line="261" w:lineRule="auto"/>
        <w:tabs>
          <w:tab w:leader="none" w:pos="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current report on Form 8-K of the registrant. ** Previously filed herewith.</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in accordance with the requirements of Section 305(b)(2) of the Trust Indenture Act of 1939 and Rule 5b-3 thereunder.</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35"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080" w:right="20" w:hanging="532"/>
        <w:spacing w:after="0" w:line="255"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87" w:lineRule="exact"/>
        <w:rPr>
          <w:sz w:val="20"/>
          <w:szCs w:val="20"/>
          <w:color w:val="auto"/>
        </w:rPr>
      </w:pPr>
    </w:p>
    <w:p>
      <w:pPr>
        <w:ind w:left="540" w:right="20" w:hanging="424"/>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532"/>
        <w:spacing w:after="0" w:line="261" w:lineRule="auto"/>
        <w:tabs>
          <w:tab w:leader="none" w:pos="1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10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8"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30"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14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December 16, 2022.</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P10,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Robert Alpert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Co-Chief Executive Officer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C. Clark Webb</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200" w:lineRule="exact"/>
        <w:rPr>
          <w:sz w:val="20"/>
          <w:szCs w:val="20"/>
          <w:color w:val="auto"/>
        </w:rPr>
      </w:pPr>
    </w:p>
    <w:p>
      <w:pPr>
        <w:spacing w:after="0" w:line="25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following persons in the capacities indicated have signed this Registration Statement on the 16th day of December, 2022.</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5760" w:type="dxa"/>
            <w:vAlign w:val="bottom"/>
            <w:tcBorders>
              <w:bottom w:val="single" w:sz="8" w:color="auto"/>
            </w:tcBorders>
          </w:tcPr>
          <w:p>
            <w:pPr>
              <w:ind w:left="274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Alpert</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Chairman of the Board of Directors (Principal</w:t>
            </w:r>
          </w:p>
        </w:tc>
      </w:tr>
      <w:tr>
        <w:trPr>
          <w:trHeight w:val="22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Robert Alpert</w:t>
            </w:r>
          </w:p>
        </w:tc>
        <w:tc>
          <w:tcPr>
            <w:tcW w:w="2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27"/>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 Clark Webb</w:t>
            </w:r>
          </w:p>
        </w:tc>
        <w:tc>
          <w:tcPr>
            <w:tcW w:w="22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 (Principal Executive Officer)</w:t>
            </w:r>
          </w:p>
        </w:tc>
      </w:tr>
      <w:tr>
        <w:trPr>
          <w:trHeight w:val="228"/>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220" w:type="dxa"/>
            <w:vAlign w:val="bottom"/>
          </w:tcPr>
          <w:p>
            <w:pPr>
              <w:spacing w:after="0"/>
              <w:rPr>
                <w:sz w:val="19"/>
                <w:szCs w:val="19"/>
                <w:color w:val="auto"/>
              </w:rPr>
            </w:pPr>
          </w:p>
        </w:tc>
        <w:tc>
          <w:tcPr>
            <w:tcW w:w="5760" w:type="dxa"/>
            <w:vAlign w:val="bottom"/>
          </w:tcPr>
          <w:p>
            <w:pPr>
              <w:spacing w:after="0"/>
              <w:rPr>
                <w:sz w:val="19"/>
                <w:szCs w:val="19"/>
                <w:color w:val="auto"/>
              </w:rPr>
            </w:pPr>
          </w:p>
        </w:tc>
      </w:tr>
      <w:tr>
        <w:trPr>
          <w:trHeight w:val="360"/>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800" w:type="dxa"/>
            <w:vAlign w:val="bottom"/>
            <w:gridSpan w:val="2"/>
          </w:tcPr>
          <w:p>
            <w:pPr>
              <w:spacing w:after="0"/>
              <w:rPr>
                <w:sz w:val="17"/>
                <w:szCs w:val="17"/>
                <w:color w:val="auto"/>
              </w:rPr>
            </w:pPr>
          </w:p>
        </w:tc>
        <w:tc>
          <w:tcPr>
            <w:tcW w:w="58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50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Amanda Coussens</w:t>
            </w: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 and Principal Accounting</w:t>
            </w:r>
          </w:p>
        </w:tc>
      </w:tr>
      <w:tr>
        <w:trPr>
          <w:trHeight w:val="228"/>
        </w:trPr>
        <w:tc>
          <w:tcPr>
            <w:tcW w:w="120" w:type="dxa"/>
            <w:vAlign w:val="bottom"/>
          </w:tcPr>
          <w:p>
            <w:pPr>
              <w:spacing w:after="0"/>
              <w:rPr>
                <w:sz w:val="19"/>
                <w:szCs w:val="19"/>
                <w:color w:val="auto"/>
              </w:rPr>
            </w:pPr>
          </w:p>
        </w:tc>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Amanda Coussens</w:t>
            </w: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Officer)</w:t>
            </w:r>
          </w:p>
        </w:tc>
      </w:tr>
      <w:tr>
        <w:trPr>
          <w:trHeight w:val="427"/>
        </w:trPr>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120" w:type="dxa"/>
            <w:vAlign w:val="bottom"/>
          </w:tcPr>
          <w:p>
            <w:pPr>
              <w:spacing w:after="0"/>
              <w:rPr>
                <w:sz w:val="19"/>
                <w:szCs w:val="19"/>
                <w:color w:val="auto"/>
              </w:rPr>
            </w:pPr>
          </w:p>
        </w:tc>
        <w:tc>
          <w:tcPr>
            <w:tcW w:w="5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William F. Souder</w:t>
            </w:r>
          </w:p>
        </w:tc>
        <w:tc>
          <w:tcPr>
            <w:tcW w:w="5820" w:type="dxa"/>
            <w:vAlign w:val="bottom"/>
          </w:tcPr>
          <w:p>
            <w:pPr>
              <w:spacing w:after="0"/>
              <w:rPr>
                <w:sz w:val="19"/>
                <w:szCs w:val="19"/>
                <w:color w:val="auto"/>
              </w:rPr>
            </w:pPr>
          </w:p>
        </w:tc>
      </w:tr>
      <w:tr>
        <w:trPr>
          <w:trHeight w:val="427"/>
        </w:trPr>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120" w:type="dxa"/>
            <w:vAlign w:val="bottom"/>
          </w:tcPr>
          <w:p>
            <w:pPr>
              <w:spacing w:after="0"/>
              <w:rPr>
                <w:sz w:val="19"/>
                <w:szCs w:val="19"/>
                <w:color w:val="auto"/>
              </w:rPr>
            </w:pPr>
          </w:p>
        </w:tc>
        <w:tc>
          <w:tcPr>
            <w:tcW w:w="5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Robert B. Stewart, Jr.</w:t>
            </w:r>
          </w:p>
        </w:tc>
        <w:tc>
          <w:tcPr>
            <w:tcW w:w="5820" w:type="dxa"/>
            <w:vAlign w:val="bottom"/>
          </w:tcPr>
          <w:p>
            <w:pPr>
              <w:spacing w:after="0"/>
              <w:rPr>
                <w:sz w:val="19"/>
                <w:szCs w:val="19"/>
                <w:color w:val="auto"/>
              </w:rPr>
            </w:pPr>
          </w:p>
        </w:tc>
      </w:tr>
      <w:tr>
        <w:trPr>
          <w:trHeight w:val="427"/>
        </w:trPr>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120" w:type="dxa"/>
            <w:vAlign w:val="bottom"/>
          </w:tcPr>
          <w:p>
            <w:pPr>
              <w:spacing w:after="0"/>
              <w:rPr>
                <w:sz w:val="19"/>
                <w:szCs w:val="19"/>
                <w:color w:val="auto"/>
              </w:rPr>
            </w:pPr>
          </w:p>
        </w:tc>
        <w:tc>
          <w:tcPr>
            <w:tcW w:w="5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Travis Barnes</w:t>
            </w:r>
          </w:p>
        </w:tc>
        <w:tc>
          <w:tcPr>
            <w:tcW w:w="5820" w:type="dxa"/>
            <w:vAlign w:val="bottom"/>
          </w:tcPr>
          <w:p>
            <w:pPr>
              <w:spacing w:after="0"/>
              <w:rPr>
                <w:sz w:val="19"/>
                <w:szCs w:val="19"/>
                <w:color w:val="auto"/>
              </w:rPr>
            </w:pPr>
          </w:p>
        </w:tc>
      </w:tr>
      <w:tr>
        <w:trPr>
          <w:trHeight w:val="427"/>
        </w:trPr>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120" w:type="dxa"/>
            <w:vAlign w:val="bottom"/>
          </w:tcPr>
          <w:p>
            <w:pPr>
              <w:spacing w:after="0"/>
              <w:rPr>
                <w:sz w:val="19"/>
                <w:szCs w:val="19"/>
                <w:color w:val="auto"/>
              </w:rPr>
            </w:pPr>
          </w:p>
        </w:tc>
        <w:tc>
          <w:tcPr>
            <w:tcW w:w="5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Edwin Poston</w:t>
            </w:r>
          </w:p>
        </w:tc>
        <w:tc>
          <w:tcPr>
            <w:tcW w:w="5820" w:type="dxa"/>
            <w:vAlign w:val="bottom"/>
          </w:tcPr>
          <w:p>
            <w:pPr>
              <w:spacing w:after="0"/>
              <w:rPr>
                <w:sz w:val="19"/>
                <w:szCs w:val="19"/>
                <w:color w:val="auto"/>
              </w:rPr>
            </w:pPr>
          </w:p>
        </w:tc>
      </w:tr>
      <w:tr>
        <w:trPr>
          <w:trHeight w:val="427"/>
        </w:trPr>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120" w:type="dxa"/>
            <w:vAlign w:val="bottom"/>
          </w:tcPr>
          <w:p>
            <w:pPr>
              <w:spacing w:after="0"/>
              <w:rPr>
                <w:sz w:val="19"/>
                <w:szCs w:val="19"/>
                <w:color w:val="auto"/>
              </w:rPr>
            </w:pPr>
          </w:p>
        </w:tc>
        <w:tc>
          <w:tcPr>
            <w:tcW w:w="5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Scott Gwilliam</w:t>
            </w:r>
          </w:p>
        </w:tc>
        <w:tc>
          <w:tcPr>
            <w:tcW w:w="5820" w:type="dxa"/>
            <w:vAlign w:val="bottom"/>
          </w:tcPr>
          <w:p>
            <w:pPr>
              <w:spacing w:after="0"/>
              <w:rPr>
                <w:sz w:val="19"/>
                <w:szCs w:val="19"/>
                <w:color w:val="auto"/>
              </w:rPr>
            </w:pPr>
          </w:p>
        </w:tc>
      </w:tr>
      <w:tr>
        <w:trPr>
          <w:trHeight w:val="454"/>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By: /s/ Robert Alpert</w:t>
            </w:r>
          </w:p>
        </w:tc>
        <w:tc>
          <w:tcPr>
            <w:tcW w:w="5820" w:type="dxa"/>
            <w:vAlign w:val="bottom"/>
          </w:tcPr>
          <w:p>
            <w:pPr>
              <w:spacing w:after="0"/>
              <w:rPr>
                <w:sz w:val="24"/>
                <w:szCs w:val="24"/>
                <w:color w:val="auto"/>
              </w:rPr>
            </w:pPr>
          </w:p>
        </w:tc>
      </w:tr>
      <w:tr>
        <w:trPr>
          <w:trHeight w:val="205"/>
        </w:trPr>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top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Robert Alpert</w:t>
            </w:r>
          </w:p>
        </w:tc>
        <w:tc>
          <w:tcPr>
            <w:tcW w:w="640" w:type="dxa"/>
            <w:vAlign w:val="bottom"/>
          </w:tcPr>
          <w:p>
            <w:pPr>
              <w:spacing w:after="0"/>
              <w:rPr>
                <w:sz w:val="17"/>
                <w:szCs w:val="17"/>
                <w:color w:val="auto"/>
              </w:rPr>
            </w:pPr>
          </w:p>
        </w:tc>
        <w:tc>
          <w:tcPr>
            <w:tcW w:w="5820" w:type="dxa"/>
            <w:vAlign w:val="bottom"/>
          </w:tcPr>
          <w:p>
            <w:pPr>
              <w:spacing w:after="0"/>
              <w:rPr>
                <w:sz w:val="17"/>
                <w:szCs w:val="17"/>
                <w:color w:val="auto"/>
              </w:rPr>
            </w:pPr>
          </w:p>
        </w:tc>
      </w:tr>
      <w:tr>
        <w:trPr>
          <w:trHeight w:val="234"/>
        </w:trPr>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Attorney-in-Fact</w:t>
            </w:r>
          </w:p>
        </w:tc>
        <w:tc>
          <w:tcPr>
            <w:tcW w:w="5820" w:type="dxa"/>
            <w:vAlign w:val="bottom"/>
          </w:tcPr>
          <w:p>
            <w:pPr>
              <w:spacing w:after="0"/>
              <w:rPr>
                <w:sz w:val="20"/>
                <w:szCs w:val="20"/>
                <w:color w:val="auto"/>
              </w:rPr>
            </w:pPr>
          </w:p>
        </w:tc>
      </w:tr>
      <w:tr>
        <w:trPr>
          <w:trHeight w:val="364"/>
        </w:trPr>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II-7</w:t>
            </w:r>
          </w:p>
        </w:tc>
      </w:tr>
    </w:tbl>
    <w:p>
      <w:pPr>
        <w:sectPr>
          <w:pgSz w:w="11900" w:h="16838" w:orient="portrait"/>
          <w:cols w:equalWidth="0" w:num="1">
            <w:col w:w="10980"/>
          </w:cols>
          <w:pgMar w:left="320" w:top="446" w:right="599" w:bottom="1440" w:gutter="0" w:footer="0" w:header="0"/>
        </w:sectPr>
      </w:pPr>
    </w:p>
    <w:bookmarkStart w:id="41" w:name="page42"/>
    <w:bookmarkEnd w:id="41"/>
    <w:p>
      <w:pPr>
        <w:ind w:left="10220"/>
        <w:spacing w:after="0"/>
        <w:rPr>
          <w:sz w:val="20"/>
          <w:szCs w:val="20"/>
          <w:color w:val="auto"/>
        </w:rPr>
      </w:pPr>
      <w:r>
        <w:rPr>
          <w:rFonts w:ascii="Times New Roman" w:cs="Times New Roman" w:eastAsia="Times New Roman" w:hAnsi="Times New Roman"/>
          <w:sz w:val="17"/>
          <w:szCs w:val="17"/>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1791335" cy="2400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1791335" cy="240030"/>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573405</wp:posOffset>
            </wp:positionV>
            <wp:extent cx="1208405" cy="8312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1208405" cy="8312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4514 Cole Ave., Suite 1600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We have acted as counsel to P10, Inc., a Delaware corporation (the “Company”), in connection with the filing of the Company’s Registration Statement on Form S-3 (the “Registration Statement”) with the Securities and Exchange Commission (the “Commission”) under the Securities Act of 1933, as amended (the “Act”).</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Registration Statement relates to the proposed issuance and sale by the Company, from time to time, pursuant to Rule 415 under the Act, as set forth in the Registration Statement, the prospectus contained therein (the “Prospectus”) and the supplements to the Prospectus referred to therein (each a “Prospectus Supplement”), of up to an aggregate offering price of $300,000,000 or the equivalent thereof, of shares of the Company’s Class A common stock, $0.001 par value per share (the “Common Stock”), shares of the Company’s preferred stock, $0.001 par value per share (the “Preferred Stock”), the Company’s debt securities (the “Debt Securities”), depositary shares (the “Depositary Shares”) of the Company representing a fractional interest in a share of Preferred Stock of the Company, warrants to purchase any of the securities described above (the “Warrants”), subscription rights to purchase the Company’s Common Stock, Preferred Stock, Warrants or Debt Securities or units consisting of some or all of these securities (the “Subscription Rights”), purchase contracts of the Company with respect to the securities of the Company or securities of an unaffiliated entity (the “Purchase Contracts”), and units consisting of any of the securities described above in any combination (the “Units” and together with the Common Stock, the Preferred Stock, the Debt Securities, the Depositary Shares, the Warrants, the Subscription Rights, and the Purchase Contracts are collectively referred to herein as the “Securities”) and up to 22,100,000 shares of Class A common stock by certain selling stockholders.</w:t>
      </w:r>
    </w:p>
    <w:p>
      <w:pPr>
        <w:spacing w:after="0" w:line="192"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The Securities are to be sold from time to time as set forth in the Registration Statement, the Prospectus contained therein and the Prospectus Supplements. The Debt Securities are to be issued pursuant to a debt securities indenture (the “Indenture”), the form of which has been filed as an exhibit to the Registration Statement and is to be entered into between the Company and a trustee to be named in a Prospectus Supplement to the Registration Statement (the “Trustee”). The Securities are to be sold pursuant to a purchase, underwriting, subscription or similar agreement in substantially the form to be filed under a Current Report on Form 8-K. The Debt Securities are to be issued in the forms set forth in the Indenture. The Indenture may be supplemented, as applicable, in connection with the issuance of each such series of Debt Securities, by a supplemental indenture or other appropriate action of the Company creating such series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148590</wp:posOffset>
            </wp:positionV>
            <wp:extent cx="4671695"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4671695" cy="22288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type w:val="continuous"/>
        </w:sectPr>
      </w:pPr>
    </w:p>
    <w:bookmarkStart w:id="42" w:name="page43"/>
    <w:bookmarkEnd w:id="4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and remain effective under the Act at the time of issuance and sale of the Securities; (v) that a Prospectus Supplement will have been filed with the Commission describing the Securities offered thereby; (vi) that the Securities will be issued and sold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with respect to shares of Common Stock or Preferred Stock offered, that there will be sufficient shares of Common Stock or Preferred Stock authorized under the Company’s organizational documents that are not otherwise reserved for issuance; and (x)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such examination, we are of the opinion that:</w:t>
      </w:r>
    </w:p>
    <w:p>
      <w:pPr>
        <w:spacing w:after="0" w:line="117" w:lineRule="exact"/>
        <w:rPr>
          <w:sz w:val="20"/>
          <w:szCs w:val="20"/>
          <w:color w:val="auto"/>
        </w:rPr>
      </w:pPr>
    </w:p>
    <w:p>
      <w:pPr>
        <w:ind w:right="20" w:firstLine="436"/>
        <w:spacing w:after="0" w:line="254"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shares of the Common Stock to be sold by the Company, when: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the shares of Common Stock have been delivered either (i) in accordance with the applicable definitive purchase, underwriting, subscription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83" w:lineRule="exact"/>
        <w:rPr>
          <w:rFonts w:ascii="Times New Roman" w:cs="Times New Roman" w:eastAsia="Times New Roman" w:hAnsi="Times New Roman"/>
          <w:sz w:val="18"/>
          <w:szCs w:val="18"/>
          <w:color w:val="auto"/>
        </w:rPr>
      </w:pPr>
    </w:p>
    <w:p>
      <w:pPr>
        <w:ind w:right="60" w:firstLine="436"/>
        <w:spacing w:after="0" w:line="256"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particular series of shares of Preferred Stock, when: (a) the Board has taken all necessary corporate action to approve the issuance and terms of the shares of Preferred Stock, the terms of the offering thereof, and related matters, including the adoption of a certificate of designation relating to such Preferred Stock conforming to the General Corporation Law of the State of Delaware (a “Certificate”) and the filing of the Certificate with the Secretary of State of the State of Delaware; and (b) the shares of Preferred Stock have been delivered either (i) in accordance with the applicable definitive purchase, underwriting, subscription or similar agreement approved by the Board, or upon the exercise of Warrants to purchase Preferred Stock,</w:t>
      </w:r>
    </w:p>
    <w:p>
      <w:pPr>
        <w:sectPr>
          <w:pgSz w:w="11900" w:h="16838" w:orient="portrait"/>
          <w:cols w:equalWidth="0" w:num="1">
            <w:col w:w="10980"/>
          </w:cols>
          <w:pgMar w:left="440" w:top="270" w:right="479" w:bottom="1440" w:gutter="0" w:footer="0" w:header="0"/>
        </w:sectPr>
      </w:pPr>
    </w:p>
    <w:bookmarkStart w:id="43" w:name="page44"/>
    <w:bookmarkEnd w:id="43"/>
    <w:p>
      <w:pPr>
        <w:ind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payment of the consideration therefor (not less than the par value of the Preferred Stock) provided for therein or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68" w:lineRule="exact"/>
        <w:rPr>
          <w:sz w:val="20"/>
          <w:szCs w:val="20"/>
          <w:color w:val="auto"/>
        </w:rPr>
      </w:pPr>
    </w:p>
    <w:p>
      <w:pPr>
        <w:ind w:right="40" w:firstLine="436"/>
        <w:spacing w:after="0" w:line="254"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to be issued under the Indenture, when: (a) the Trustee is qualified to act as Trustee under the Indenture, and the Company has filed respective Forms T-1 for the Trustee with the Commission; (b) the Trustee has duly executed and delivered the Indenture; (c) the Indenture has been duly authorized and validly executed and delivered by the Company to the Trustee; (d) the Indenture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Indenture and the applicable definitive purchase, underwriting, subscription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Indenture;</w:t>
      </w:r>
    </w:p>
    <w:p>
      <w:pPr>
        <w:spacing w:after="0" w:line="80" w:lineRule="exact"/>
        <w:rPr>
          <w:rFonts w:ascii="Times New Roman" w:cs="Times New Roman" w:eastAsia="Times New Roman" w:hAnsi="Times New Roman"/>
          <w:sz w:val="18"/>
          <w:szCs w:val="18"/>
          <w:color w:val="auto"/>
        </w:rPr>
      </w:pPr>
    </w:p>
    <w:p>
      <w:pPr>
        <w:ind w:right="100" w:firstLine="436"/>
        <w:spacing w:after="0" w:line="253"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“Depositary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subscription or similar agreement approved by the Board upon payment of the consideration therefor provided for therein, the Depositary Shares will be validly issued, fully paid and nonassessable, and entitled to the rights specified in the Deposit Agreement;</w:t>
      </w:r>
    </w:p>
    <w:p>
      <w:pPr>
        <w:spacing w:after="0" w:line="86"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when: (a) the Board has taken all necessary corporate action to approve the issuance and terms of the Warrants and related matters; and (b) the Warrants have been duly executed and delivered against payment therefor, pursuant to the applicable definitive purchase, underwriting, subscription, warrant or similar agreement duly authorized, executed and delivered by the Company and a warrant agent, as applicable,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w:t>
      </w:r>
    </w:p>
    <w:p>
      <w:pPr>
        <w:sectPr>
          <w:pgSz w:w="11900" w:h="16838" w:orient="portrait"/>
          <w:cols w:equalWidth="0" w:num="1">
            <w:col w:w="11000"/>
          </w:cols>
          <w:pgMar w:left="440" w:top="270" w:right="459" w:bottom="1440" w:gutter="0" w:footer="0" w:header="0"/>
        </w:sectPr>
      </w:pPr>
    </w:p>
    <w:bookmarkStart w:id="44" w:name="page45"/>
    <w:bookmarkEnd w:id="44"/>
    <w:p>
      <w:pPr>
        <w:ind w:right="40" w:firstLine="436"/>
        <w:spacing w:after="0" w:line="261"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Subscription Rights, when: (a) the Board has taken all necessary corporate action to authorize the issuance and terms of the Subscription Rights, the terms of the offering thereof, and related matters and (b) the rights agreement under which the Subscription Rights are to be issued has been duly authorized and validly executed and delivered by the Company, then the Subscription Rights will be valid and binding obligations of the Company, enforceable against the Company in accordance with their terms;</w:t>
      </w:r>
    </w:p>
    <w:p>
      <w:pPr>
        <w:spacing w:after="0" w:line="71" w:lineRule="exact"/>
        <w:rPr>
          <w:rFonts w:ascii="Times New Roman" w:cs="Times New Roman" w:eastAsia="Times New Roman" w:hAnsi="Times New Roman"/>
          <w:sz w:val="18"/>
          <w:szCs w:val="18"/>
          <w:color w:val="auto"/>
        </w:rPr>
      </w:pPr>
    </w:p>
    <w:p>
      <w:pPr>
        <w:ind w:right="20" w:firstLine="436"/>
        <w:spacing w:after="0" w:line="25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Units, when both: (a) the Board has taken all necessary corporate action to approve the issuance and terms of the Units (including any Securities underlying the Units) and related matters; and (b) the Units (including any Securities underlying the Units) have been duly executed and delivered against payment therefor, pursuant to the applicable definitive purchase, underwriting, or similar agreement duly authorized, executed and delivered by the Company and any applicable unit or other agents, and the certificates for the Units (including any Securities underlying the Units) have been duly executed and delivered by the Company and any applicable unit or other agents, then the Units will be validly issued and will constitute valid and binding obligations of the Company, enforceable against the Company in accordance with their terms.</w:t>
      </w:r>
    </w:p>
    <w:p>
      <w:pPr>
        <w:spacing w:after="0" w:line="79"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that may be sold by the selling stockholders upon conversion of shares of Class B common stock and conversion of membership interests in P10 Intermediate Holdings, LLC and upon settlement of outstanding restricted stock units have been authorized for issuance and, when issued, will be validly issued and nonassessable.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opinion that any document is legal, valid and binding is qualified as to: (a) limitations imposed by bankruptcy, insolvency, reorganization, arrangement, fraudulent conveyance, moratorium or other laws relating to or affecting the rights of creditors generally; (b) rights to indemnification and contribution, which may be limited by applicable law or equitable principles; and (c)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8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express no opinion as to the laws of any other jurisdiction, other than the federal laws of the United States of America, the State of New York as to the enforceability of the Debt Securities and the General Corporation Law of the State of Delaware.</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letter as Exhibit 5.1 to the Registration Statement. In giving such consent, we do not hereby admit that we are in the category of persons whose consent is required under Section 7 of the Act or the rules and regulations of the Commission.</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Baker &amp; Hostetler, LLP</w:t>
      </w:r>
    </w:p>
    <w:p>
      <w:pPr>
        <w:sectPr>
          <w:pgSz w:w="11900" w:h="16838" w:orient="portrait"/>
          <w:cols w:equalWidth="0" w:num="1">
            <w:col w:w="10940"/>
          </w:cols>
          <w:pgMar w:left="440" w:top="270" w:right="5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18, 2022, with respect to the consolidated financial statements of P10, Inc., incorporated herein by reference and to the reference to our firm under the heading “Experts” in the prospectus.</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ectPr>
          <w:pgSz w:w="11900" w:h="16838" w:orient="portrait"/>
          <w:cols w:equalWidth="0" w:num="1">
            <w:col w:w="11020"/>
          </w:cols>
          <w:pgMar w:left="440" w:top="117" w:right="4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32"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06" w:lineRule="exact"/>
        <w:rPr>
          <w:sz w:val="20"/>
          <w:szCs w:val="20"/>
          <w:color w:val="auto"/>
        </w:rPr>
      </w:pPr>
    </w:p>
    <w:p>
      <w:pPr>
        <w:ind w:left="5064"/>
        <w:spacing w:after="0"/>
        <w:rPr>
          <w:sz w:val="20"/>
          <w:szCs w:val="20"/>
          <w:color w:val="auto"/>
        </w:rPr>
      </w:pPr>
      <w:r>
        <w:rPr>
          <w:rFonts w:ascii="Times New Roman" w:cs="Times New Roman" w:eastAsia="Times New Roman" w:hAnsi="Times New Roman"/>
          <w:sz w:val="22"/>
          <w:szCs w:val="22"/>
          <w:b w:val="1"/>
          <w:bCs w:val="1"/>
          <w:u w:val="single" w:color="auto"/>
          <w:color w:val="auto"/>
        </w:rPr>
        <w:t>Form S-3</w:t>
      </w:r>
    </w:p>
    <w:p>
      <w:pPr>
        <w:spacing w:after="0" w:line="1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2"/>
          <w:szCs w:val="22"/>
          <w:color w:val="auto"/>
        </w:rPr>
        <w:t>(Form Type)</w:t>
      </w:r>
    </w:p>
    <w:p>
      <w:pPr>
        <w:spacing w:after="0" w:line="178" w:lineRule="exact"/>
        <w:rPr>
          <w:sz w:val="20"/>
          <w:szCs w:val="20"/>
          <w:color w:val="auto"/>
        </w:rPr>
      </w:pPr>
    </w:p>
    <w:p>
      <w:pPr>
        <w:ind w:left="5104"/>
        <w:spacing w:after="0"/>
        <w:rPr>
          <w:sz w:val="20"/>
          <w:szCs w:val="20"/>
          <w:color w:val="auto"/>
        </w:rPr>
      </w:pPr>
      <w:r>
        <w:rPr>
          <w:rFonts w:ascii="Times New Roman" w:cs="Times New Roman" w:eastAsia="Times New Roman" w:hAnsi="Times New Roman"/>
          <w:sz w:val="22"/>
          <w:szCs w:val="22"/>
          <w:b w:val="1"/>
          <w:bCs w:val="1"/>
          <w:u w:val="single" w:color="auto"/>
          <w:color w:val="auto"/>
        </w:rPr>
        <w:t>P10, Inc.</w:t>
      </w:r>
    </w:p>
    <w:p>
      <w:pPr>
        <w:spacing w:after="0" w:line="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234" w:type="dxa"/>
        <w:tblCellMar>
          <w:top w:w="0" w:type="dxa"/>
          <w:left w:w="0" w:type="dxa"/>
          <w:bottom w:w="0" w:type="dxa"/>
          <w:right w:w="0" w:type="dxa"/>
        </w:tblCellMar>
      </w:tblPr>
      <w:tr>
        <w:trPr>
          <w:trHeight w:val="144"/>
        </w:trPr>
        <w:tc>
          <w:tcPr>
            <w:tcW w:w="1060" w:type="dxa"/>
            <w:vAlign w:val="bottom"/>
            <w:tcBorders>
              <w:top w:val="single" w:sz="8" w:color="auto"/>
              <w:left w:val="single" w:sz="8" w:color="auto"/>
              <w:right w:val="single" w:sz="8" w:color="auto"/>
            </w:tcBorders>
          </w:tcPr>
          <w:p>
            <w:pPr>
              <w:spacing w:after="0"/>
              <w:rPr>
                <w:sz w:val="12"/>
                <w:szCs w:val="12"/>
                <w:color w:val="auto"/>
              </w:rPr>
            </w:pPr>
          </w:p>
        </w:tc>
        <w:tc>
          <w:tcPr>
            <w:tcW w:w="38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520" w:type="dxa"/>
            <w:vAlign w:val="bottom"/>
            <w:tcBorders>
              <w:top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3"/>
                <w:szCs w:val="13"/>
                <w:color w:val="auto"/>
              </w:rPr>
              <w:t>Proposed Maximum</w:t>
            </w:r>
          </w:p>
        </w:tc>
        <w:tc>
          <w:tcPr>
            <w:tcW w:w="8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60" w:type="dxa"/>
            <w:vAlign w:val="bottom"/>
            <w:tcBorders>
              <w:left w:val="single" w:sz="8" w:color="auto"/>
              <w:right w:val="single" w:sz="8" w:color="auto"/>
            </w:tcBorders>
          </w:tcPr>
          <w:p>
            <w:pPr>
              <w:spacing w:after="0"/>
              <w:rPr>
                <w:sz w:val="10"/>
                <w:szCs w:val="10"/>
                <w:color w:val="auto"/>
              </w:rPr>
            </w:pPr>
          </w:p>
        </w:tc>
        <w:tc>
          <w:tcPr>
            <w:tcW w:w="380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Fee</w:t>
            </w:r>
          </w:p>
        </w:tc>
        <w:tc>
          <w:tcPr>
            <w:tcW w:w="8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Maximum</w:t>
            </w:r>
          </w:p>
        </w:tc>
        <w:tc>
          <w:tcPr>
            <w:tcW w:w="1520" w:type="dxa"/>
            <w:vAlign w:val="bottom"/>
            <w:tcBorders>
              <w:right w:val="single" w:sz="8" w:color="auto"/>
            </w:tcBorders>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1060" w:type="dxa"/>
            <w:vAlign w:val="bottom"/>
            <w:tcBorders>
              <w:left w:val="single" w:sz="8" w:color="auto"/>
              <w:right w:val="single" w:sz="8" w:color="auto"/>
            </w:tcBorders>
          </w:tcPr>
          <w:p>
            <w:pPr>
              <w:spacing w:after="0"/>
              <w:rPr>
                <w:sz w:val="11"/>
                <w:szCs w:val="11"/>
                <w:color w:val="auto"/>
              </w:rPr>
            </w:pPr>
          </w:p>
        </w:tc>
        <w:tc>
          <w:tcPr>
            <w:tcW w:w="3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Title of Securities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Amount to be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 Price</w:t>
            </w:r>
          </w:p>
        </w:tc>
        <w:tc>
          <w:tcPr>
            <w:tcW w:w="1520" w:type="dxa"/>
            <w:vAlign w:val="bottom"/>
            <w:tcBorders>
              <w:right w:val="single" w:sz="8" w:color="auto"/>
            </w:tcBorders>
          </w:tcPr>
          <w:p>
            <w:pPr>
              <w:ind w:left="280"/>
              <w:spacing w:after="0" w:line="135" w:lineRule="exact"/>
              <w:rPr>
                <w:sz w:val="20"/>
                <w:szCs w:val="20"/>
                <w:color w:val="auto"/>
              </w:rPr>
            </w:pPr>
            <w:r>
              <w:rPr>
                <w:rFonts w:ascii="Times New Roman" w:cs="Times New Roman" w:eastAsia="Times New Roman" w:hAnsi="Times New Roman"/>
                <w:sz w:val="13"/>
                <w:szCs w:val="13"/>
                <w:color w:val="auto"/>
              </w:rPr>
              <w:t>Aggregate Offering</w:t>
            </w:r>
          </w:p>
        </w:tc>
        <w:tc>
          <w:tcPr>
            <w:tcW w:w="840" w:type="dxa"/>
            <w:vAlign w:val="bottom"/>
            <w:tcBorders>
              <w:right w:val="single" w:sz="8" w:color="auto"/>
            </w:tcBorders>
          </w:tcPr>
          <w:p>
            <w:pPr>
              <w:ind w:left="340"/>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3"/>
                <w:szCs w:val="13"/>
                <w:color w:val="auto"/>
                <w:w w:val="95"/>
              </w:rPr>
              <w:t>Security Type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to be Registered</w:t>
            </w:r>
          </w:p>
        </w:tc>
        <w:tc>
          <w:tcPr>
            <w:tcW w:w="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rPr>
              <w:t>Rule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(4)</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Per Share</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3"/>
                <w:szCs w:val="13"/>
                <w:color w:val="auto"/>
              </w:rPr>
              <w:t>Price</w:t>
            </w:r>
          </w:p>
        </w:tc>
        <w:tc>
          <w:tcPr>
            <w:tcW w:w="84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rPr>
              <w:t>Rate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11"/>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Equity (1)</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457(c)</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22,100,000</w:t>
            </w: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$10.305 (7)</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$227,740,500 (7)</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0.0001102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$25,097</w:t>
            </w:r>
          </w:p>
        </w:tc>
        <w:tc>
          <w:tcPr>
            <w:tcW w:w="0" w:type="dxa"/>
            <w:vAlign w:val="bottom"/>
          </w:tcPr>
          <w:p>
            <w:pPr>
              <w:spacing w:after="0"/>
              <w:rPr>
                <w:sz w:val="1"/>
                <w:szCs w:val="1"/>
                <w:color w:val="auto"/>
              </w:rPr>
            </w:pPr>
          </w:p>
        </w:tc>
      </w:tr>
      <w:tr>
        <w:trPr>
          <w:trHeight w:val="191"/>
        </w:trPr>
        <w:tc>
          <w:tcPr>
            <w:tcW w:w="1060" w:type="dxa"/>
            <w:vAlign w:val="bottom"/>
            <w:tcBorders>
              <w:left w:val="single" w:sz="8" w:color="auto"/>
              <w:right w:val="single" w:sz="8" w:color="auto"/>
            </w:tcBorders>
          </w:tcPr>
          <w:p>
            <w:pPr>
              <w:jc w:val="center"/>
              <w:ind w:left="32"/>
              <w:spacing w:after="0" w:line="191" w:lineRule="exact"/>
              <w:rPr>
                <w:sz w:val="20"/>
                <w:szCs w:val="20"/>
                <w:color w:val="auto"/>
              </w:rPr>
            </w:pPr>
            <w:r>
              <w:rPr>
                <w:rFonts w:ascii="Times New Roman" w:cs="Times New Roman" w:eastAsia="Times New Roman" w:hAnsi="Times New Roman"/>
                <w:sz w:val="18"/>
                <w:szCs w:val="18"/>
                <w:color w:val="auto"/>
                <w:w w:val="98"/>
              </w:rPr>
              <w:t>Unallocated</w:t>
            </w:r>
          </w:p>
        </w:tc>
        <w:tc>
          <w:tcPr>
            <w:tcW w:w="3800" w:type="dxa"/>
            <w:vAlign w:val="bottom"/>
            <w:tcBorders>
              <w:righ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Universal</w:t>
            </w:r>
          </w:p>
        </w:tc>
        <w:tc>
          <w:tcPr>
            <w:tcW w:w="38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7"/>
              </w:rPr>
              <w:t>Shelf:</w:t>
            </w:r>
          </w:p>
        </w:tc>
        <w:tc>
          <w:tcPr>
            <w:tcW w:w="38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Equity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$0.001 per share</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Equity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Preferred Stock, par value $0.001 per share</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Equity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Depositary Shares</w:t>
            </w:r>
          </w:p>
        </w:tc>
        <w:tc>
          <w:tcPr>
            <w:tcW w:w="6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rPr>
              <w:t>Debt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Debt Securities</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Other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Other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Subscription Rights</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Other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 Contracts</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Other (2)</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6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right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8"/>
              </w:rPr>
              <w:t>Unallocated</w:t>
            </w:r>
          </w:p>
        </w:tc>
        <w:tc>
          <w:tcPr>
            <w:tcW w:w="38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Borders>
              <w:left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Universal</w:t>
            </w:r>
          </w:p>
        </w:tc>
        <w:tc>
          <w:tcPr>
            <w:tcW w:w="380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7"/>
              </w:rPr>
              <w:t>Shelf (2)</w:t>
            </w:r>
          </w:p>
        </w:tc>
        <w:tc>
          <w:tcPr>
            <w:tcW w:w="38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Borders>
              <w:bottom w:val="single" w:sz="8" w:color="auto"/>
              <w:right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bottom w:val="single" w:sz="8" w:color="auto"/>
              <w:right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color w:val="auto"/>
              </w:rPr>
              <w:t>(3)(4)</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$300,000,000 (5)(6)</w:t>
            </w:r>
          </w:p>
        </w:tc>
        <w:tc>
          <w:tcPr>
            <w:tcW w:w="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0.0001102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$33,060.00</w:t>
            </w:r>
          </w:p>
        </w:tc>
        <w:tc>
          <w:tcPr>
            <w:tcW w:w="0" w:type="dxa"/>
            <w:vAlign w:val="bottom"/>
          </w:tcPr>
          <w:p>
            <w:pPr>
              <w:spacing w:after="0"/>
              <w:rPr>
                <w:sz w:val="1"/>
                <w:szCs w:val="1"/>
                <w:color w:val="auto"/>
              </w:rPr>
            </w:pPr>
          </w:p>
        </w:tc>
      </w:tr>
      <w:tr>
        <w:trPr>
          <w:trHeight w:val="250"/>
        </w:trPr>
        <w:tc>
          <w:tcPr>
            <w:tcW w:w="1060" w:type="dxa"/>
            <w:vAlign w:val="bottom"/>
            <w:tcBorders>
              <w:left w:val="single" w:sz="8" w:color="auto"/>
              <w:bottom w:val="single" w:sz="8" w:color="auto"/>
            </w:tcBorders>
          </w:tcPr>
          <w:p>
            <w:pPr>
              <w:spacing w:after="0"/>
              <w:rPr>
                <w:sz w:val="21"/>
                <w:szCs w:val="21"/>
                <w:color w:val="auto"/>
              </w:rPr>
            </w:pPr>
          </w:p>
        </w:tc>
        <w:tc>
          <w:tcPr>
            <w:tcW w:w="380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$527,740,500</w:t>
            </w:r>
          </w:p>
        </w:tc>
        <w:tc>
          <w:tcPr>
            <w:tcW w:w="8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$58,157</w:t>
            </w:r>
          </w:p>
        </w:tc>
        <w:tc>
          <w:tcPr>
            <w:tcW w:w="0" w:type="dxa"/>
            <w:vAlign w:val="bottom"/>
          </w:tcPr>
          <w:p>
            <w:pPr>
              <w:spacing w:after="0"/>
              <w:rPr>
                <w:sz w:val="1"/>
                <w:szCs w:val="1"/>
                <w:color w:val="auto"/>
              </w:rPr>
            </w:pPr>
          </w:p>
        </w:tc>
      </w:tr>
      <w:tr>
        <w:trPr>
          <w:trHeight w:val="239"/>
        </w:trPr>
        <w:tc>
          <w:tcPr>
            <w:tcW w:w="1060" w:type="dxa"/>
            <w:vAlign w:val="bottom"/>
            <w:tcBorders>
              <w:left w:val="single" w:sz="8" w:color="auto"/>
              <w:bottom w:val="single" w:sz="8" w:color="auto"/>
            </w:tcBorders>
          </w:tcPr>
          <w:p>
            <w:pPr>
              <w:spacing w:after="0"/>
              <w:rPr>
                <w:sz w:val="20"/>
                <w:szCs w:val="20"/>
                <w:color w:val="auto"/>
              </w:rPr>
            </w:pPr>
          </w:p>
        </w:tc>
        <w:tc>
          <w:tcPr>
            <w:tcW w:w="380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$33.060.00</w:t>
            </w:r>
          </w:p>
        </w:tc>
        <w:tc>
          <w:tcPr>
            <w:tcW w:w="0" w:type="dxa"/>
            <w:vAlign w:val="bottom"/>
          </w:tcPr>
          <w:p>
            <w:pPr>
              <w:spacing w:after="0"/>
              <w:rPr>
                <w:sz w:val="1"/>
                <w:szCs w:val="1"/>
                <w:color w:val="auto"/>
              </w:rPr>
            </w:pPr>
          </w:p>
        </w:tc>
      </w:tr>
      <w:tr>
        <w:trPr>
          <w:trHeight w:val="237"/>
        </w:trPr>
        <w:tc>
          <w:tcPr>
            <w:tcW w:w="1060" w:type="dxa"/>
            <w:vAlign w:val="bottom"/>
            <w:tcBorders>
              <w:left w:val="single" w:sz="8" w:color="auto"/>
              <w:bottom w:val="single" w:sz="8" w:color="auto"/>
            </w:tcBorders>
          </w:tcPr>
          <w:p>
            <w:pPr>
              <w:spacing w:after="0"/>
              <w:rPr>
                <w:sz w:val="20"/>
                <w:szCs w:val="20"/>
                <w:color w:val="auto"/>
              </w:rPr>
            </w:pPr>
          </w:p>
        </w:tc>
        <w:tc>
          <w:tcPr>
            <w:tcW w:w="380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60" w:type="dxa"/>
            <w:vAlign w:val="bottom"/>
            <w:tcBorders>
              <w:left w:val="single" w:sz="8" w:color="auto"/>
              <w:bottom w:val="single" w:sz="8" w:color="auto"/>
            </w:tcBorders>
          </w:tcPr>
          <w:p>
            <w:pPr>
              <w:spacing w:after="0"/>
              <w:rPr>
                <w:sz w:val="20"/>
                <w:szCs w:val="20"/>
                <w:color w:val="auto"/>
              </w:rPr>
            </w:pPr>
          </w:p>
        </w:tc>
        <w:tc>
          <w:tcPr>
            <w:tcW w:w="380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8"/>
                <w:szCs w:val="18"/>
                <w:color w:val="auto"/>
              </w:rPr>
              <w:t>Net Fee Due</w:t>
            </w: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$25,097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that may be offered and sold from time to time in one or more offerings by P10, Inc. (the “Registrant”).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that may be offered and sold from time to time in one or more offerings by selling stockholders.</w:t>
      </w:r>
    </w:p>
    <w:p>
      <w:pPr>
        <w:spacing w:after="0" w:line="130" w:lineRule="exact"/>
        <w:rPr>
          <w:rFonts w:ascii="Times New Roman" w:cs="Times New Roman" w:eastAsia="Times New Roman" w:hAnsi="Times New Roman"/>
          <w:sz w:val="18"/>
          <w:szCs w:val="18"/>
          <w:color w:val="auto"/>
        </w:rPr>
      </w:pPr>
    </w:p>
    <w:p>
      <w:pPr>
        <w:jc w:val="both"/>
        <w:ind w:left="424" w:hanging="424"/>
        <w:spacing w:after="0" w:line="256"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registered hereunder include an indeterminate number of (i) shares of common stock, (ii) shares of preferred stock, (iii) depositary shares, (iv) debt securities, (v) warrants to purchase common stock, preferred stock or debt securities, (vi) subscription rights to purchase common stock, preferred stock, warrants, debt securities, or units; (vii) purchase contracts, and (viii) units, which together shall have an aggregate initial offering price not to exceed $300,000,000. Any securities registered hereunder may be sold separately or as units with other securities registered hereunder. There are also being registered hereunder an indeterminate number of shares of common stock and preferred stock as shall be issuable upon conversion, exchange or exercise of any securities that provide for such issuance.</w:t>
      </w:r>
    </w:p>
    <w:p>
      <w:pPr>
        <w:sectPr>
          <w:pgSz w:w="11900" w:h="16838" w:orient="portrait"/>
          <w:cols w:equalWidth="0" w:num="1">
            <w:col w:w="11024"/>
          </w:cols>
          <w:pgMar w:left="436" w:top="117" w:right="439" w:bottom="1440" w:gutter="0" w:footer="0" w:header="0"/>
        </w:sectPr>
      </w:pPr>
    </w:p>
    <w:bookmarkStart w:id="47" w:name="page48"/>
    <w:bookmarkEnd w:id="47"/>
    <w:p>
      <w:pPr>
        <w:ind w:left="424" w:right="20"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Rule 416 under the Securities Act of 1933, as amended, or the Securities Act, this registration statement shall also cover any additional shares of the Registrant’s securities that become issuable by reason of any share splits, share dividends or similar transactions.</w:t>
      </w:r>
    </w:p>
    <w:p>
      <w:pPr>
        <w:spacing w:after="0" w:line="67"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security and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81"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Subject to Rule 462(b) under the Securities Act, the aggregate maximum offering price of all securities issued by the Registrant pursuant to this registration statement will not exceed $300,000,000.</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based on the average of the high and low prices of a share of Class A common stock on The New York Stock Exchange on December 9, 2022.</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lowerLetter"/>
      <w:start w:val="1"/>
    </w:lvl>
  </w:abstractNum>
  <w:abstractNum w:abstractNumId="32">
    <w:nsid w:val="7724C67E"/>
    <w:multiLevelType w:val="hybridMultilevel"/>
    <w:lvl w:ilvl="0">
      <w:lvlJc w:val="left"/>
      <w:lvlText w:val="(%1)"/>
      <w:numFmt w:val="decimal"/>
      <w:start w:val="1"/>
    </w:lvl>
    <w:lvl w:ilvl="1">
      <w:lvlJc w:val="left"/>
      <w:lvlText w:val="(%2)"/>
      <w:numFmt w:val="lowerRoman"/>
      <w:start w:val="1"/>
    </w:lvl>
  </w:abstractNum>
  <w:abstractNum w:abstractNumId="33">
    <w:nsid w:val="5C482A97"/>
    <w:multiLevelType w:val="hybridMultilevel"/>
    <w:lvl w:ilvl="0">
      <w:lvlJc w:val="left"/>
      <w:lvlText w:val="(%1)"/>
      <w:numFmt w:val="decimal"/>
      <w:start w:val="2"/>
    </w:lvl>
    <w:lvl w:ilvl="1">
      <w:lvlJc w:val="left"/>
      <w:lvlText w:val="(%2)"/>
      <w:numFmt w:val="lowerRoman"/>
      <w:start w:val="1"/>
    </w:lvl>
  </w:abstractNum>
  <w:abstractNum w:abstractNumId="34">
    <w:nsid w:val="2463B9EA"/>
    <w:multiLevelType w:val="hybridMultilevel"/>
    <w:lvl w:ilvl="0">
      <w:lvlJc w:val="left"/>
      <w:lvlText w:val="%1"/>
      <w:numFmt w:val="decimal"/>
      <w:start w:val="1"/>
    </w:lvl>
    <w:lvl w:ilvl="1">
      <w:lvlJc w:val="left"/>
      <w:lvlText w:val="(%2)"/>
      <w:numFmt w:val="lowerRoman"/>
      <w:start w:val="2"/>
    </w:lvl>
  </w:abstractNum>
  <w:abstractNum w:abstractNumId="35">
    <w:nsid w:val="5E884ADC"/>
    <w:multiLevelType w:val="hybridMultilevel"/>
    <w:lvl w:ilvl="0">
      <w:lvlJc w:val="left"/>
      <w:lvlText w:val="(%1)"/>
      <w:numFmt w:val="decimal"/>
      <w:start w:val="5"/>
    </w:lvl>
    <w:lvl w:ilvl="1">
      <w:lvlJc w:val="left"/>
      <w:lvlText w:val="(%2)"/>
      <w:numFmt w:val="lowerRoman"/>
      <w:start w:val="1"/>
    </w:lvl>
  </w:abstractNum>
  <w:abstractNum w:abstractNumId="36">
    <w:nsid w:val="51EAD36B"/>
    <w:multiLevelType w:val="hybridMultilevel"/>
    <w:lvl w:ilvl="0">
      <w:lvlJc w:val="left"/>
      <w:lvlText w:val="(%1)"/>
      <w:numFmt w:val="decimal"/>
      <w:start w:val="8"/>
    </w:lvl>
    <w:lvl w:ilvl="1">
      <w:lvlJc w:val="left"/>
      <w:lvlText w:val="(%2)"/>
      <w:numFmt w:val="lowerRoman"/>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3"/>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9"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jpeg"/><Relationship Id="rId90" Type="http://schemas.openxmlformats.org/officeDocument/2006/relationships/image" Target="media/image66.jpeg"/><Relationship Id="rId91" Type="http://schemas.openxmlformats.org/officeDocument/2006/relationships/image" Target="media/image67.jpe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52" Type="http://schemas.openxmlformats.org/officeDocument/2006/relationships/hyperlink" Target="http://www.sec.gov/ix?doc=/Archives/edgar/data/1841968/000095017022004180/px-20211231.htm" TargetMode="External"/><Relationship Id="rId53" Type="http://schemas.openxmlformats.org/officeDocument/2006/relationships/hyperlink" Target="http://www.sec.gov/ix?doc=/Archives/edgar/data/1841968/000095017022009867/px-20220331.htm" TargetMode="External"/><Relationship Id="rId54" Type="http://schemas.openxmlformats.org/officeDocument/2006/relationships/hyperlink" Target="http://www.sec.gov/ix?doc=/Archives/edgar/data/1841968/000095017022017336/px-20220630.htm" TargetMode="External"/><Relationship Id="rId55" Type="http://schemas.openxmlformats.org/officeDocument/2006/relationships/hyperlink" Target="http://www.sec.gov/ix?doc=/Archives/edgar/data/1841968/000095017022025084/px-20220930.htm" TargetMode="External"/><Relationship Id="rId56" Type="http://schemas.openxmlformats.org/officeDocument/2006/relationships/hyperlink" Target="http://www.sec.gov/ix?doc=/Archives/edgar/data/1841968/000119312522066167/d200532d8k.htm" TargetMode="External"/><Relationship Id="rId57" Type="http://schemas.openxmlformats.org/officeDocument/2006/relationships/hyperlink" Target="http://www.sec.gov/ix?doc=/Archives/edgar/data/1841968/000138713122007188/px-8k_061722.htm" TargetMode="External"/><Relationship Id="rId58" Type="http://schemas.openxmlformats.org/officeDocument/2006/relationships/hyperlink" Target="http://www.sec.gov/ix?doc=/Archives/edgar/data/1841968/000119312522192005/d383551d8k.htm" TargetMode="External"/><Relationship Id="rId59" Type="http://schemas.openxmlformats.org/officeDocument/2006/relationships/hyperlink" Target="http://www.sec.gov/ix?doc=/Archives/edgar/data/1841968/000119312522230601/d273626d8k.htm" TargetMode="External"/><Relationship Id="rId60" Type="http://schemas.openxmlformats.org/officeDocument/2006/relationships/hyperlink" Target="http://www.sec.gov/ix?doc=/Archives/edgar/data/1841968/000119312522262228/d413045d8k.htm" TargetMode="External"/><Relationship Id="rId61" Type="http://schemas.openxmlformats.org/officeDocument/2006/relationships/hyperlink" Target="http://www.sec.gov/Archives/edgar/data/1841968/000119312522133567/d301592ddef14a.htm" TargetMode="External"/><Relationship Id="rId62" Type="http://schemas.openxmlformats.org/officeDocument/2006/relationships/hyperlink" Target="http://www.sec.gov/Archives/edgar/data/1841968/000119312522284872/d396728ddef14a.htm" TargetMode="External"/><Relationship Id="rId63" Type="http://schemas.openxmlformats.org/officeDocument/2006/relationships/hyperlink" Target="http://www.sec.gov/Archives/edgar/data/1841968/000119312521305414/d118332d424b4.htm" TargetMode="External"/><Relationship Id="rId64" Type="http://schemas.openxmlformats.org/officeDocument/2006/relationships/hyperlink" Target="http://www.sec.gov/Archives/edgar/data/1841968/000119312521302126/d197268d8a12b.htm" TargetMode="External"/><Relationship Id="rId76" Type="http://schemas.openxmlformats.org/officeDocument/2006/relationships/hyperlink" Target="http://www.sec.gov/Archives/edgar/data/1841968/000119312521308150/d247132dex31.htm" TargetMode="External"/><Relationship Id="rId77" Type="http://schemas.openxmlformats.org/officeDocument/2006/relationships/hyperlink" Target="http://www.sec.gov/Archives/edgar/data/1841968/000119312521308150/d247132dex32.htm" TargetMode="External"/><Relationship Id="rId78" Type="http://schemas.openxmlformats.org/officeDocument/2006/relationships/hyperlink" Target="http://www.sec.gov/Archives/edgar/data/1841968/000119312522281348/d417197dex41.htm" TargetMode="External"/><Relationship Id="rId80" Type="http://schemas.openxmlformats.org/officeDocument/2006/relationships/hyperlink" Target="http://www.sec.gov/Archives/edgar/data/1841968/000119312522281348/d417197ds3.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2022-12-16T15:21:23Z</dcterms:created>
  <dcterms:modified xsi:type="dcterms:W3CDTF">2022-12-16T15:21:23Z</dcterms:modified>
</cp:coreProperties>
</file>