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P10,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87-2908160</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5"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4514 Cole Avenue, Suite 1600</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Dallas, Texas 75205</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(214) 999-0149</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210.14d-2(b))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PX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New York Stock Exchange LLC</w:t>
            </w:r>
          </w:p>
        </w:tc>
        <w:tc>
          <w:tcPr>
            <w:tcW w:w="0" w:type="dxa"/>
            <w:vAlign w:val="bottom"/>
          </w:tcPr>
          <w:p>
            <w:pPr>
              <w:spacing w:after="0"/>
              <w:rPr>
                <w:sz w:val="1"/>
                <w:szCs w:val="1"/>
                <w:color w:val="auto"/>
              </w:rPr>
            </w:pPr>
          </w:p>
        </w:tc>
      </w:tr>
      <w:tr>
        <w:trPr>
          <w:trHeight w:val="230"/>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par value $0.001 per share</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Series A Junior Participating Preferred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PX</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 Stock Exchange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On October 25, 2021, P10, Inc. (the “Company”) closed its initial public offering (“IPO”) of 20,000,000 shares of the Company’s Class A common stock, $0.001 par value per share (the “Class A Common Stock”), described in the prospectus (the “Prospectus”), dated October 20, 2021, filed with the Securities and Exchange Commission pursuant to Rule 424(b) of the Securities Act of 1933, as amended (the “Securities Act”), which is deemed to be part of the Company’s registration statement on Form S-1 (File No. 333-259823), as amended (the “Registration Statement”). In connection with the closing of the IPO, the Company entered into the following agreements previously filed as exhibits to the Registration Statement:</w:t>
      </w:r>
    </w:p>
    <w:p>
      <w:pPr>
        <w:spacing w:after="0" w:line="188" w:lineRule="exact"/>
        <w:rPr>
          <w:sz w:val="20"/>
          <w:szCs w:val="20"/>
          <w:color w:val="auto"/>
        </w:rPr>
      </w:pPr>
    </w:p>
    <w:p>
      <w:pPr>
        <w:jc w:val="both"/>
        <w:ind w:left="960" w:right="80" w:hanging="424"/>
        <w:spacing w:after="0" w:line="286"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Underwriting Agreement, dated as of October 20, 2021, by and among the Company, certain stockholders of the Company and Morgan Stanley &amp; Co. LLC, J.P. Morgan Securities LLC and Barclays Capital Inc., as representatives of the several underwriters, a copy of which is filed as Exhibit 1.1 to this Current Report on Form 8-K and is incorporated herein by reference;</w:t>
      </w:r>
    </w:p>
    <w:p>
      <w:pPr>
        <w:spacing w:after="0" w:line="70" w:lineRule="exact"/>
        <w:rPr>
          <w:rFonts w:ascii="Arial" w:cs="Arial" w:eastAsia="Arial" w:hAnsi="Arial"/>
          <w:sz w:val="17"/>
          <w:szCs w:val="17"/>
          <w:color w:val="auto"/>
        </w:rPr>
      </w:pPr>
    </w:p>
    <w:p>
      <w:pPr>
        <w:ind w:left="960" w:hanging="424"/>
        <w:spacing w:after="0" w:line="25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Controlled Company Agreement, dated as of October 20, 2021, by and among the Company, principals of 210 Capital, L.L.C. and certain of their affiliates (the “210 Group”), RCP Advisors and certain of their affiliates (the “RCP Group”) and TrueBridge Capital Partners, LLC and certain of their affiliates (the “TrueBridge Group”) a copy of which is filed as Exhibit 10.1 to this Current Report on Form 8-K and is incorporated herein by reference;</w:t>
      </w:r>
    </w:p>
    <w:p>
      <w:pPr>
        <w:spacing w:after="0" w:line="92" w:lineRule="exact"/>
        <w:rPr>
          <w:rFonts w:ascii="Arial" w:cs="Arial" w:eastAsia="Arial" w:hAnsi="Arial"/>
          <w:sz w:val="18"/>
          <w:szCs w:val="18"/>
          <w:color w:val="auto"/>
        </w:rPr>
      </w:pPr>
    </w:p>
    <w:p>
      <w:pPr>
        <w:ind w:left="960" w:right="400" w:hanging="424"/>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Stockholders Agreement, dated as of October 20, 2021, by and among the Company and each of the other persons and entities party thereto, a copy of which is filed as Exhibit 10.2 to this Current Report on Form 8-K and is incorporated herein by reference; and</w:t>
      </w:r>
    </w:p>
    <w:p>
      <w:pPr>
        <w:spacing w:after="0" w:line="29" w:lineRule="exact"/>
        <w:rPr>
          <w:rFonts w:ascii="Arial" w:cs="Arial" w:eastAsia="Arial" w:hAnsi="Arial"/>
          <w:sz w:val="16"/>
          <w:szCs w:val="16"/>
          <w:color w:val="auto"/>
        </w:rPr>
      </w:pPr>
    </w:p>
    <w:p>
      <w:pPr>
        <w:ind w:left="960" w:right="140" w:hanging="424"/>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Rights Agreement, dated as of October 20, 2021, by and among the Company and American Stock Transfer &amp; Trust Company, LLC, as rights agent, a copy of which is filed as Exhibit 4.1 to this Current Report on Form 8-K and is incorporated herein by reference.</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terms of these agreements are substantially the same as the terms set forth in the forms of such agreements filed as exhibits to the Registration Statement and as described therein. Certain parties to certain of these agreements have various relationships with the Company. For further information, see “Related Party Transactions” in the 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October 20, 2021, in connection with the IPO, the Company undertook certain transactions as part of a corporation reorganization (the “P10 Reorganization”), pursuant to which, among other things, the Company issued an aggregate of 97,155,596 shares of the Company’s Class B common stock, par value $0.001 per share (the “Class B Common Stock”), to all of the then-existing stockholders of P10 Holdings, Inc. (“P10 Holdings”) and certain other investors. Holders of Class B Common Stock may elect to convert shares of Class B Common Stock on a one-for-one basis into Class A Common Stock at any time. After a Sunset (as defined below) becomes effective, each share of Class B Common Stock will automatically convert into Class A Common Stock. A “Sunset” is triggered by any of the earlier of the following: (i) the Sunset Holders (as defined in the Amended and Restated Certificate of Incorporation (as defined below))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Amended and Restated Certificate of Incorporation. For further information, see “Description of Capital Stock” in the Company’s Prospectus. The issuances of the Class B Common Stock described in this paragraph were made in reliance on Section 4(a)(2) of the Securities Act. The Company relied on this exemption from registration based in part on the nature of the transactions and the various representations made by the parties thereto.</w:t>
      </w:r>
    </w:p>
    <w:p>
      <w:pPr>
        <w:spacing w:after="0" w:line="31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5.03 below is incorporated by reference in this Item 3.03.</w:t>
      </w:r>
    </w:p>
    <w:p>
      <w:pPr>
        <w:sectPr>
          <w:pgSz w:w="11900" w:h="16838" w:orient="portrait"/>
          <w:cols w:equalWidth="0" w:num="1">
            <w:col w:w="11000"/>
          </w:cols>
          <w:pgMar w:left="440" w:top="270" w:right="459" w:bottom="1440" w:gutter="0" w:footer="0" w:header="0"/>
        </w:sectPr>
      </w:pPr>
    </w:p>
    <w:bookmarkStart w:id="2" w:name="page3"/>
    <w:bookmarkEnd w:id="2"/>
    <w:p>
      <w:pPr>
        <w:ind w:right="2360"/>
        <w:spacing w:after="0" w:line="37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Item 5.02. Departure of Directors or Principal Officers; Election of Directors; Appointment of Principal Officers </w:t>
      </w:r>
      <w:r>
        <w:rPr>
          <w:rFonts w:ascii="Arial" w:cs="Arial" w:eastAsia="Arial" w:hAnsi="Arial"/>
          <w:sz w:val="18"/>
          <w:szCs w:val="18"/>
          <w:i w:val="1"/>
          <w:iCs w:val="1"/>
          <w:color w:val="auto"/>
        </w:rPr>
        <w:t>Composition of the Board</w:t>
      </w:r>
    </w:p>
    <w:p>
      <w:pPr>
        <w:spacing w:after="0" w:line="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Controlled Company Agreement grants the 210 Group, the RCP Group and the TrueBridge Group the right to designate nominees to the board of directors of the Company (the “Board”), subject to the maintenance of certain ownership requirements in the Company. For further information, see “Organizational Structure—NYSE Controlled Company Agreement” in the Prospectus.</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Mr. Stewart and Mr. Barnes qualify as “independent directors” for purposes of serving on the Board and its committees under the applicable rules. The Board assigned each director to the classes listed below. In addition, the directors have been appointed to the Audit, Compensation and Nominating and Corporate Governance Committees of the Board as follows:</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20" w:type="dxa"/>
            <w:vAlign w:val="bottom"/>
          </w:tcPr>
          <w:p>
            <w:pPr>
              <w:jc w:val="center"/>
              <w:ind w:right="220"/>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900" w:type="dxa"/>
            <w:vAlign w:val="bottom"/>
            <w:vMerge w:val="restart"/>
          </w:tcPr>
          <w:p>
            <w:pPr>
              <w:jc w:val="right"/>
              <w:ind w:right="677"/>
              <w:spacing w:after="0"/>
              <w:rPr>
                <w:sz w:val="20"/>
                <w:szCs w:val="20"/>
                <w:color w:val="auto"/>
              </w:rPr>
            </w:pPr>
            <w:r>
              <w:rPr>
                <w:rFonts w:ascii="Arial" w:cs="Arial" w:eastAsia="Arial" w:hAnsi="Arial"/>
                <w:sz w:val="14"/>
                <w:szCs w:val="14"/>
                <w:b w:val="1"/>
                <w:bCs w:val="1"/>
                <w:color w:val="auto"/>
              </w:rPr>
              <w:t>Compensation</w:t>
            </w:r>
          </w:p>
        </w:tc>
        <w:tc>
          <w:tcPr>
            <w:tcW w:w="18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48"/>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Class</w:t>
            </w:r>
          </w:p>
        </w:tc>
        <w:tc>
          <w:tcPr>
            <w:tcW w:w="2140" w:type="dxa"/>
            <w:vAlign w:val="bottom"/>
            <w:vMerge w:val="restart"/>
          </w:tcPr>
          <w:p>
            <w:pPr>
              <w:jc w:val="right"/>
              <w:ind w:right="695"/>
              <w:spacing w:after="0"/>
              <w:rPr>
                <w:sz w:val="20"/>
                <w:szCs w:val="20"/>
                <w:color w:val="auto"/>
              </w:rPr>
            </w:pPr>
            <w:r>
              <w:rPr>
                <w:rFonts w:ascii="Arial" w:cs="Arial" w:eastAsia="Arial" w:hAnsi="Arial"/>
                <w:sz w:val="14"/>
                <w:szCs w:val="14"/>
                <w:b w:val="1"/>
                <w:bCs w:val="1"/>
                <w:color w:val="auto"/>
              </w:rPr>
              <w:t>Audit Committee</w:t>
            </w:r>
          </w:p>
        </w:tc>
        <w:tc>
          <w:tcPr>
            <w:tcW w:w="1900" w:type="dxa"/>
            <w:vAlign w:val="bottom"/>
            <w:vMerge w:val="continue"/>
          </w:tcPr>
          <w:p>
            <w:pPr>
              <w:spacing w:after="0"/>
              <w:rPr>
                <w:sz w:val="12"/>
                <w:szCs w:val="12"/>
                <w:color w:val="auto"/>
              </w:rPr>
            </w:pPr>
          </w:p>
        </w:tc>
        <w:tc>
          <w:tcPr>
            <w:tcW w:w="18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Governance</w:t>
            </w:r>
          </w:p>
        </w:tc>
        <w:tc>
          <w:tcPr>
            <w:tcW w:w="0" w:type="dxa"/>
            <w:vAlign w:val="bottom"/>
          </w:tcPr>
          <w:p>
            <w:pPr>
              <w:spacing w:after="0"/>
              <w:rPr>
                <w:sz w:val="1"/>
                <w:szCs w:val="1"/>
                <w:color w:val="auto"/>
              </w:rPr>
            </w:pPr>
          </w:p>
        </w:tc>
      </w:tr>
      <w:tr>
        <w:trPr>
          <w:trHeight w:val="158"/>
        </w:trPr>
        <w:tc>
          <w:tcPr>
            <w:tcW w:w="2580" w:type="dxa"/>
            <w:vAlign w:val="bottom"/>
            <w:gridSpan w:val="3"/>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1900" w:type="dxa"/>
            <w:vAlign w:val="bottom"/>
          </w:tcPr>
          <w:p>
            <w:pPr>
              <w:jc w:val="right"/>
              <w:ind w:right="797"/>
              <w:spacing w:after="0" w:line="158" w:lineRule="exact"/>
              <w:rPr>
                <w:sz w:val="20"/>
                <w:szCs w:val="20"/>
                <w:color w:val="auto"/>
              </w:rPr>
            </w:pPr>
            <w:r>
              <w:rPr>
                <w:rFonts w:ascii="Arial" w:cs="Arial" w:eastAsia="Arial" w:hAnsi="Arial"/>
                <w:sz w:val="14"/>
                <w:szCs w:val="14"/>
                <w:b w:val="1"/>
                <w:bCs w:val="1"/>
                <w:color w:val="auto"/>
              </w:rPr>
              <w:t>Committee</w:t>
            </w:r>
          </w:p>
        </w:tc>
        <w:tc>
          <w:tcPr>
            <w:tcW w:w="1820" w:type="dxa"/>
            <w:vAlign w:val="bottom"/>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Alpert</w:t>
            </w:r>
          </w:p>
        </w:tc>
        <w:tc>
          <w:tcPr>
            <w:tcW w:w="1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III</w:t>
            </w:r>
          </w:p>
        </w:tc>
        <w:tc>
          <w:tcPr>
            <w:tcW w:w="2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Travis Barnes</w:t>
            </w:r>
          </w:p>
        </w:tc>
        <w:tc>
          <w:tcPr>
            <w:tcW w:w="1680" w:type="dxa"/>
            <w:vAlign w:val="bottom"/>
          </w:tcPr>
          <w:p>
            <w:pPr>
              <w:jc w:val="right"/>
              <w:ind w:right="212"/>
              <w:spacing w:after="0"/>
              <w:rPr>
                <w:sz w:val="20"/>
                <w:szCs w:val="20"/>
                <w:color w:val="auto"/>
              </w:rPr>
            </w:pPr>
            <w:r>
              <w:rPr>
                <w:rFonts w:ascii="Arial" w:cs="Arial" w:eastAsia="Arial" w:hAnsi="Arial"/>
                <w:sz w:val="18"/>
                <w:szCs w:val="18"/>
                <w:color w:val="auto"/>
              </w:rPr>
              <w:t>III</w:t>
            </w:r>
          </w:p>
        </w:tc>
        <w:tc>
          <w:tcPr>
            <w:tcW w:w="2140" w:type="dxa"/>
            <w:vAlign w:val="bottom"/>
          </w:tcPr>
          <w:p>
            <w:pPr>
              <w:jc w:val="right"/>
              <w:ind w:right="695"/>
              <w:spacing w:after="0"/>
              <w:rPr>
                <w:sz w:val="20"/>
                <w:szCs w:val="20"/>
                <w:color w:val="auto"/>
              </w:rPr>
            </w:pPr>
            <w:r>
              <w:rPr>
                <w:rFonts w:ascii="Arial" w:cs="Arial" w:eastAsia="Arial" w:hAnsi="Arial"/>
                <w:sz w:val="18"/>
                <w:szCs w:val="18"/>
                <w:color w:val="auto"/>
              </w:rPr>
              <w:t>X</w:t>
            </w:r>
          </w:p>
        </w:tc>
        <w:tc>
          <w:tcPr>
            <w:tcW w:w="1900" w:type="dxa"/>
            <w:vAlign w:val="bottom"/>
          </w:tcPr>
          <w:p>
            <w:pPr>
              <w:jc w:val="right"/>
              <w:ind w:right="677"/>
              <w:spacing w:after="0"/>
              <w:rPr>
                <w:sz w:val="20"/>
                <w:szCs w:val="20"/>
                <w:color w:val="auto"/>
              </w:rPr>
            </w:pPr>
            <w:r>
              <w:rPr>
                <w:rFonts w:ascii="Arial" w:cs="Arial" w:eastAsia="Arial" w:hAnsi="Arial"/>
                <w:sz w:val="18"/>
                <w:szCs w:val="18"/>
                <w:color w:val="auto"/>
              </w:rPr>
              <w:t>X</w:t>
            </w:r>
          </w:p>
        </w:tc>
        <w:tc>
          <w:tcPr>
            <w:tcW w:w="1820" w:type="dxa"/>
            <w:vAlign w:val="bottom"/>
          </w:tcPr>
          <w:p>
            <w:pPr>
              <w:ind w:left="11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Gwilliam</w:t>
            </w:r>
          </w:p>
        </w:tc>
        <w:tc>
          <w:tcPr>
            <w:tcW w:w="1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I</w:t>
            </w:r>
          </w:p>
        </w:tc>
        <w:tc>
          <w:tcPr>
            <w:tcW w:w="214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X</w:t>
            </w:r>
          </w:p>
        </w:tc>
        <w:tc>
          <w:tcPr>
            <w:tcW w:w="19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X(Chair)</w:t>
            </w:r>
          </w:p>
        </w:tc>
        <w:tc>
          <w:tcPr>
            <w:tcW w:w="18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Edwin Poston</w:t>
            </w:r>
          </w:p>
        </w:tc>
        <w:tc>
          <w:tcPr>
            <w:tcW w:w="1680" w:type="dxa"/>
            <w:vAlign w:val="bottom"/>
          </w:tcPr>
          <w:p>
            <w:pPr>
              <w:jc w:val="right"/>
              <w:ind w:right="212"/>
              <w:spacing w:after="0"/>
              <w:rPr>
                <w:sz w:val="20"/>
                <w:szCs w:val="20"/>
                <w:color w:val="auto"/>
              </w:rPr>
            </w:pPr>
            <w:r>
              <w:rPr>
                <w:rFonts w:ascii="Arial" w:cs="Arial" w:eastAsia="Arial" w:hAnsi="Arial"/>
                <w:sz w:val="18"/>
                <w:szCs w:val="18"/>
                <w:color w:val="auto"/>
              </w:rPr>
              <w:t>I</w:t>
            </w:r>
          </w:p>
        </w:tc>
        <w:tc>
          <w:tcPr>
            <w:tcW w:w="2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F. Souder</w:t>
            </w:r>
          </w:p>
        </w:tc>
        <w:tc>
          <w:tcPr>
            <w:tcW w:w="1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II</w:t>
            </w:r>
          </w:p>
        </w:tc>
        <w:tc>
          <w:tcPr>
            <w:tcW w:w="2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Robert B. Stewart, Jr.</w:t>
            </w:r>
          </w:p>
        </w:tc>
        <w:tc>
          <w:tcPr>
            <w:tcW w:w="1680" w:type="dxa"/>
            <w:vAlign w:val="bottom"/>
          </w:tcPr>
          <w:p>
            <w:pPr>
              <w:jc w:val="right"/>
              <w:ind w:right="212"/>
              <w:spacing w:after="0"/>
              <w:rPr>
                <w:sz w:val="20"/>
                <w:szCs w:val="20"/>
                <w:color w:val="auto"/>
              </w:rPr>
            </w:pPr>
            <w:r>
              <w:rPr>
                <w:rFonts w:ascii="Arial" w:cs="Arial" w:eastAsia="Arial" w:hAnsi="Arial"/>
                <w:sz w:val="18"/>
                <w:szCs w:val="18"/>
                <w:color w:val="auto"/>
              </w:rPr>
              <w:t>II</w:t>
            </w:r>
          </w:p>
        </w:tc>
        <w:tc>
          <w:tcPr>
            <w:tcW w:w="2140" w:type="dxa"/>
            <w:vAlign w:val="bottom"/>
          </w:tcPr>
          <w:p>
            <w:pPr>
              <w:jc w:val="right"/>
              <w:ind w:right="175"/>
              <w:spacing w:after="0"/>
              <w:rPr>
                <w:sz w:val="20"/>
                <w:szCs w:val="20"/>
                <w:color w:val="auto"/>
              </w:rPr>
            </w:pPr>
            <w:r>
              <w:rPr>
                <w:rFonts w:ascii="Arial" w:cs="Arial" w:eastAsia="Arial" w:hAnsi="Arial"/>
                <w:sz w:val="18"/>
                <w:szCs w:val="18"/>
                <w:color w:val="auto"/>
              </w:rPr>
              <w:t>X(Chair)</w:t>
            </w:r>
          </w:p>
        </w:tc>
        <w:tc>
          <w:tcPr>
            <w:tcW w:w="1900" w:type="dxa"/>
            <w:vAlign w:val="bottom"/>
          </w:tcPr>
          <w:p>
            <w:pPr>
              <w:jc w:val="right"/>
              <w:ind w:right="677"/>
              <w:spacing w:after="0"/>
              <w:rPr>
                <w:sz w:val="20"/>
                <w:szCs w:val="20"/>
                <w:color w:val="auto"/>
              </w:rPr>
            </w:pPr>
            <w:r>
              <w:rPr>
                <w:rFonts w:ascii="Arial" w:cs="Arial" w:eastAsia="Arial" w:hAnsi="Arial"/>
                <w:sz w:val="18"/>
                <w:szCs w:val="18"/>
                <w:color w:val="auto"/>
              </w:rPr>
              <w:t>X</w:t>
            </w:r>
          </w:p>
        </w:tc>
        <w:tc>
          <w:tcPr>
            <w:tcW w:w="1820" w:type="dxa"/>
            <w:vAlign w:val="bottom"/>
          </w:tcPr>
          <w:p>
            <w:pPr>
              <w:ind w:left="1120"/>
              <w:spacing w:after="0"/>
              <w:rPr>
                <w:sz w:val="20"/>
                <w:szCs w:val="20"/>
                <w:color w:val="auto"/>
              </w:rPr>
            </w:pPr>
            <w:r>
              <w:rPr>
                <w:rFonts w:ascii="Arial" w:cs="Arial" w:eastAsia="Arial" w:hAnsi="Arial"/>
                <w:sz w:val="18"/>
                <w:szCs w:val="18"/>
                <w:color w:val="auto"/>
              </w:rPr>
              <w:t>X(Chair)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Clark Webb</w:t>
            </w:r>
          </w:p>
        </w:tc>
        <w:tc>
          <w:tcPr>
            <w:tcW w:w="1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I</w:t>
            </w:r>
          </w:p>
        </w:tc>
        <w:tc>
          <w:tcPr>
            <w:tcW w:w="2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Each director has also entered into standard indemnification agreements with the Company, which provide for the standard indemnification and advancement of expenses to the fullest extent permitted by law consistent with the Company’s Amended and Restated Bylaws. The description of the indemnification agreements is intended to provide a general description only, is subject to the detailed terms and conditions of, and is qualified in its entirety by reference to the full text of, the form of indemnification agreement, which was previously filed as Exhibit 10.3 to the Company’s Registration Statement, and is incorporated herein by reference.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Stock Incentive Plan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P10 Reorganization, each employee benefit plan, incentive compensation plan and other similar plans to which P10 Holdings was a party was assumed by, and continued to be the plan of, the Company. Following the P10 Reorganization, the Board approved, and its sole stockholder ratified, an amendment to the 2021 Stock Incentive Plan (the “Plan”) to increase the number of shares of the Company’s Class A Common Stock issuable under the Plan to 3,000,000 shares of Class A Common Stock.</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purposes of the Plan are to advance the interests of the Company by enhancing its ability to attract and retain employees, officers and non-employee directors, in each case who are selected to be participants in the plan, and by motivating them to continue working toward and contributing to the success and growth of the Company. Persons eligible to receive awards under the Plan include current and prospective employees, current and prospective officers and members of the Board who are not employees. The Plan authorizes the award of incentive and nonqualified stock options, stock appreciation rights, restricted stock, restricted stock units, incentive bonuses and divided equivalents, any of which may be performance-based. The Company believes the variety of awards that may be granted under the Plan gives us the flexibility to offer competitive incentives and to tailor benefits to specific needs and circumstances.</w:t>
      </w:r>
    </w:p>
    <w:p>
      <w:pPr>
        <w:spacing w:after="0" w:line="1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description of the foregoing is qualified in its entirety by reference to the complete terms and conditions of the Plan, which was previously filed as Exhibit 10.1 to the Company’s Registration Statement, and is incorporated herein by reference.</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5.03. Amendments to Articles of Incorporation or Bylaws; Change in Fiscal Year.</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connection with the P10 Reorganization and the closing of the IPO, the Company amended and restated its Certificate of Incorporation (the “Amended and Restated Certificate of Incorporation”) and amended and restated its Bylaws (the “Amended and Restated Bylaws”). The Amended and Restated Certificate of Incorporation was filed with the Secretary of State of the State of Delaware on October 20, 2021, and the Amended and Restated Bylaws and the Amended and Restated Certificate of Incorporation became effective on October 20, 2021. A description of the material terms of each can be found in the section of the Registration Statement entitled “Description of Capital Stock,” and is incorporated herein by reference. The descriptions of the foregoing are qualified in their entirety by reference to the complete terms and conditions of the Company’s Amended and Restated Certificate of Incorporation and Amended and Restated Bylaws, which are attached hereto as Exhibits 3.1 and 3.2, respectively, and incorporated herein by reference.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440" w:type="dxa"/>
            <w:vAlign w:val="bottom"/>
            <w:tcBorders>
              <w:bottom w:val="single" w:sz="8" w:color="auto"/>
            </w:tcBorders>
            <w:gridSpan w:val="9"/>
          </w:tcPr>
          <w:p>
            <w:pPr>
              <w:ind w:left="130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Pr>
          <w:p>
            <w:pPr>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22"/>
                <w:szCs w:val="22"/>
                <w:color w:val="auto"/>
              </w:rPr>
            </w:pPr>
          </w:p>
        </w:tc>
        <w:tc>
          <w:tcPr>
            <w:tcW w:w="91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Underwriting Agreement, dated as of October 20, 2021, by and among the Company, certain stockholders of the Company and</w:t>
              </w:r>
            </w:hyperlink>
          </w:p>
        </w:tc>
        <w:tc>
          <w:tcPr>
            <w:tcW w:w="440" w:type="dxa"/>
            <w:vAlign w:val="bottom"/>
            <w:gridSpan w:val="6"/>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80" w:type="dxa"/>
            <w:vAlign w:val="bottom"/>
            <w:gridSpan w:val="14"/>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Morgan Stanley &amp; Co. LLC, J.P. Morgan Securities LLC and Barclays Capital Inc., as representatives of the several underwriters.</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4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Amended and Restated Certificate of Incorporation of P10, Inc.</w:t>
              </w:r>
            </w:hyperlink>
          </w:p>
        </w:tc>
        <w:tc>
          <w:tcPr>
            <w:tcW w:w="4800" w:type="dxa"/>
            <w:vAlign w:val="bottom"/>
            <w:tcBorders>
              <w:top w:val="single" w:sz="8" w:color="0000EE"/>
            </w:tcBorders>
            <w:gridSpan w:val="3"/>
          </w:tcPr>
          <w:p>
            <w:pPr>
              <w:spacing w:after="0"/>
              <w:rPr>
                <w:sz w:val="24"/>
                <w:szCs w:val="24"/>
                <w:color w:val="auto"/>
              </w:rPr>
            </w:pPr>
          </w:p>
        </w:tc>
        <w:tc>
          <w:tcPr>
            <w:tcW w:w="200" w:type="dxa"/>
            <w:vAlign w:val="bottom"/>
            <w:gridSpan w:val="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31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Amended and Restated Bylaws of P10, Inc.</w:t>
              </w:r>
            </w:hyperlink>
          </w:p>
        </w:tc>
        <w:tc>
          <w:tcPr>
            <w:tcW w:w="6440" w:type="dxa"/>
            <w:vAlign w:val="bottom"/>
            <w:gridSpan w:val="9"/>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24"/>
                <w:szCs w:val="24"/>
                <w:color w:val="auto"/>
              </w:rPr>
            </w:pPr>
          </w:p>
        </w:tc>
        <w:tc>
          <w:tcPr>
            <w:tcW w:w="9580" w:type="dxa"/>
            <w:vAlign w:val="bottom"/>
            <w:gridSpan w:val="14"/>
          </w:tcPr>
          <w:p>
            <w:pPr>
              <w:spacing w:after="0"/>
              <w:rPr>
                <w:rFonts w:ascii="Arial" w:cs="Arial" w:eastAsia="Arial" w:hAnsi="Arial"/>
                <w:sz w:val="18"/>
                <w:szCs w:val="18"/>
                <w:color w:val="0000EE"/>
                <w:w w:val="94"/>
              </w:rPr>
            </w:pPr>
            <w:hyperlink w:anchor="page106">
              <w:r>
                <w:rPr>
                  <w:rFonts w:ascii="Arial" w:cs="Arial" w:eastAsia="Arial" w:hAnsi="Arial"/>
                  <w:sz w:val="18"/>
                  <w:szCs w:val="18"/>
                  <w:color w:val="0000EE"/>
                  <w:w w:val="94"/>
                </w:rPr>
                <w:t>Rights Agreement, dated as of October 20, 2021, by and among the Company and American Stock Transfer &amp; Trust Company,</w:t>
              </w:r>
            </w:hyperlink>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LLC, as rights agent.</w:t>
              </w:r>
            </w:hyperlink>
          </w:p>
        </w:tc>
        <w:tc>
          <w:tcPr>
            <w:tcW w:w="7620" w:type="dxa"/>
            <w:vAlign w:val="bottom"/>
            <w:tcBorders>
              <w:top w:val="single" w:sz="8" w:color="0000EE"/>
            </w:tcBorders>
            <w:gridSpan w:val="5"/>
          </w:tcPr>
          <w:p>
            <w:pPr>
              <w:spacing w:after="0"/>
              <w:rPr>
                <w:sz w:val="17"/>
                <w:szCs w:val="17"/>
                <w:color w:val="auto"/>
              </w:rPr>
            </w:pPr>
          </w:p>
        </w:tc>
        <w:tc>
          <w:tcPr>
            <w:tcW w:w="440" w:type="dxa"/>
            <w:vAlign w:val="bottom"/>
            <w:gridSpan w:val="6"/>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95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63">
              <w:r>
                <w:rPr>
                  <w:rFonts w:ascii="Arial" w:cs="Arial" w:eastAsia="Arial" w:hAnsi="Arial"/>
                  <w:sz w:val="18"/>
                  <w:szCs w:val="18"/>
                  <w:color w:val="0000EE"/>
                  <w:w w:val="89"/>
                </w:rPr>
                <w:t>Controlled Company Agreement, dated as of October 20, 2021, by and among the Company, the 210 Group, the RCP Group and the</w:t>
              </w:r>
            </w:hyperlink>
          </w:p>
        </w:tc>
        <w:tc>
          <w:tcPr>
            <w:tcW w:w="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63">
              <w:r>
                <w:rPr>
                  <w:rFonts w:ascii="Arial" w:cs="Arial" w:eastAsia="Arial" w:hAnsi="Arial"/>
                  <w:sz w:val="18"/>
                  <w:szCs w:val="18"/>
                  <w:color w:val="0000EE"/>
                  <w:w w:val="91"/>
                </w:rPr>
                <w:t>TrueBridge Group.</w:t>
              </w:r>
            </w:hyperlink>
          </w:p>
        </w:tc>
        <w:tc>
          <w:tcPr>
            <w:tcW w:w="8200" w:type="dxa"/>
            <w:vAlign w:val="bottom"/>
            <w:gridSpan w:val="1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720" w:type="dxa"/>
            <w:vAlign w:val="bottom"/>
          </w:tcPr>
          <w:p>
            <w:pPr>
              <w:spacing w:after="0"/>
              <w:rPr>
                <w:sz w:val="24"/>
                <w:szCs w:val="24"/>
                <w:color w:val="auto"/>
              </w:rPr>
            </w:pPr>
          </w:p>
        </w:tc>
        <w:tc>
          <w:tcPr>
            <w:tcW w:w="9580" w:type="dxa"/>
            <w:vAlign w:val="bottom"/>
            <w:gridSpan w:val="14"/>
          </w:tcPr>
          <w:p>
            <w:pPr>
              <w:spacing w:after="0"/>
              <w:rPr>
                <w:rFonts w:ascii="Arial" w:cs="Arial" w:eastAsia="Arial" w:hAnsi="Arial"/>
                <w:sz w:val="18"/>
                <w:szCs w:val="18"/>
                <w:color w:val="0000EE"/>
                <w:w w:val="89"/>
              </w:rPr>
            </w:pPr>
            <w:hyperlink w:anchor="page182">
              <w:r>
                <w:rPr>
                  <w:rFonts w:ascii="Arial" w:cs="Arial" w:eastAsia="Arial" w:hAnsi="Arial"/>
                  <w:sz w:val="18"/>
                  <w:szCs w:val="18"/>
                  <w:color w:val="0000EE"/>
                  <w:w w:val="89"/>
                </w:rPr>
                <w:t>Stockholders Agreement, dated as of October 20, 2021, by and among the Company and each of the other persons and entities party</w:t>
              </w:r>
            </w:hyperlink>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thereto.</w:t>
              </w:r>
            </w:hyperlink>
          </w:p>
        </w:tc>
        <w:tc>
          <w:tcPr>
            <w:tcW w:w="8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24"/>
                <w:szCs w:val="24"/>
                <w:color w:val="auto"/>
              </w:rPr>
            </w:pPr>
          </w:p>
        </w:tc>
        <w:tc>
          <w:tcPr>
            <w:tcW w:w="9420" w:type="dxa"/>
            <w:vAlign w:val="bottom"/>
            <w:tcBorders>
              <w:bottom w:val="single" w:sz="8" w:color="0000EE"/>
            </w:tcBorders>
            <w:gridSpan w:val="10"/>
          </w:tcPr>
          <w:p>
            <w:pPr>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Form of Indemnification Agreement to be entered into between the Company and certain of its directors and officers (incorporated</w:t>
              </w:r>
            </w:hyperlink>
          </w:p>
        </w:tc>
        <w:tc>
          <w:tcPr>
            <w:tcW w:w="16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80" w:type="dxa"/>
            <w:vAlign w:val="bottom"/>
            <w:gridSpan w:val="14"/>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by reference to Exhibit 10.3 of the Registrant’s Registration Statement on Form S-1, filed on September 27, 2021).</w:t>
              </w:r>
            </w:hyperlink>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5960" w:type="dxa"/>
            <w:vAlign w:val="bottom"/>
            <w:gridSpan w:val="3"/>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720" w:type="dxa"/>
            <w:vAlign w:val="bottom"/>
          </w:tcPr>
          <w:p>
            <w:pPr>
              <w:spacing w:after="0"/>
              <w:rPr>
                <w:sz w:val="24"/>
                <w:szCs w:val="24"/>
                <w:color w:val="auto"/>
              </w:rPr>
            </w:pPr>
          </w:p>
        </w:tc>
        <w:tc>
          <w:tcPr>
            <w:tcW w:w="9440" w:type="dxa"/>
            <w:vAlign w:val="bottom"/>
            <w:tcBorders>
              <w:bottom w:val="single" w:sz="8" w:color="0000EE"/>
            </w:tcBorders>
            <w:gridSpan w:val="11"/>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P10, Inc. 2021 Equity Incentive Plan (incorporated by reference to Exhibit 10.1 of the Registrant’s Registration Statement on Form</w:t>
              </w:r>
            </w:hyperlink>
          </w:p>
        </w:tc>
        <w:tc>
          <w:tcPr>
            <w:tcW w:w="14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S-1, filed on October 18, 2021).</w:t>
              </w:r>
            </w:hyperlink>
          </w:p>
        </w:tc>
        <w:tc>
          <w:tcPr>
            <w:tcW w:w="7280" w:type="dxa"/>
            <w:vAlign w:val="bottom"/>
            <w:gridSpan w:val="10"/>
          </w:tcPr>
          <w:p>
            <w:pPr>
              <w:spacing w:after="0"/>
              <w:rPr>
                <w:sz w:val="17"/>
                <w:szCs w:val="17"/>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Dated: October 26, 2021</w:t>
      </w:r>
      <w:r>
        <w:rPr>
          <w:sz w:val="20"/>
          <w:szCs w:val="20"/>
          <w:color w:val="auto"/>
        </w:rPr>
        <w:tab/>
      </w:r>
      <w:r>
        <w:rPr>
          <w:rFonts w:ascii="Arial" w:cs="Arial" w:eastAsia="Arial" w:hAnsi="Arial"/>
          <w:sz w:val="16"/>
          <w:szCs w:val="16"/>
          <w:b w:val="1"/>
          <w:bCs w:val="1"/>
          <w:color w:val="auto"/>
        </w:rPr>
        <w:t>P10, Inc.</w:t>
      </w:r>
    </w:p>
    <w:p>
      <w:pPr>
        <w:spacing w:after="0" w:line="229"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Amanda Coussens</w:t>
      </w:r>
    </w:p>
    <w:p>
      <w:pPr>
        <w:spacing w:after="0" w:line="23"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0700"/>
          </w:cols>
          <w:pgMar w:left="440" w:top="270" w:right="7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P10,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20, 2021</w:t>
      </w:r>
    </w:p>
    <w:p>
      <w:pPr>
        <w:sectPr>
          <w:pgSz w:w="11900" w:h="16838" w:orient="portrait"/>
          <w:cols w:equalWidth="0" w:num="1">
            <w:col w:w="11020"/>
          </w:cols>
          <w:pgMar w:left="440" w:top="12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NY 10179</w:t>
      </w:r>
    </w:p>
    <w:p>
      <w:pPr>
        <w:spacing w:after="0" w:line="224" w:lineRule="exact"/>
        <w:rPr>
          <w:sz w:val="20"/>
          <w:szCs w:val="20"/>
          <w:color w:val="auto"/>
        </w:rPr>
      </w:pPr>
    </w:p>
    <w:p>
      <w:pPr>
        <w:jc w:val="right"/>
        <w:ind w:right="9240"/>
        <w:spacing w:after="0"/>
        <w:rPr>
          <w:sz w:val="20"/>
          <w:szCs w:val="20"/>
          <w:color w:val="auto"/>
        </w:rPr>
      </w:pPr>
      <w:r>
        <w:rPr>
          <w:rFonts w:ascii="Arial" w:cs="Arial" w:eastAsia="Arial" w:hAnsi="Arial"/>
          <w:sz w:val="16"/>
          <w:szCs w:val="16"/>
          <w:color w:val="auto"/>
        </w:rPr>
        <w:t>c/o Barclays Capital Inc.</w:t>
      </w:r>
    </w:p>
    <w:p>
      <w:pPr>
        <w:spacing w:after="0" w:line="46" w:lineRule="exact"/>
        <w:rPr>
          <w:sz w:val="20"/>
          <w:szCs w:val="20"/>
          <w:color w:val="auto"/>
        </w:rPr>
      </w:pPr>
    </w:p>
    <w:p>
      <w:pPr>
        <w:jc w:val="right"/>
        <w:ind w:right="9280"/>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New York 10019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P10,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II hereto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Underwriters</w:t>
      </w:r>
      <w:r>
        <w:rPr>
          <w:rFonts w:ascii="Arial" w:cs="Arial" w:eastAsia="Arial" w:hAnsi="Arial"/>
          <w:sz w:val="16"/>
          <w:szCs w:val="16"/>
          <w:color w:val="auto"/>
        </w:rPr>
        <w:t>”), and certain shareholders of the Company (the “</w:t>
      </w:r>
      <w:r>
        <w:rPr>
          <w:rFonts w:ascii="Arial" w:cs="Arial" w:eastAsia="Arial" w:hAnsi="Arial"/>
          <w:sz w:val="16"/>
          <w:szCs w:val="16"/>
          <w:b w:val="1"/>
          <w:bCs w:val="1"/>
          <w:color w:val="auto"/>
        </w:rPr>
        <w:t>Selling Shareholders</w:t>
      </w:r>
      <w:r>
        <w:rPr>
          <w:rFonts w:ascii="Arial" w:cs="Arial" w:eastAsia="Arial" w:hAnsi="Arial"/>
          <w:sz w:val="16"/>
          <w:szCs w:val="16"/>
          <w:color w:val="auto"/>
        </w:rPr>
        <w:t>”) named in Schedule I hereto severally propose to sell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several Underwriters, an aggregate of 20,000,000 shares of the Company’s Class A common stock, par value $0.001 per share (the “</w:t>
      </w:r>
      <w:r>
        <w:rPr>
          <w:rFonts w:ascii="Arial" w:cs="Arial" w:eastAsia="Arial" w:hAnsi="Arial"/>
          <w:sz w:val="16"/>
          <w:szCs w:val="16"/>
          <w:b w:val="1"/>
          <w:bCs w:val="1"/>
          <w:color w:val="auto"/>
        </w:rPr>
        <w:t>Firm Shares</w:t>
      </w:r>
      <w:r>
        <w:rPr>
          <w:rFonts w:ascii="Arial" w:cs="Arial" w:eastAsia="Arial" w:hAnsi="Arial"/>
          <w:sz w:val="16"/>
          <w:szCs w:val="16"/>
          <w:color w:val="auto"/>
        </w:rPr>
        <w: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11,500,000 shares are to be issued and sold by the Company and 8,500,000 shares are to be sold by the Selling Shareholders, each Selling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Shareholder selling the amount set forth opposite such Selling Shareholder’s name in Schedule I hereto.</w:t>
      </w:r>
    </w:p>
    <w:p>
      <w:pPr>
        <w:spacing w:after="0" w:line="211"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The Selling Shareholders also propose to sell to the several Underwriters not more than an additional 3,000,000 shares of the Company’s Class A common stock, par value $0.001 per share (the “</w:t>
      </w:r>
      <w:r>
        <w:rPr>
          <w:rFonts w:ascii="Arial" w:cs="Arial" w:eastAsia="Arial" w:hAnsi="Arial"/>
          <w:sz w:val="16"/>
          <w:szCs w:val="16"/>
          <w:b w:val="1"/>
          <w:bCs w:val="1"/>
          <w:color w:val="auto"/>
        </w:rPr>
        <w:t>Additional Shares</w:t>
      </w:r>
      <w:r>
        <w:rPr>
          <w:rFonts w:ascii="Arial" w:cs="Arial" w:eastAsia="Arial" w:hAnsi="Arial"/>
          <w:sz w:val="16"/>
          <w:szCs w:val="16"/>
          <w:color w:val="auto"/>
        </w:rPr>
        <w:t>”) if and to the extent that Morgan Stanley &amp; Co. LLC (“</w:t>
      </w:r>
      <w:r>
        <w:rPr>
          <w:rFonts w:ascii="Arial" w:cs="Arial" w:eastAsia="Arial" w:hAnsi="Arial"/>
          <w:sz w:val="16"/>
          <w:szCs w:val="16"/>
          <w:b w:val="1"/>
          <w:bCs w:val="1"/>
          <w:color w:val="auto"/>
        </w:rPr>
        <w:t>Morgan Stanley</w:t>
      </w:r>
      <w:r>
        <w:rPr>
          <w:rFonts w:ascii="Arial" w:cs="Arial" w:eastAsia="Arial" w:hAnsi="Arial"/>
          <w:sz w:val="16"/>
          <w:szCs w:val="16"/>
          <w:color w:val="auto"/>
        </w:rPr>
        <w:t>”), J.P. Morgan Securities LLC and Barclays Capital Inc., as representatives of the several Underwriters (the “</w:t>
      </w:r>
      <w:r>
        <w:rPr>
          <w:rFonts w:ascii="Arial" w:cs="Arial" w:eastAsia="Arial" w:hAnsi="Arial"/>
          <w:sz w:val="16"/>
          <w:szCs w:val="16"/>
          <w:b w:val="1"/>
          <w:bCs w:val="1"/>
          <w:color w:val="auto"/>
        </w:rPr>
        <w:t>Representatives</w:t>
      </w:r>
      <w:r>
        <w:rPr>
          <w:rFonts w:ascii="Arial" w:cs="Arial" w:eastAsia="Arial" w:hAnsi="Arial"/>
          <w:sz w:val="16"/>
          <w:szCs w:val="16"/>
          <w:color w:val="auto"/>
        </w:rPr>
        <w:t>”), shall have determined to exercise, on behalf of the Underwriters, the right to purchase such shares of common stock granted to the Underwriters in Section 3 hereof. The Firm Shares and the Additional Shares are hereinafter collectively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 The shares of Class A common stock, par value $0.001 per share of the Company to be outstanding after giving effect to the sales contemplated hereby are hereinafter referred to as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and such Class A Common Stock, together with the shares of Class B common stock, par value $0.001 per share, of the Company (the “</w:t>
      </w:r>
      <w:r>
        <w:rPr>
          <w:rFonts w:ascii="Arial" w:cs="Arial" w:eastAsia="Arial" w:hAnsi="Arial"/>
          <w:sz w:val="16"/>
          <w:szCs w:val="16"/>
          <w:b w:val="1"/>
          <w:bCs w:val="1"/>
          <w:color w:val="auto"/>
        </w:rPr>
        <w:t>Class B</w:t>
      </w:r>
      <w:r>
        <w:rPr>
          <w:rFonts w:ascii="Arial" w:cs="Arial" w:eastAsia="Arial" w:hAnsi="Arial"/>
          <w:sz w:val="16"/>
          <w:szCs w:val="16"/>
          <w:color w:val="auto"/>
        </w:rPr>
        <w:t xml:space="preserve"> </w:t>
      </w:r>
      <w:r>
        <w:rPr>
          <w:rFonts w:ascii="Arial" w:cs="Arial" w:eastAsia="Arial" w:hAnsi="Arial"/>
          <w:sz w:val="16"/>
          <w:szCs w:val="16"/>
          <w:b w:val="1"/>
          <w:bCs w:val="1"/>
          <w:color w:val="auto"/>
        </w:rPr>
        <w:t>Common Stock</w:t>
      </w:r>
      <w:r>
        <w:rPr>
          <w:rFonts w:ascii="Arial" w:cs="Arial" w:eastAsia="Arial" w:hAnsi="Arial"/>
          <w:sz w:val="16"/>
          <w:szCs w:val="16"/>
          <w:color w:val="auto"/>
        </w:rPr>
        <w:t>”) to be issued in connection with the offering, are hereinafter collectively referred to as the “</w:t>
      </w:r>
      <w:r>
        <w:rPr>
          <w:rFonts w:ascii="Arial" w:cs="Arial" w:eastAsia="Arial" w:hAnsi="Arial"/>
          <w:sz w:val="16"/>
          <w:szCs w:val="16"/>
          <w:b w:val="1"/>
          <w:bCs w:val="1"/>
          <w:color w:val="auto"/>
        </w:rPr>
        <w:t>Common Stock</w:t>
      </w:r>
      <w:r>
        <w:rPr>
          <w:rFonts w:ascii="Arial" w:cs="Arial" w:eastAsia="Arial" w:hAnsi="Arial"/>
          <w:sz w:val="16"/>
          <w:szCs w:val="16"/>
          <w:color w:val="auto"/>
        </w:rPr>
        <w:t>.”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Selling Shareholders are hereinafter sometimes collectively referred to as the “</w:t>
      </w:r>
      <w:r>
        <w:rPr>
          <w:rFonts w:ascii="Arial" w:cs="Arial" w:eastAsia="Arial" w:hAnsi="Arial"/>
          <w:sz w:val="16"/>
          <w:szCs w:val="16"/>
          <w:b w:val="1"/>
          <w:bCs w:val="1"/>
          <w:color w:val="auto"/>
        </w:rPr>
        <w:t>Sellers</w:t>
      </w:r>
      <w:r>
        <w:rPr>
          <w:rFonts w:ascii="Arial" w:cs="Arial" w:eastAsia="Arial" w:hAnsi="Arial"/>
          <w:sz w:val="16"/>
          <w:szCs w:val="16"/>
          <w:color w:val="auto"/>
        </w:rPr>
        <w:t>.”</w:t>
      </w:r>
    </w:p>
    <w:p>
      <w:pPr>
        <w:sectPr>
          <w:pgSz w:w="11900" w:h="16838" w:orient="portrait"/>
          <w:cols w:equalWidth="0" w:num="1">
            <w:col w:w="11020"/>
          </w:cols>
          <w:pgMar w:left="440" w:top="274" w:right="439" w:bottom="1440" w:gutter="0" w:footer="0" w:header="0"/>
        </w:sectPr>
      </w:pPr>
    </w:p>
    <w:bookmarkStart w:id="7" w:name="page8"/>
    <w:bookmarkEnd w:id="7"/>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transactions described in the Time of Sale Prospectus (as defined below) under “Organizational Structure” are referred to collectively as the “</w:t>
      </w:r>
      <w:r>
        <w:rPr>
          <w:rFonts w:ascii="Arial" w:cs="Arial" w:eastAsia="Arial" w:hAnsi="Arial"/>
          <w:sz w:val="17"/>
          <w:szCs w:val="17"/>
          <w:b w:val="1"/>
          <w:bCs w:val="1"/>
          <w:color w:val="auto"/>
        </w:rPr>
        <w:t>Reorganization Transactions</w:t>
      </w:r>
      <w:r>
        <w:rPr>
          <w:rFonts w:ascii="Arial" w:cs="Arial" w:eastAsia="Arial" w:hAnsi="Arial"/>
          <w:sz w:val="17"/>
          <w:szCs w:val="17"/>
          <w:color w:val="auto"/>
        </w:rPr>
        <w:t>.” The documents set forth on Schedule III hereto, which have been, or will be, amended and restated or entered into, as applicable, pursuant to the Reorganization Transactions, are referred to as the “</w:t>
      </w:r>
      <w:r>
        <w:rPr>
          <w:rFonts w:ascii="Arial" w:cs="Arial" w:eastAsia="Arial" w:hAnsi="Arial"/>
          <w:sz w:val="17"/>
          <w:szCs w:val="17"/>
          <w:b w:val="1"/>
          <w:bCs w:val="1"/>
          <w:color w:val="auto"/>
        </w:rPr>
        <w:t>Reorganization Documents</w:t>
      </w:r>
      <w:r>
        <w:rPr>
          <w:rFonts w:ascii="Arial" w:cs="Arial" w:eastAsia="Arial" w:hAnsi="Arial"/>
          <w:sz w:val="17"/>
          <w:szCs w:val="17"/>
          <w:color w:val="auto"/>
        </w:rPr>
        <w:t>.” Any term used and not defined herein shall have the meaning ascribed to such term in the Time of Sale Prospectus. Unless the context otherwise requires, references herein to the “Company” prior to the effectiveness of the Reorganization Transactions shall refer to P10 Holdings (as defined herein).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S-1 (File</w:t>
      </w:r>
    </w:p>
    <w:p>
      <w:pPr>
        <w:spacing w:after="0" w:line="3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 333-259823),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If the Company has filed an abbreviated registration statement to register additional shares of Common Stock pursuant to Rule 462(b) under the Securities Act (a “</w:t>
      </w:r>
      <w:r>
        <w:rPr>
          <w:rFonts w:ascii="Arial" w:cs="Arial" w:eastAsia="Arial" w:hAnsi="Arial"/>
          <w:sz w:val="17"/>
          <w:szCs w:val="17"/>
          <w:b w:val="1"/>
          <w:bCs w:val="1"/>
          <w:color w:val="auto"/>
        </w:rPr>
        <w:t>Rule 462 Registration Statement</w:t>
      </w:r>
      <w:r>
        <w:rPr>
          <w:rFonts w:ascii="Arial" w:cs="Arial" w:eastAsia="Arial" w:hAnsi="Arial"/>
          <w:sz w:val="17"/>
          <w:szCs w:val="17"/>
          <w:color w:val="auto"/>
        </w:rPr>
        <w:t>”), then any reference herein to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be deemed to include such Rule 462 Registration Statement.</w:t>
      </w:r>
    </w:p>
    <w:p>
      <w:pPr>
        <w:spacing w:after="0" w:line="17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For purposes of this Underwriting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w:t>
      </w:r>
      <w:r>
        <w:rPr>
          <w:rFonts w:ascii="Arial" w:cs="Arial" w:eastAsia="Arial" w:hAnsi="Arial"/>
          <w:sz w:val="17"/>
          <w:szCs w:val="17"/>
          <w:b w:val="1"/>
          <w:bCs w:val="1"/>
          <w:color w:val="auto"/>
        </w:rPr>
        <w:t>preliminary prospectus</w:t>
      </w:r>
      <w:r>
        <w:rPr>
          <w:rFonts w:ascii="Arial" w:cs="Arial" w:eastAsia="Arial" w:hAnsi="Arial"/>
          <w:sz w:val="17"/>
          <w:szCs w:val="17"/>
          <w:color w:val="auto"/>
        </w:rPr>
        <w:t>” shall mean each prospectus used prior to the effectiveness of the Registration Statement, and each prospectus that omitted information pursuant to Rule 430A under the Securities Act that was used after such effectiveness and prior to the execution and delivery of this Agreement, “</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preliminary prospectus contained in the Registration Statement at the time of its effectiveness together with the documents, pricing information and free writing prospectuses, if any, set forth in Schedule IV hereto, and “</w:t>
      </w:r>
      <w:r>
        <w:rPr>
          <w:rFonts w:ascii="Arial" w:cs="Arial" w:eastAsia="Arial" w:hAnsi="Arial"/>
          <w:sz w:val="17"/>
          <w:szCs w:val="17"/>
          <w:b w:val="1"/>
          <w:bCs w:val="1"/>
          <w:color w:val="auto"/>
        </w:rPr>
        <w:t>broadly available road</w:t>
      </w:r>
      <w:r>
        <w:rPr>
          <w:rFonts w:ascii="Arial" w:cs="Arial" w:eastAsia="Arial" w:hAnsi="Arial"/>
          <w:sz w:val="17"/>
          <w:szCs w:val="17"/>
          <w:color w:val="auto"/>
        </w:rPr>
        <w:t xml:space="preserve"> </w:t>
      </w:r>
      <w:r>
        <w:rPr>
          <w:rFonts w:ascii="Arial" w:cs="Arial" w:eastAsia="Arial" w:hAnsi="Arial"/>
          <w:sz w:val="17"/>
          <w:szCs w:val="17"/>
          <w:b w:val="1"/>
          <w:bCs w:val="1"/>
          <w:color w:val="auto"/>
        </w:rPr>
        <w:t>show</w:t>
      </w:r>
      <w:r>
        <w:rPr>
          <w:rFonts w:ascii="Arial" w:cs="Arial" w:eastAsia="Arial" w:hAnsi="Arial"/>
          <w:sz w:val="17"/>
          <w:szCs w:val="17"/>
          <w:color w:val="auto"/>
        </w:rPr>
        <w:t>” means a “bona fide electronic road show” as defined in Rule 433(h)(5) under the Securities Act that has been made available without restriction</w:t>
      </w:r>
      <w:r>
        <w:rPr>
          <w:rFonts w:ascii="Arial" w:cs="Arial" w:eastAsia="Arial" w:hAnsi="Arial"/>
          <w:sz w:val="17"/>
          <w:szCs w:val="17"/>
          <w:b w:val="1"/>
          <w:bCs w:val="1"/>
          <w:color w:val="auto"/>
        </w:rPr>
        <w:t xml:space="preserve"> </w:t>
      </w:r>
      <w:r>
        <w:rPr>
          <w:rFonts w:ascii="Arial" w:cs="Arial" w:eastAsia="Arial" w:hAnsi="Arial"/>
          <w:sz w:val="17"/>
          <w:szCs w:val="17"/>
          <w:color w:val="auto"/>
        </w:rPr>
        <w:t>to any person. As used herein, the terms “Registration Statement,” “preliminary prospectus,” “Time of Sale Prospectus” and “Prospectus” shall include the documents, if any, incorporated by reference therein as of the date hereof.</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8" w:name="page9"/>
    <w:bookmarkEnd w:id="8"/>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has agreed to reserve a portion of the Shares to be purchased by it under this Agreement for sale to the Company’s directors, officers, employees and business associates and other parties related to the Company (collectively, “</w:t>
      </w:r>
      <w:r>
        <w:rPr>
          <w:rFonts w:ascii="Arial" w:cs="Arial" w:eastAsia="Arial" w:hAnsi="Arial"/>
          <w:sz w:val="18"/>
          <w:szCs w:val="18"/>
          <w:b w:val="1"/>
          <w:bCs w:val="1"/>
          <w:color w:val="auto"/>
        </w:rPr>
        <w:t>Participants</w:t>
      </w:r>
      <w:r>
        <w:rPr>
          <w:rFonts w:ascii="Arial" w:cs="Arial" w:eastAsia="Arial" w:hAnsi="Arial"/>
          <w:sz w:val="18"/>
          <w:szCs w:val="18"/>
          <w:color w:val="auto"/>
        </w:rPr>
        <w:t>”), as set forth in each of the Time of Sale Prospectus and the Prospectus under the heading “Underwriters” (the “</w:t>
      </w:r>
      <w:r>
        <w:rPr>
          <w:rFonts w:ascii="Arial" w:cs="Arial" w:eastAsia="Arial" w:hAnsi="Arial"/>
          <w:sz w:val="18"/>
          <w:szCs w:val="18"/>
          <w:b w:val="1"/>
          <w:bCs w:val="1"/>
          <w:color w:val="auto"/>
        </w:rPr>
        <w:t>Directed Share Program</w:t>
      </w:r>
      <w:r>
        <w:rPr>
          <w:rFonts w:ascii="Arial" w:cs="Arial" w:eastAsia="Arial" w:hAnsi="Arial"/>
          <w:sz w:val="18"/>
          <w:szCs w:val="18"/>
          <w:color w:val="auto"/>
        </w:rPr>
        <w:t>”). The Shares to be sold by Morgan Stanley and its affiliates pursuant to the Directed Share Program, at the direction of the Company, are referred to hereinafter as the “</w:t>
      </w:r>
      <w:r>
        <w:rPr>
          <w:rFonts w:ascii="Arial" w:cs="Arial" w:eastAsia="Arial" w:hAnsi="Arial"/>
          <w:sz w:val="18"/>
          <w:szCs w:val="18"/>
          <w:b w:val="1"/>
          <w:bCs w:val="1"/>
          <w:color w:val="auto"/>
        </w:rPr>
        <w:t>Directed Shares</w:t>
      </w:r>
      <w:r>
        <w:rPr>
          <w:rFonts w:ascii="Arial" w:cs="Arial" w:eastAsia="Arial" w:hAnsi="Arial"/>
          <w:sz w:val="18"/>
          <w:szCs w:val="18"/>
          <w:color w:val="auto"/>
        </w:rPr>
        <w:t>”. Any Directed Shares not orally confirmed for purchase by any Participant by the end of the business day on which this Agreement is executed will be offered to the public by the Underwriters as set forth in the Prospectus.</w:t>
      </w:r>
    </w:p>
    <w:p>
      <w:pPr>
        <w:spacing w:after="0" w:line="192" w:lineRule="exact"/>
        <w:rPr>
          <w:sz w:val="20"/>
          <w:szCs w:val="20"/>
          <w:color w:val="auto"/>
        </w:rPr>
      </w:pPr>
    </w:p>
    <w:p>
      <w:pPr>
        <w:ind w:left="620" w:hanging="184"/>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The Company represents and warrants to and agrees with each of the Underwriters that:</w:t>
      </w:r>
    </w:p>
    <w:p>
      <w:pPr>
        <w:spacing w:after="0" w:line="140" w:lineRule="exact"/>
        <w:rPr>
          <w:rFonts w:ascii="Arial" w:cs="Arial" w:eastAsia="Arial" w:hAnsi="Arial"/>
          <w:sz w:val="16"/>
          <w:szCs w:val="16"/>
          <w:color w:val="auto"/>
        </w:rPr>
      </w:pPr>
    </w:p>
    <w:p>
      <w:pPr>
        <w:ind w:left="440" w:right="80" w:firstLine="419"/>
        <w:spacing w:after="0" w:line="263" w:lineRule="auto"/>
        <w:tabs>
          <w:tab w:leader="none" w:pos="1108"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knowledge of the Company, threatened by the Commission.</w:t>
      </w:r>
    </w:p>
    <w:p>
      <w:pPr>
        <w:spacing w:after="0" w:line="75" w:lineRule="exact"/>
        <w:rPr>
          <w:rFonts w:ascii="Arial" w:cs="Arial" w:eastAsia="Arial" w:hAnsi="Arial"/>
          <w:sz w:val="18"/>
          <w:szCs w:val="18"/>
          <w:color w:val="auto"/>
        </w:rPr>
      </w:pPr>
    </w:p>
    <w:p>
      <w:pPr>
        <w:ind w:left="440" w:right="40" w:firstLine="419"/>
        <w:spacing w:after="0" w:line="285" w:lineRule="auto"/>
        <w:tabs>
          <w:tab w:leader="none" w:pos="1118" w:val="left"/>
        </w:tabs>
        <w:numPr>
          <w:ilvl w:val="1"/>
          <w:numId w:val="3"/>
        </w:numPr>
        <w:rPr>
          <w:rFonts w:ascii="Arial" w:cs="Arial" w:eastAsia="Arial" w:hAnsi="Arial"/>
          <w:sz w:val="16"/>
          <w:szCs w:val="16"/>
          <w:color w:val="auto"/>
        </w:rPr>
      </w:pPr>
      <w:r>
        <w:rPr>
          <w:rFonts w:ascii="Arial" w:cs="Arial" w:eastAsia="Arial" w:hAnsi="Arial"/>
          <w:sz w:val="16"/>
          <w:szCs w:val="16"/>
          <w:color w:val="auto"/>
        </w:rPr>
        <w:t>(i)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as of the date of such amendment or supplement,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as of the date of such amendment or supplement,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as of the date of such amendment or supplement and as of the Closing Date and any Option Closing Date (as hereinafter defined),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9" w:name="page10"/>
    <w:bookmarkEnd w:id="9"/>
    <w:p>
      <w:pPr>
        <w:ind w:right="20" w:firstLine="419"/>
        <w:spacing w:after="0" w:line="290" w:lineRule="auto"/>
        <w:tabs>
          <w:tab w:leader="none" w:pos="668"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IV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57" w:lineRule="exact"/>
        <w:rPr>
          <w:rFonts w:ascii="Arial" w:cs="Arial" w:eastAsia="Arial" w:hAnsi="Arial"/>
          <w:sz w:val="16"/>
          <w:szCs w:val="16"/>
          <w:color w:val="auto"/>
        </w:rPr>
      </w:pPr>
    </w:p>
    <w:p>
      <w:pPr>
        <w:ind w:right="100" w:firstLine="419"/>
        <w:spacing w:after="0" w:line="255" w:lineRule="auto"/>
        <w:tabs>
          <w:tab w:leader="none" w:pos="67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w:t>
      </w:r>
    </w:p>
    <w:p>
      <w:pPr>
        <w:spacing w:after="0" w:line="84" w:lineRule="exact"/>
        <w:rPr>
          <w:rFonts w:ascii="Arial" w:cs="Arial" w:eastAsia="Arial" w:hAnsi="Arial"/>
          <w:sz w:val="18"/>
          <w:szCs w:val="18"/>
          <w:color w:val="auto"/>
        </w:rPr>
      </w:pPr>
    </w:p>
    <w:p>
      <w:pPr>
        <w:ind w:firstLine="419"/>
        <w:spacing w:after="0" w:line="270" w:lineRule="auto"/>
        <w:tabs>
          <w:tab w:leader="none" w:pos="668"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 except as described in the Time of Sale Prospectus.</w:t>
      </w:r>
    </w:p>
    <w:p>
      <w:pPr>
        <w:spacing w:after="0" w:line="72" w:lineRule="exact"/>
        <w:rPr>
          <w:rFonts w:ascii="Arial" w:cs="Arial" w:eastAsia="Arial" w:hAnsi="Arial"/>
          <w:sz w:val="17"/>
          <w:szCs w:val="17"/>
          <w:color w:val="auto"/>
        </w:rPr>
      </w:pPr>
    </w:p>
    <w:p>
      <w:pPr>
        <w:ind w:left="640" w:hanging="2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10" w:name="page11"/>
    <w:bookmarkEnd w:id="10"/>
    <w:p>
      <w:pPr>
        <w:ind w:left="4" w:firstLine="419"/>
        <w:spacing w:after="0" w:line="277" w:lineRule="auto"/>
        <w:tabs>
          <w:tab w:leader="none" w:pos="681"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authorized capital stock of the Company conforms as to legal matters to the description thereof contained in each of the Registration Statement, the Time of Sale Prospectus and the Prospectus.</w:t>
      </w:r>
    </w:p>
    <w:p>
      <w:pPr>
        <w:spacing w:after="0" w:line="62" w:lineRule="exact"/>
        <w:rPr>
          <w:rFonts w:ascii="Arial" w:cs="Arial" w:eastAsia="Arial" w:hAnsi="Arial"/>
          <w:sz w:val="18"/>
          <w:szCs w:val="18"/>
          <w:color w:val="auto"/>
        </w:rPr>
      </w:pPr>
    </w:p>
    <w:p>
      <w:pPr>
        <w:ind w:left="4" w:right="460" w:firstLine="419"/>
        <w:spacing w:after="0" w:line="263" w:lineRule="auto"/>
        <w:tabs>
          <w:tab w:leader="none" w:pos="681"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shares of Common Stock (including the Shares to be sold by the Selling Shareholders) outstanding prior to the issuance of the Shares to be sold by the Company have been duly authorized and are validly issued, fully paid and non-assessable and are not subject to preemptive or similar rights.</w:t>
      </w:r>
    </w:p>
    <w:p>
      <w:pPr>
        <w:spacing w:after="0" w:line="75" w:lineRule="exact"/>
        <w:rPr>
          <w:rFonts w:ascii="Arial" w:cs="Arial" w:eastAsia="Arial" w:hAnsi="Arial"/>
          <w:sz w:val="18"/>
          <w:szCs w:val="18"/>
          <w:color w:val="auto"/>
        </w:rPr>
      </w:pPr>
    </w:p>
    <w:p>
      <w:pPr>
        <w:jc w:val="both"/>
        <w:ind w:left="4" w:right="80" w:firstLine="419"/>
        <w:spacing w:after="0" w:line="279" w:lineRule="auto"/>
        <w:tabs>
          <w:tab w:leader="none" w:pos="641"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Shares to be sold by the Company and the Common Stock to be issued pursuant to the Reorganization Transactions have been duly authorized and, when issued, delivered and paid for in accordance with the terms of this Agreement and, in the case of the Common Stock to be issued pursuant to the Reorganization Transactions, upon the consummation of the Reorganization Transactions, will be validly issued, fully paid and non-assessable, and the issuance of the Shares will not be subject to any preemptive or similar rights.</w:t>
      </w:r>
    </w:p>
    <w:p>
      <w:pPr>
        <w:spacing w:after="0" w:line="63" w:lineRule="exact"/>
        <w:rPr>
          <w:rFonts w:ascii="Arial" w:cs="Arial" w:eastAsia="Arial" w:hAnsi="Arial"/>
          <w:sz w:val="17"/>
          <w:szCs w:val="17"/>
          <w:color w:val="auto"/>
        </w:rPr>
      </w:pPr>
    </w:p>
    <w:p>
      <w:pPr>
        <w:jc w:val="both"/>
        <w:ind w:left="4" w:right="80" w:firstLine="419"/>
        <w:spacing w:after="0" w:line="291" w:lineRule="auto"/>
        <w:tabs>
          <w:tab w:leader="none" w:pos="641"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and each Reorganization Document will not contravene (i) any provision of applicable law, (ii) the certificate of incorporation or by-laws of the Company,</w:t>
      </w:r>
    </w:p>
    <w:p>
      <w:pPr>
        <w:ind w:left="4" w:right="140" w:hanging="4"/>
        <w:spacing w:after="0" w:line="269" w:lineRule="auto"/>
        <w:tabs>
          <w:tab w:leader="none" w:pos="318"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 of clauses (i), (iii) and (iv), for such contraventions as would not, individually or in the aggregate, reasonably be expected to have material adverse effect on the Company and its subsidiaries, taken as a whole, and no consent, approval, authorization or order of, or qualification with, any governmental body, agency or court is required for the performance by the Company of its obligations under this Agreement or any Reorganization Document to which it is a party, except such as may be required by the securities or Blue Sky laws of the various states in connection with the offer and sale of the Shares.</w:t>
      </w:r>
    </w:p>
    <w:p>
      <w:pPr>
        <w:spacing w:after="0" w:line="72" w:lineRule="exact"/>
        <w:rPr>
          <w:rFonts w:ascii="Arial" w:cs="Arial" w:eastAsia="Arial" w:hAnsi="Arial"/>
          <w:sz w:val="17"/>
          <w:szCs w:val="17"/>
          <w:color w:val="auto"/>
        </w:rPr>
      </w:pPr>
    </w:p>
    <w:p>
      <w:pPr>
        <w:ind w:left="4" w:right="40" w:firstLine="419"/>
        <w:spacing w:after="0" w:line="275" w:lineRule="auto"/>
        <w:tabs>
          <w:tab w:leader="none" w:pos="681" w:val="left"/>
        </w:tabs>
        <w:numPr>
          <w:ilvl w:val="1"/>
          <w:numId w:val="6"/>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(i) in violation of its certificate of incorporation or bylaws (or other applicable organization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w:t>
      </w:r>
    </w:p>
    <w:p>
      <w:pPr>
        <w:spacing w:after="0" w:line="68" w:lineRule="exact"/>
        <w:rPr>
          <w:rFonts w:ascii="Arial" w:cs="Arial" w:eastAsia="Arial" w:hAnsi="Arial"/>
          <w:sz w:val="17"/>
          <w:szCs w:val="17"/>
          <w:color w:val="auto"/>
        </w:rPr>
      </w:pPr>
    </w:p>
    <w:p>
      <w:pPr>
        <w:ind w:left="4" w:right="240" w:firstLine="419"/>
        <w:spacing w:after="0" w:line="263" w:lineRule="auto"/>
        <w:tabs>
          <w:tab w:leader="none" w:pos="641"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16"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4"/>
          </w:cols>
          <w:pgMar w:left="876" w:top="274" w:right="499" w:bottom="1440" w:gutter="0" w:footer="0" w:header="0"/>
        </w:sectPr>
      </w:pPr>
    </w:p>
    <w:bookmarkStart w:id="11" w:name="page12"/>
    <w:bookmarkEnd w:id="11"/>
    <w:p>
      <w:pPr>
        <w:ind w:firstLine="419"/>
        <w:spacing w:after="0" w:line="269" w:lineRule="auto"/>
        <w:tabs>
          <w:tab w:leader="none" w:pos="728"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and its subsidiaries, taken as a whole, or on the power or ability of the Company to perform its obligations under this Agreement, the Reorganization Documents or to consummate the transactions contemplated hereby, thereby or by each of the Registration Statement, the Time of Sale Prospectus and the Prospectus or (ii) that are required to be described in the Registration Statement, the Time of Sale Prospectus or the Prospectus and are not so described; and there are no statutes, regulations, contracts or other documents that are required to be described in the Registration Statement, the Time of Sale Prospectus or the Prospectus or to be filed as exhibits to the Registration Statement that are not described in all material respects or filed as required.</w:t>
      </w:r>
    </w:p>
    <w:p>
      <w:pPr>
        <w:spacing w:after="0" w:line="77" w:lineRule="exact"/>
        <w:rPr>
          <w:rFonts w:ascii="Arial" w:cs="Arial" w:eastAsia="Arial" w:hAnsi="Arial"/>
          <w:sz w:val="17"/>
          <w:szCs w:val="17"/>
          <w:color w:val="auto"/>
        </w:rPr>
      </w:pPr>
    </w:p>
    <w:p>
      <w:pPr>
        <w:ind w:right="100" w:firstLine="419"/>
        <w:spacing w:after="0" w:line="263" w:lineRule="auto"/>
        <w:tabs>
          <w:tab w:leader="none" w:pos="678"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1" w:lineRule="exact"/>
        <w:rPr>
          <w:rFonts w:ascii="Arial" w:cs="Arial" w:eastAsia="Arial" w:hAnsi="Arial"/>
          <w:sz w:val="18"/>
          <w:szCs w:val="18"/>
          <w:color w:val="auto"/>
        </w:rPr>
      </w:pPr>
    </w:p>
    <w:p>
      <w:pPr>
        <w:ind w:right="220" w:firstLine="419"/>
        <w:spacing w:after="0" w:line="314" w:lineRule="auto"/>
        <w:tabs>
          <w:tab w:leader="none" w:pos="678" w:val="left"/>
        </w:tabs>
        <w:numPr>
          <w:ilvl w:val="0"/>
          <w:numId w:val="7"/>
        </w:numPr>
        <w:rPr>
          <w:rFonts w:ascii="Arial" w:cs="Arial" w:eastAsia="Arial" w:hAnsi="Arial"/>
          <w:sz w:val="16"/>
          <w:szCs w:val="16"/>
          <w:color w:val="auto"/>
        </w:rPr>
      </w:pPr>
      <w:r>
        <w:rPr>
          <w:rFonts w:ascii="Arial" w:cs="Arial" w:eastAsia="Arial" w:hAnsi="Arial"/>
          <w:sz w:val="16"/>
          <w:szCs w:val="16"/>
          <w:color w:val="auto"/>
        </w:rPr>
        <w:t>Neither the Company nor P10 Holdings, Inc. (“</w:t>
      </w:r>
      <w:r>
        <w:rPr>
          <w:rFonts w:ascii="Arial" w:cs="Arial" w:eastAsia="Arial" w:hAnsi="Arial"/>
          <w:sz w:val="16"/>
          <w:szCs w:val="16"/>
          <w:b w:val="1"/>
          <w:bCs w:val="1"/>
          <w:color w:val="auto"/>
        </w:rPr>
        <w:t>P10 Holdings</w:t>
      </w:r>
      <w:r>
        <w:rPr>
          <w:rFonts w:ascii="Arial" w:cs="Arial" w:eastAsia="Arial" w:hAnsi="Arial"/>
          <w:sz w:val="16"/>
          <w:szCs w:val="16"/>
          <w:color w:val="auto"/>
        </w:rPr>
        <w:t>”) is, nor after giving effect to the offering and sale of the Shares and the application of the proceeds thereof as described in each of the Registration Statement, the Time of Sale Prospectus and the Prospectus will be, required to register as an “investment company” as such term is defined in the Investment Company Act of 1940, as amended.</w:t>
      </w:r>
    </w:p>
    <w:p>
      <w:pPr>
        <w:spacing w:after="0" w:line="37" w:lineRule="exact"/>
        <w:rPr>
          <w:rFonts w:ascii="Arial" w:cs="Arial" w:eastAsia="Arial" w:hAnsi="Arial"/>
          <w:sz w:val="16"/>
          <w:szCs w:val="16"/>
          <w:color w:val="auto"/>
        </w:rPr>
      </w:pPr>
    </w:p>
    <w:p>
      <w:pPr>
        <w:ind w:right="20" w:firstLine="419"/>
        <w:spacing w:after="0" w:line="272" w:lineRule="auto"/>
        <w:tabs>
          <w:tab w:leader="none" w:pos="6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2" w:name="page13"/>
    <w:bookmarkEnd w:id="12"/>
    <w:p>
      <w:pPr>
        <w:jc w:val="both"/>
        <w:ind w:left="4" w:right="20" w:firstLine="419"/>
        <w:spacing w:after="0" w:line="259" w:lineRule="auto"/>
        <w:tabs>
          <w:tab w:leader="none" w:pos="681" w:val="left"/>
        </w:tabs>
        <w:numPr>
          <w:ilvl w:val="1"/>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Company and its subsidiaries, taken as a whole.</w:t>
      </w:r>
    </w:p>
    <w:p>
      <w:pPr>
        <w:spacing w:after="0" w:line="78" w:lineRule="exact"/>
        <w:rPr>
          <w:rFonts w:ascii="Arial" w:cs="Arial" w:eastAsia="Arial" w:hAnsi="Arial"/>
          <w:sz w:val="18"/>
          <w:szCs w:val="18"/>
          <w:color w:val="auto"/>
        </w:rPr>
      </w:pPr>
    </w:p>
    <w:p>
      <w:pPr>
        <w:jc w:val="both"/>
        <w:ind w:left="4" w:right="80" w:firstLine="419"/>
        <w:spacing w:after="0" w:line="259" w:lineRule="auto"/>
        <w:tabs>
          <w:tab w:leader="none" w:pos="651" w:val="left"/>
        </w:tabs>
        <w:numPr>
          <w:ilvl w:val="1"/>
          <w:numId w:val="8"/>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78" w:lineRule="exact"/>
        <w:rPr>
          <w:rFonts w:ascii="Arial" w:cs="Arial" w:eastAsia="Arial" w:hAnsi="Arial"/>
          <w:sz w:val="18"/>
          <w:szCs w:val="18"/>
          <w:color w:val="auto"/>
        </w:rPr>
      </w:pPr>
    </w:p>
    <w:p>
      <w:pPr>
        <w:ind w:left="4" w:firstLine="419"/>
        <w:spacing w:after="0" w:line="283" w:lineRule="auto"/>
        <w:tabs>
          <w:tab w:leader="none" w:pos="661" w:val="left"/>
        </w:tabs>
        <w:numPr>
          <w:ilvl w:val="1"/>
          <w:numId w:val="8"/>
        </w:numPr>
        <w:rPr>
          <w:rFonts w:ascii="Arial" w:cs="Arial" w:eastAsia="Arial" w:hAnsi="Arial"/>
          <w:sz w:val="16"/>
          <w:szCs w:val="16"/>
          <w:color w:val="auto"/>
        </w:rPr>
      </w:pPr>
      <w:r>
        <w:rPr>
          <w:rFonts w:ascii="Arial" w:cs="Arial" w:eastAsia="Arial" w:hAnsi="Arial"/>
          <w:sz w:val="16"/>
          <w:szCs w:val="16"/>
          <w:color w:val="auto"/>
        </w:rPr>
        <w:t>(i) Each employee benefit plan, within the meaning of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or any member of its “</w:t>
      </w:r>
      <w:r>
        <w:rPr>
          <w:rFonts w:ascii="Arial" w:cs="Arial" w:eastAsia="Arial" w:hAnsi="Arial"/>
          <w:sz w:val="16"/>
          <w:szCs w:val="16"/>
          <w:b w:val="1"/>
          <w:bCs w:val="1"/>
          <w:color w:val="auto"/>
        </w:rPr>
        <w:t>Controlled Group</w:t>
      </w:r>
      <w:r>
        <w:rPr>
          <w:rFonts w:ascii="Arial" w:cs="Arial" w:eastAsia="Arial" w:hAnsi="Arial"/>
          <w:sz w:val="16"/>
          <w:szCs w:val="16"/>
          <w:color w:val="auto"/>
        </w:rPr>
        <w:t>”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would have any liability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w:t>
      </w:r>
    </w:p>
    <w:p>
      <w:pPr>
        <w:spacing w:after="0" w:line="1" w:lineRule="exact"/>
        <w:rPr>
          <w:rFonts w:ascii="Arial" w:cs="Arial" w:eastAsia="Arial" w:hAnsi="Arial"/>
          <w:sz w:val="16"/>
          <w:szCs w:val="16"/>
          <w:color w:val="auto"/>
        </w:rPr>
      </w:pPr>
    </w:p>
    <w:p>
      <w:pPr>
        <w:jc w:val="both"/>
        <w:ind w:left="4" w:right="60" w:hanging="4"/>
        <w:spacing w:after="0" w:line="277" w:lineRule="auto"/>
        <w:tabs>
          <w:tab w:leader="none" w:pos="358" w:val="left"/>
        </w:tabs>
        <w:numPr>
          <w:ilvl w:val="0"/>
          <w:numId w:val="9"/>
        </w:numPr>
        <w:rPr>
          <w:rFonts w:ascii="Arial" w:cs="Arial" w:eastAsia="Arial" w:hAnsi="Arial"/>
          <w:sz w:val="17"/>
          <w:szCs w:val="17"/>
          <w:color w:val="auto"/>
        </w:rPr>
      </w:pPr>
      <w:r>
        <w:rPr>
          <w:rFonts w:ascii="Arial" w:cs="Arial" w:eastAsia="Arial" w:hAnsi="Arial"/>
          <w:sz w:val="17"/>
          <w:szCs w:val="17"/>
          <w:color w:val="auto"/>
        </w:rPr>
        <w:t>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w:t>
      </w:r>
    </w:p>
    <w:p>
      <w:pPr>
        <w:spacing w:after="0" w:line="105"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4"/>
          </w:cols>
          <w:pgMar w:left="876" w:top="274" w:right="479" w:bottom="1440" w:gutter="0" w:footer="0" w:header="0"/>
        </w:sectPr>
      </w:pPr>
    </w:p>
    <w:bookmarkStart w:id="13" w:name="page14"/>
    <w:bookmarkEnd w:id="13"/>
    <w:p>
      <w:pPr>
        <w:ind w:left="4"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57" w:lineRule="exact"/>
        <w:rPr>
          <w:sz w:val="20"/>
          <w:szCs w:val="20"/>
          <w:color w:val="auto"/>
        </w:rPr>
      </w:pPr>
    </w:p>
    <w:p>
      <w:pPr>
        <w:ind w:left="4" w:right="60" w:firstLine="419"/>
        <w:spacing w:after="0" w:line="291" w:lineRule="auto"/>
        <w:tabs>
          <w:tab w:leader="none" w:pos="641" w:val="left"/>
        </w:tabs>
        <w:numPr>
          <w:ilvl w:val="1"/>
          <w:numId w:val="10"/>
        </w:numPr>
        <w:rPr>
          <w:rFonts w:ascii="Arial" w:cs="Arial" w:eastAsia="Arial" w:hAnsi="Arial"/>
          <w:sz w:val="16"/>
          <w:szCs w:val="16"/>
          <w:color w:val="auto"/>
        </w:rPr>
      </w:pPr>
      <w:r>
        <w:rPr>
          <w:rFonts w:ascii="Arial" w:cs="Arial" w:eastAsia="Arial" w:hAnsi="Arial"/>
          <w:sz w:val="16"/>
          <w:szCs w:val="16"/>
          <w:color w:val="auto"/>
        </w:rPr>
        <w:t>(i) None of the Company or any of its subsidiaries, or any director, officer, or employee thereof, or, to the knowledge of the Company, any affiliate of the Company or, any agent or representative of the Company or of any of its subsidiaries or of any of their respective affiliates, has</w:t>
      </w:r>
    </w:p>
    <w:p>
      <w:pPr>
        <w:ind w:left="4" w:hanging="4"/>
        <w:spacing w:after="0" w:line="267" w:lineRule="auto"/>
        <w:tabs>
          <w:tab w:leader="none" w:pos="24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7"/>
          <w:szCs w:val="17"/>
          <w:b w:val="1"/>
          <w:bCs w:val="1"/>
          <w:color w:val="auto"/>
        </w:rPr>
        <w:t>Government Official</w:t>
      </w:r>
      <w:r>
        <w:rPr>
          <w:rFonts w:ascii="Arial" w:cs="Arial" w:eastAsia="Arial" w:hAnsi="Arial"/>
          <w:sz w:val="17"/>
          <w:szCs w:val="17"/>
          <w:color w:val="auto"/>
        </w:rPr>
        <w:t>”) in order to influence official action, or to any person in violation of any applicable anti-corruption laws, or (b) used any corporate funds for any unlawful contribution, gift, entertainment or other unlawful expense relating to political activity, or (c) made, offered, agreed, requested or taken an act in furtherance of any unlawful bribe or other unlawful benefit, including, without limitation, any rebate, payoff, influence payment, kickback or other unlawful or improper payment or benefit; (ii) the Company and each of its subsidiaries and each of their respective affiliates have conducted their respective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of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15"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876" w:top="274" w:right="439" w:bottom="1440" w:gutter="0" w:footer="0" w:header="0"/>
        </w:sectPr>
      </w:pPr>
    </w:p>
    <w:bookmarkStart w:id="14" w:name="page15"/>
    <w:bookmarkEnd w:id="14"/>
    <w:p>
      <w:pPr>
        <w:ind w:right="120" w:firstLine="419"/>
        <w:spacing w:after="0" w:line="271" w:lineRule="auto"/>
        <w:tabs>
          <w:tab w:leader="none" w:pos="678" w:val="left"/>
        </w:tabs>
        <w:numPr>
          <w:ilvl w:val="0"/>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70" w:lineRule="exact"/>
        <w:rPr>
          <w:rFonts w:ascii="Arial" w:cs="Arial" w:eastAsia="Arial" w:hAnsi="Arial"/>
          <w:sz w:val="17"/>
          <w:szCs w:val="17"/>
          <w:color w:val="auto"/>
        </w:rPr>
      </w:pPr>
    </w:p>
    <w:p>
      <w:pPr>
        <w:ind w:right="180" w:firstLine="419"/>
        <w:spacing w:after="0" w:line="263" w:lineRule="auto"/>
        <w:tabs>
          <w:tab w:leader="none" w:pos="6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None of the Company, any of its subsidiaries, or any director, officer, or employee thereof, or, to the Company’s knowledge, any agent, affiliate or representative of the Company or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75" w:lineRule="exact"/>
        <w:rPr>
          <w:rFonts w:ascii="Arial" w:cs="Arial" w:eastAsia="Arial" w:hAnsi="Arial"/>
          <w:sz w:val="18"/>
          <w:szCs w:val="18"/>
          <w:color w:val="auto"/>
        </w:rPr>
      </w:pPr>
    </w:p>
    <w:p>
      <w:pPr>
        <w:ind w:left="980" w:right="240" w:firstLine="391"/>
        <w:spacing w:after="0" w:line="263" w:lineRule="auto"/>
        <w:tabs>
          <w:tab w:leader="none" w:pos="1658"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980" w:right="600" w:firstLine="391"/>
        <w:spacing w:after="0" w:line="277" w:lineRule="auto"/>
        <w:tabs>
          <w:tab w:leader="none" w:pos="1648" w:val="left"/>
        </w:tabs>
        <w:numPr>
          <w:ilvl w:val="2"/>
          <w:numId w:val="12"/>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62" w:lineRule="exact"/>
        <w:rPr>
          <w:rFonts w:ascii="Arial" w:cs="Arial" w:eastAsia="Arial" w:hAnsi="Arial"/>
          <w:sz w:val="18"/>
          <w:szCs w:val="18"/>
          <w:color w:val="auto"/>
        </w:rPr>
      </w:pPr>
    </w:p>
    <w:p>
      <w:pPr>
        <w:ind w:left="540" w:right="100" w:firstLine="408"/>
        <w:spacing w:after="0" w:line="277" w:lineRule="auto"/>
        <w:tabs>
          <w:tab w:leader="none" w:pos="1206"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None of the Company or any of its subsidiaries will,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980" w:right="220" w:firstLine="391"/>
        <w:spacing w:after="0" w:line="277" w:lineRule="auto"/>
        <w:tabs>
          <w:tab w:leader="none" w:pos="1658"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980" w:right="340" w:firstLine="391"/>
        <w:spacing w:after="0" w:line="277" w:lineRule="auto"/>
        <w:tabs>
          <w:tab w:leader="none" w:pos="1648" w:val="left"/>
        </w:tabs>
        <w:numPr>
          <w:ilvl w:val="2"/>
          <w:numId w:val="12"/>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540" w:firstLine="408"/>
        <w:spacing w:after="0" w:line="263" w:lineRule="auto"/>
        <w:tabs>
          <w:tab w:leader="none" w:pos="1256" w:val="left"/>
        </w:tabs>
        <w:numPr>
          <w:ilvl w:val="1"/>
          <w:numId w:val="12"/>
        </w:numPr>
        <w:rPr>
          <w:rFonts w:ascii="Arial" w:cs="Arial" w:eastAsia="Arial" w:hAnsi="Arial"/>
          <w:sz w:val="18"/>
          <w:szCs w:val="18"/>
          <w:color w:val="auto"/>
        </w:rPr>
      </w:pPr>
      <w:r>
        <w:rPr>
          <w:rFonts w:ascii="Arial" w:cs="Arial" w:eastAsia="Arial" w:hAnsi="Arial"/>
          <w:sz w:val="18"/>
          <w:szCs w:val="18"/>
          <w:color w:val="auto"/>
        </w:rPr>
        <w:t>For the last five years, 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5" w:name="page16"/>
    <w:bookmarkEnd w:id="15"/>
    <w:p>
      <w:pPr>
        <w:ind w:firstLine="419"/>
        <w:spacing w:after="0" w:line="293" w:lineRule="auto"/>
        <w:tabs>
          <w:tab w:leader="none" w:pos="718"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Subsequent to the respective dates as of which information is given in each of the Registration Statement, the Time of Sale Prospectus and the Prospectus, except in each case as described in the Registration Statement, the Time of Sale Prospectus and the Prospectus (i) the Company and its subsidiaries, taken as a whole, have not incurred any material liability or obligation, direct or contingent, nor entered into any material transaction; (ii) neither of the Company nor any of its subsidiaries has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w:t>
      </w:r>
    </w:p>
    <w:p>
      <w:pPr>
        <w:spacing w:after="0" w:line="56" w:lineRule="exact"/>
        <w:rPr>
          <w:rFonts w:ascii="Arial" w:cs="Arial" w:eastAsia="Arial" w:hAnsi="Arial"/>
          <w:sz w:val="16"/>
          <w:szCs w:val="16"/>
          <w:color w:val="auto"/>
        </w:rPr>
      </w:pPr>
    </w:p>
    <w:p>
      <w:pPr>
        <w:ind w:right="80" w:firstLine="419"/>
        <w:spacing w:after="0" w:line="293" w:lineRule="auto"/>
        <w:tabs>
          <w:tab w:leader="none" w:pos="67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each of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56" w:lineRule="exact"/>
        <w:rPr>
          <w:rFonts w:ascii="Arial" w:cs="Arial" w:eastAsia="Arial" w:hAnsi="Arial"/>
          <w:sz w:val="16"/>
          <w:szCs w:val="16"/>
          <w:color w:val="auto"/>
        </w:rPr>
      </w:pPr>
    </w:p>
    <w:p>
      <w:pPr>
        <w:ind w:firstLine="419"/>
        <w:spacing w:after="0" w:line="268" w:lineRule="auto"/>
        <w:tabs>
          <w:tab w:leader="none" w:pos="678"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The Company and its subsidiaries own or have a valid license to all patents, inventions, copyrights, know how (including trade secrets and other unpatented and/or unpatentable proprietary or confidential information, systems or procedures), trademarks, service marks and trade names (collectively,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used in or reasonably necessary to the conduct of their businesses; (ii) the Intellectual Property Rights owned by the Company and its subsidiaries and, to the Company’s knowledge, the Intellectual Property Rights licensed to the Company and its subsidiaries,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(iv) to the Company’s knowledge, no third party is infringing, misappropriating or otherwise violating, or has infringed, misappropriated or otherwise violated, any Intellectual Property Rights owned by the Company; (v) neither the Company nor any of its subsidiaries infringes, misappropriates or otherwise violates, or has infringed, misappropriated or otherwise violated, any Intellectual Property Rights; (vi) all employees or contractors engaged in the development of Intellectual Property Rights on behalf of the Company or any</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16" w:name="page17"/>
    <w:bookmarkEnd w:id="16"/>
    <w:p>
      <w:pPr>
        <w:ind w:left="4"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63" w:lineRule="exact"/>
        <w:rPr>
          <w:sz w:val="20"/>
          <w:szCs w:val="20"/>
          <w:color w:val="auto"/>
        </w:rPr>
      </w:pPr>
    </w:p>
    <w:p>
      <w:pPr>
        <w:ind w:left="664" w:hanging="241"/>
        <w:spacing w:after="0"/>
        <w:tabs>
          <w:tab w:leader="none" w:pos="66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a material adverse effect on the Company and its subsidiaries, taken as a whole,</w:t>
      </w:r>
    </w:p>
    <w:p>
      <w:pPr>
        <w:spacing w:after="0" w:line="46" w:lineRule="exact"/>
        <w:rPr>
          <w:rFonts w:ascii="Arial" w:cs="Arial" w:eastAsia="Arial" w:hAnsi="Arial"/>
          <w:sz w:val="16"/>
          <w:szCs w:val="16"/>
          <w:color w:val="auto"/>
        </w:rPr>
      </w:pPr>
    </w:p>
    <w:p>
      <w:pPr>
        <w:ind w:left="4" w:hanging="4"/>
        <w:spacing w:after="0" w:line="251" w:lineRule="auto"/>
        <w:tabs>
          <w:tab w:leader="none" w:pos="2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Arial" w:cs="Arial" w:eastAsia="Arial" w:hAnsi="Arial"/>
          <w:sz w:val="18"/>
          <w:szCs w:val="18"/>
          <w:b w:val="1"/>
          <w:bCs w:val="1"/>
          <w:color w:val="auto"/>
        </w:rPr>
        <w:t>Open Source Software</w:t>
      </w:r>
      <w:r>
        <w:rPr>
          <w:rFonts w:ascii="Arial" w:cs="Arial" w:eastAsia="Arial" w:hAnsi="Arial"/>
          <w:sz w:val="18"/>
          <w:szCs w:val="18"/>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spacing w:after="0" w:line="89" w:lineRule="exact"/>
        <w:rPr>
          <w:rFonts w:ascii="Arial" w:cs="Arial" w:eastAsia="Arial" w:hAnsi="Arial"/>
          <w:sz w:val="18"/>
          <w:szCs w:val="18"/>
          <w:color w:val="auto"/>
        </w:rPr>
      </w:pPr>
    </w:p>
    <w:p>
      <w:pPr>
        <w:ind w:left="4" w:firstLine="419"/>
        <w:spacing w:after="0" w:line="289" w:lineRule="auto"/>
        <w:tabs>
          <w:tab w:leader="none" w:pos="751" w:val="left"/>
        </w:tabs>
        <w:numPr>
          <w:ilvl w:val="1"/>
          <w:numId w:val="15"/>
        </w:numPr>
        <w:rPr>
          <w:rFonts w:ascii="Arial" w:cs="Arial" w:eastAsia="Arial" w:hAnsi="Arial"/>
          <w:sz w:val="16"/>
          <w:szCs w:val="16"/>
          <w:color w:val="auto"/>
        </w:rPr>
      </w:pPr>
      <w:r>
        <w:rPr>
          <w:rFonts w:ascii="Arial" w:cs="Arial" w:eastAsia="Arial" w:hAnsi="Arial"/>
          <w:sz w:val="16"/>
          <w:szCs w:val="16"/>
          <w:color w:val="auto"/>
        </w:rPr>
        <w:t>(i) The Company and each of its subsidiaries have complied and are presently in compliance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Arial" w:cs="Arial" w:eastAsia="Arial" w:hAnsi="Arial"/>
          <w:sz w:val="16"/>
          <w:szCs w:val="16"/>
          <w:b w:val="1"/>
          <w:bCs w:val="1"/>
          <w:color w:val="auto"/>
        </w:rPr>
        <w:t>“Data Security Obligations</w:t>
      </w:r>
      <w:r>
        <w:rPr>
          <w:rFonts w:ascii="Arial" w:cs="Arial" w:eastAsia="Arial" w:hAnsi="Arial"/>
          <w:sz w:val="16"/>
          <w:szCs w:val="16"/>
          <w:color w:val="auto"/>
        </w:rPr>
        <w:t>”, and such data, “</w:t>
      </w:r>
      <w:r>
        <w:rPr>
          <w:rFonts w:ascii="Arial" w:cs="Arial" w:eastAsia="Arial" w:hAnsi="Arial"/>
          <w:sz w:val="16"/>
          <w:szCs w:val="16"/>
          <w:b w:val="1"/>
          <w:bCs w:val="1"/>
          <w:color w:val="auto"/>
        </w:rPr>
        <w:t>Data</w:t>
      </w:r>
      <w:r>
        <w:rPr>
          <w:rFonts w:ascii="Arial" w:cs="Arial" w:eastAsia="Arial" w:hAnsi="Arial"/>
          <w:sz w:val="16"/>
          <w:szCs w:val="16"/>
          <w:color w:val="auto"/>
        </w:rPr>
        <w:t>”), except where failure to comply would not, individually or in the aggregate, reasonably be expect to have a material adverse effect on the Company and its subsidiaries, taken as a whole; (ii) the Company has not received any notification of or complaint regarding and is unaware of any other facts that, individually or in the aggregate, would reasonably indicate non-compliance with any Data Security Obligation; and (iii) there is no action, suit or proceeding by or before any court or governmental agency, authority or body pending or, to the knowledge of the Company, threatened alleging non-compliance with any Data Security Obligation.</w:t>
      </w:r>
    </w:p>
    <w:p>
      <w:pPr>
        <w:spacing w:after="0" w:line="58" w:lineRule="exact"/>
        <w:rPr>
          <w:rFonts w:ascii="Arial" w:cs="Arial" w:eastAsia="Arial" w:hAnsi="Arial"/>
          <w:sz w:val="16"/>
          <w:szCs w:val="16"/>
          <w:color w:val="auto"/>
        </w:rPr>
      </w:pPr>
    </w:p>
    <w:p>
      <w:pPr>
        <w:ind w:left="4" w:right="460" w:firstLine="419"/>
        <w:spacing w:after="0" w:line="286" w:lineRule="auto"/>
        <w:tabs>
          <w:tab w:leader="none" w:pos="771"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Company and each of its subsidiaries have taken all technical and organizational measures reasonably designed to protect the information technology systems and Data used in connection with the operation of the Company’s and its subsidiaries’ businesses. Without limiting the foregoing, the Company and its subsidiaries have used reasonable efforts to establish and</w:t>
      </w:r>
    </w:p>
    <w:p>
      <w:pPr>
        <w:spacing w:after="0" w:line="9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4"/>
          </w:cols>
          <w:pgMar w:left="876" w:top="274" w:right="459" w:bottom="1440" w:gutter="0" w:footer="0" w:header="0"/>
        </w:sectPr>
      </w:pPr>
    </w:p>
    <w:bookmarkStart w:id="17" w:name="page18"/>
    <w:bookmarkEnd w:id="17"/>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consistent with industry standards and practices,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Arial" w:cs="Arial" w:eastAsia="Arial" w:hAnsi="Arial"/>
          <w:sz w:val="18"/>
          <w:szCs w:val="18"/>
          <w:b w:val="1"/>
          <w:bCs w:val="1"/>
          <w:color w:val="auto"/>
        </w:rPr>
        <w:t>Breach</w:t>
      </w:r>
      <w:r>
        <w:rPr>
          <w:rFonts w:ascii="Arial" w:cs="Arial" w:eastAsia="Arial" w:hAnsi="Arial"/>
          <w:sz w:val="18"/>
          <w:szCs w:val="18"/>
          <w:color w:val="auto"/>
        </w:rPr>
        <w:t>”). To the Company’s knowledge, there has been no such Breach, and the Company and its subsidiaries have not been notified in writing of and have no knowledge of any event or condition that would reasonably be expected to result in, any such Breach.</w:t>
      </w:r>
    </w:p>
    <w:p>
      <w:pPr>
        <w:spacing w:after="0" w:line="84" w:lineRule="exact"/>
        <w:rPr>
          <w:sz w:val="20"/>
          <w:szCs w:val="20"/>
          <w:color w:val="auto"/>
        </w:rPr>
      </w:pPr>
    </w:p>
    <w:p>
      <w:pPr>
        <w:ind w:right="120" w:firstLine="419"/>
        <w:spacing w:after="0" w:line="259" w:lineRule="auto"/>
        <w:tabs>
          <w:tab w:leader="none" w:pos="7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reasonably be expected to have a material adverse effect on the Company and its subsidiaries, taken as a whole.</w:t>
      </w:r>
    </w:p>
    <w:p>
      <w:pPr>
        <w:spacing w:after="0" w:line="78" w:lineRule="exact"/>
        <w:rPr>
          <w:rFonts w:ascii="Arial" w:cs="Arial" w:eastAsia="Arial" w:hAnsi="Arial"/>
          <w:sz w:val="18"/>
          <w:szCs w:val="18"/>
          <w:color w:val="auto"/>
        </w:rPr>
      </w:pPr>
    </w:p>
    <w:p>
      <w:pPr>
        <w:ind w:right="20" w:firstLine="419"/>
        <w:spacing w:after="0" w:line="273" w:lineRule="auto"/>
        <w:tabs>
          <w:tab w:leader="none" w:pos="76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and each of its subsidiaries are insured by insurers of recognized financial responsibility against such losses and risks and in such amounts as in the Company’s judgement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w:t>
      </w:r>
    </w:p>
    <w:p>
      <w:pPr>
        <w:spacing w:after="0" w:line="69" w:lineRule="exact"/>
        <w:rPr>
          <w:rFonts w:ascii="Arial" w:cs="Arial" w:eastAsia="Arial" w:hAnsi="Arial"/>
          <w:sz w:val="17"/>
          <w:szCs w:val="17"/>
          <w:color w:val="auto"/>
        </w:rPr>
      </w:pPr>
    </w:p>
    <w:p>
      <w:pPr>
        <w:ind w:firstLine="419"/>
        <w:spacing w:after="0" w:line="255" w:lineRule="auto"/>
        <w:tabs>
          <w:tab w:leader="none" w:pos="7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a material adverse effect on the Company and its subsidiaries, taken as a whole, the Company and each of its subsidiaries possess all certificates, authorizations and permits issued by the appropriate federal, state or foreign regulatory authorities necessary to conduct their respective businesses,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on the Company and its subsidiaries, taken as a whole.</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18" w:name="page19"/>
    <w:bookmarkEnd w:id="18"/>
    <w:p>
      <w:pPr>
        <w:ind w:right="20" w:firstLine="419"/>
        <w:spacing w:after="0" w:line="286" w:lineRule="auto"/>
        <w:tabs>
          <w:tab w:leader="none" w:pos="704"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Arial" w:cs="Arial" w:eastAsia="Arial" w:hAnsi="Arial"/>
          <w:sz w:val="16"/>
          <w:szCs w:val="16"/>
          <w:b w:val="1"/>
          <w:bCs w:val="1"/>
          <w:color w:val="auto"/>
        </w:rPr>
        <w:t>U.S. GAAP</w:t>
      </w:r>
      <w:r>
        <w:rPr>
          <w:rFonts w:ascii="Arial" w:cs="Arial" w:eastAsia="Arial" w:hAnsi="Arial"/>
          <w:sz w:val="16"/>
          <w:szCs w:val="16"/>
          <w:color w:val="auto"/>
        </w:rPr>
        <w:t>”) applied on a consistent basis throughout the periods covered thereby except for any normal year-end adjustments in the Company’s or any of its subsidiaries’ quarterly financial statements. The other financial information included in each of the Registration Statement, the Time of Sale Prospectus and the Prospectus has been derived from the accounting records of the Company and its subsidiaries and presents fairly in all material respects the information shown thereby. The pro forma financial statements and the related notes thereto included in each of the Registration Statement, the Time of Sale Prospectus and the Prospectus present fairly in all material respects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and</w:t>
      </w:r>
    </w:p>
    <w:p>
      <w:pPr>
        <w:spacing w:after="0" w:line="55" w:lineRule="exact"/>
        <w:rPr>
          <w:rFonts w:ascii="Arial" w:cs="Arial" w:eastAsia="Arial" w:hAnsi="Arial"/>
          <w:sz w:val="16"/>
          <w:szCs w:val="16"/>
          <w:color w:val="auto"/>
        </w:rPr>
      </w:pPr>
    </w:p>
    <w:p>
      <w:pPr>
        <w:ind w:left="540" w:firstLine="408"/>
        <w:spacing w:after="0" w:line="272" w:lineRule="auto"/>
        <w:tabs>
          <w:tab w:leader="none" w:pos="1206"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financial statements of each of Five Points Capital, Inc. (“</w:t>
      </w:r>
      <w:r>
        <w:rPr>
          <w:rFonts w:ascii="Arial" w:cs="Arial" w:eastAsia="Arial" w:hAnsi="Arial"/>
          <w:sz w:val="17"/>
          <w:szCs w:val="17"/>
          <w:b w:val="1"/>
          <w:bCs w:val="1"/>
          <w:color w:val="auto"/>
        </w:rPr>
        <w:t>Five Points</w:t>
      </w:r>
      <w:r>
        <w:rPr>
          <w:rFonts w:ascii="Arial" w:cs="Arial" w:eastAsia="Arial" w:hAnsi="Arial"/>
          <w:sz w:val="17"/>
          <w:szCs w:val="17"/>
          <w:color w:val="auto"/>
        </w:rPr>
        <w:t>”), TrueBridge Capital Partners LLC (“</w:t>
      </w:r>
      <w:r>
        <w:rPr>
          <w:rFonts w:ascii="Arial" w:cs="Arial" w:eastAsia="Arial" w:hAnsi="Arial"/>
          <w:sz w:val="17"/>
          <w:szCs w:val="17"/>
          <w:b w:val="1"/>
          <w:bCs w:val="1"/>
          <w:color w:val="auto"/>
        </w:rPr>
        <w:t>Truebridge</w:t>
      </w:r>
      <w:r>
        <w:rPr>
          <w:rFonts w:ascii="Arial" w:cs="Arial" w:eastAsia="Arial" w:hAnsi="Arial"/>
          <w:sz w:val="17"/>
          <w:szCs w:val="17"/>
          <w:color w:val="auto"/>
        </w:rPr>
        <w:t>”), Enhanced Capital Group, LLC (“</w:t>
      </w:r>
      <w:r>
        <w:rPr>
          <w:rFonts w:ascii="Arial" w:cs="Arial" w:eastAsia="Arial" w:hAnsi="Arial"/>
          <w:sz w:val="17"/>
          <w:szCs w:val="17"/>
          <w:b w:val="1"/>
          <w:bCs w:val="1"/>
          <w:color w:val="auto"/>
        </w:rPr>
        <w:t>ECG</w:t>
      </w:r>
      <w:r>
        <w:rPr>
          <w:rFonts w:ascii="Arial" w:cs="Arial" w:eastAsia="Arial" w:hAnsi="Arial"/>
          <w:sz w:val="17"/>
          <w:szCs w:val="17"/>
          <w:color w:val="auto"/>
        </w:rPr>
        <w:t>”) and Enhanced Capital Partners, LLC (“</w:t>
      </w:r>
      <w:r>
        <w:rPr>
          <w:rFonts w:ascii="Arial" w:cs="Arial" w:eastAsia="Arial" w:hAnsi="Arial"/>
          <w:sz w:val="17"/>
          <w:szCs w:val="17"/>
          <w:b w:val="1"/>
          <w:bCs w:val="1"/>
          <w:color w:val="auto"/>
        </w:rPr>
        <w:t>ECP</w:t>
      </w:r>
      <w:r>
        <w:rPr>
          <w:rFonts w:ascii="Arial" w:cs="Arial" w:eastAsia="Arial" w:hAnsi="Arial"/>
          <w:sz w:val="17"/>
          <w:szCs w:val="17"/>
          <w:color w:val="auto"/>
        </w:rPr>
        <w:t>” and, together with ECG, “</w:t>
      </w:r>
      <w:r>
        <w:rPr>
          <w:rFonts w:ascii="Arial" w:cs="Arial" w:eastAsia="Arial" w:hAnsi="Arial"/>
          <w:sz w:val="17"/>
          <w:szCs w:val="17"/>
          <w:b w:val="1"/>
          <w:bCs w:val="1"/>
          <w:color w:val="auto"/>
        </w:rPr>
        <w:t>Enhanced</w:t>
      </w:r>
      <w:r>
        <w:rPr>
          <w:rFonts w:ascii="Arial" w:cs="Arial" w:eastAsia="Arial" w:hAnsi="Arial"/>
          <w:sz w:val="17"/>
          <w:szCs w:val="17"/>
          <w:color w:val="auto"/>
        </w:rPr>
        <w:t xml:space="preserve">”) included in each of the Registration Statement, the Time of Sale Prospectus and the Prospectus, together with the related schedules and notes thereto, comply as to form in all material respects with the applicable accounting requirements of the Securities Act and present fairly the consolidated financial position of each of Five Points, TrueBridge and Enhanced as of the dates shown and their respective results of operations and cash flows for the periods shown, and such financial statements have been prepared in conformity with </w:t>
      </w:r>
      <w:r>
        <w:rPr>
          <w:rFonts w:ascii="Arial" w:cs="Arial" w:eastAsia="Arial" w:hAnsi="Arial"/>
          <w:sz w:val="17"/>
          <w:szCs w:val="17"/>
          <w:b w:val="1"/>
          <w:bCs w:val="1"/>
          <w:color w:val="auto"/>
        </w:rPr>
        <w:t>U.S. GAAP</w:t>
      </w:r>
      <w:r>
        <w:rPr>
          <w:rFonts w:ascii="Arial" w:cs="Arial" w:eastAsia="Arial" w:hAnsi="Arial"/>
          <w:sz w:val="17"/>
          <w:szCs w:val="17"/>
          <w:color w:val="auto"/>
        </w:rPr>
        <w:t xml:space="preserve"> applied on a consistent basis throughout the periods covered thereby except for any normal year-end adjustments in Five Point’s, TrueBridge’s or Enhanced’s quarterly financial statements.</w:t>
      </w:r>
    </w:p>
    <w:p>
      <w:pPr>
        <w:spacing w:after="0" w:line="67" w:lineRule="exact"/>
        <w:rPr>
          <w:rFonts w:ascii="Arial" w:cs="Arial" w:eastAsia="Arial" w:hAnsi="Arial"/>
          <w:sz w:val="17"/>
          <w:szCs w:val="17"/>
          <w:color w:val="auto"/>
        </w:rPr>
      </w:pPr>
    </w:p>
    <w:p>
      <w:pPr>
        <w:ind w:right="120" w:firstLine="419"/>
        <w:spacing w:after="0" w:line="275" w:lineRule="auto"/>
        <w:tabs>
          <w:tab w:leader="none" w:pos="7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KPMG LLP, who has certified certain financial statements of the Company and its subsidiaries and delivered its report with respect to the audited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and its subsidiaries within the meaning of the Securities Act and the applicable rules and regulations thereunder adopted by the Commission and the Public Company Accounting Oversight Board (United States) (“</w:t>
      </w:r>
      <w:r>
        <w:rPr>
          <w:rFonts w:ascii="Arial" w:cs="Arial" w:eastAsia="Arial" w:hAnsi="Arial"/>
          <w:sz w:val="17"/>
          <w:szCs w:val="17"/>
          <w:b w:val="1"/>
          <w:bCs w:val="1"/>
          <w:color w:val="auto"/>
        </w:rPr>
        <w:t>PCAOB</w:t>
      </w:r>
      <w:r>
        <w:rPr>
          <w:rFonts w:ascii="Arial" w:cs="Arial" w:eastAsia="Arial" w:hAnsi="Arial"/>
          <w:sz w:val="17"/>
          <w:szCs w:val="17"/>
          <w:color w:val="auto"/>
        </w:rPr>
        <w:t>”);</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19" w:name="page20"/>
    <w:bookmarkEnd w:id="19"/>
    <w:p>
      <w:pPr>
        <w:ind w:left="540" w:right="200" w:firstLine="408"/>
        <w:spacing w:after="0" w:line="257" w:lineRule="auto"/>
        <w:tabs>
          <w:tab w:leader="none" w:pos="1206"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KPMG LLP, who has certified certain financial statements of Five Points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Five Points within the meaning of the Securities Act and the applicable rules and regulations thereunder adopted by the Commission and the PCAOB;</w:t>
      </w:r>
    </w:p>
    <w:p>
      <w:pPr>
        <w:spacing w:after="0" w:line="79" w:lineRule="exact"/>
        <w:rPr>
          <w:rFonts w:ascii="Arial" w:cs="Arial" w:eastAsia="Arial" w:hAnsi="Arial"/>
          <w:sz w:val="18"/>
          <w:szCs w:val="18"/>
          <w:color w:val="auto"/>
        </w:rPr>
      </w:pPr>
    </w:p>
    <w:p>
      <w:pPr>
        <w:ind w:left="540" w:right="200" w:firstLine="408"/>
        <w:spacing w:after="0" w:line="257" w:lineRule="auto"/>
        <w:tabs>
          <w:tab w:leader="none" w:pos="1256" w:val="left"/>
        </w:tabs>
        <w:numPr>
          <w:ilvl w:val="1"/>
          <w:numId w:val="18"/>
        </w:numPr>
        <w:rPr>
          <w:rFonts w:ascii="Arial" w:cs="Arial" w:eastAsia="Arial" w:hAnsi="Arial"/>
          <w:sz w:val="18"/>
          <w:szCs w:val="18"/>
          <w:color w:val="auto"/>
        </w:rPr>
      </w:pPr>
      <w:r>
        <w:rPr>
          <w:rFonts w:ascii="Arial" w:cs="Arial" w:eastAsia="Arial" w:hAnsi="Arial"/>
          <w:sz w:val="18"/>
          <w:szCs w:val="18"/>
          <w:color w:val="auto"/>
        </w:rPr>
        <w:t>KPMG LLP, who has certified certain financial statements of TrueBridge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TrueBridge within the meaning of the Securities Act and the applicable rules and regulations thereunder adopted by the Commission and the PCAOB; and</w:t>
      </w:r>
    </w:p>
    <w:p>
      <w:pPr>
        <w:spacing w:after="0" w:line="79" w:lineRule="exact"/>
        <w:rPr>
          <w:rFonts w:ascii="Arial" w:cs="Arial" w:eastAsia="Arial" w:hAnsi="Arial"/>
          <w:sz w:val="18"/>
          <w:szCs w:val="18"/>
          <w:color w:val="auto"/>
        </w:rPr>
      </w:pPr>
    </w:p>
    <w:p>
      <w:pPr>
        <w:ind w:left="540" w:right="200" w:firstLine="408"/>
        <w:spacing w:after="0" w:line="257" w:lineRule="auto"/>
        <w:tabs>
          <w:tab w:leader="none" w:pos="1246" w:val="left"/>
        </w:tabs>
        <w:numPr>
          <w:ilvl w:val="1"/>
          <w:numId w:val="18"/>
        </w:numPr>
        <w:rPr>
          <w:rFonts w:ascii="Arial" w:cs="Arial" w:eastAsia="Arial" w:hAnsi="Arial"/>
          <w:sz w:val="18"/>
          <w:szCs w:val="18"/>
          <w:color w:val="auto"/>
        </w:rPr>
      </w:pPr>
      <w:r>
        <w:rPr>
          <w:rFonts w:ascii="Arial" w:cs="Arial" w:eastAsia="Arial" w:hAnsi="Arial"/>
          <w:sz w:val="18"/>
          <w:szCs w:val="18"/>
          <w:color w:val="auto"/>
        </w:rPr>
        <w:t>Ernst &amp; Young LLP, who has certified certain financial statements of Enhanced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Enhanced within the meaning of the Securities Act and the applicable rules and regulations thereunder adopted by the Commission and the PCAOB.</w:t>
      </w:r>
    </w:p>
    <w:p>
      <w:pPr>
        <w:spacing w:after="0" w:line="79" w:lineRule="exact"/>
        <w:rPr>
          <w:rFonts w:ascii="Arial" w:cs="Arial" w:eastAsia="Arial" w:hAnsi="Arial"/>
          <w:sz w:val="18"/>
          <w:szCs w:val="18"/>
          <w:color w:val="auto"/>
        </w:rPr>
      </w:pPr>
    </w:p>
    <w:p>
      <w:pPr>
        <w:ind w:firstLine="419"/>
        <w:spacing w:after="0" w:line="270" w:lineRule="auto"/>
        <w:tabs>
          <w:tab w:leader="none" w:pos="76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and each of its subsidiaries’ most recent audited fiscal year, there has been (i) no material weakness in the Company’s or any of its subsidiaries’ internal control over financial reporting (whether or not remediated) and (ii) no change in the Company’s or any of its subsidiaries’ internal control over financial reporting that has materially affected, or is reasonably likely to materially affect, the Company and its subsidiaries’ internal control over financial reporting.</w:t>
      </w:r>
    </w:p>
    <w:p>
      <w:pPr>
        <w:spacing w:after="0" w:line="1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40"/>
          </w:cols>
          <w:pgMar w:left="880" w:top="274" w:right="479" w:bottom="1440" w:gutter="0" w:footer="0" w:header="0"/>
        </w:sectPr>
      </w:pPr>
    </w:p>
    <w:bookmarkStart w:id="20" w:name="page21"/>
    <w:bookmarkEnd w:id="20"/>
    <w:p>
      <w:pPr>
        <w:ind w:right="60" w:firstLine="419"/>
        <w:spacing w:after="0" w:line="301" w:lineRule="auto"/>
        <w:tabs>
          <w:tab w:leader="none" w:pos="688"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disclosed in the Registration Statement, the Time of Sale Prospectus and the Prospectus, neither of the Company nor any of its subsidiaries has sold, issued or distributed any shares of Common Stock or other equity interests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49" w:lineRule="exact"/>
        <w:rPr>
          <w:rFonts w:ascii="Arial" w:cs="Arial" w:eastAsia="Arial" w:hAnsi="Arial"/>
          <w:sz w:val="16"/>
          <w:szCs w:val="16"/>
          <w:color w:val="auto"/>
        </w:rPr>
      </w:pPr>
    </w:p>
    <w:p>
      <w:pPr>
        <w:ind w:right="200" w:firstLine="419"/>
        <w:spacing w:after="0" w:line="259" w:lineRule="auto"/>
        <w:tabs>
          <w:tab w:leader="none" w:pos="6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Registration Statement, the Prospectus, the Time of Sale Prospectus and any preliminary prospectus comply, and any amendments or supplements thereto will comply, with any applicable laws or regulations of foreign jurisdictions in which the Prospectus, the Time of Sale Prospectus or any preliminary prospectus, as amended or supplemented, if applicable, are distributed in connection with the Directed Share Program.</w:t>
      </w:r>
    </w:p>
    <w:p>
      <w:pPr>
        <w:spacing w:after="0" w:line="78" w:lineRule="exact"/>
        <w:rPr>
          <w:rFonts w:ascii="Arial" w:cs="Arial" w:eastAsia="Arial" w:hAnsi="Arial"/>
          <w:sz w:val="18"/>
          <w:szCs w:val="18"/>
          <w:color w:val="auto"/>
        </w:rPr>
      </w:pPr>
    </w:p>
    <w:p>
      <w:pPr>
        <w:ind w:right="220" w:firstLine="419"/>
        <w:spacing w:after="0" w:line="342" w:lineRule="auto"/>
        <w:tabs>
          <w:tab w:leader="none" w:pos="7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 consent, approval, authorization or order of, or qualification with, any governmental body or agency, other than those obtained, is required in connection with the offering of the Directed Shares in any jurisdiction where the Directed Shares are being offered.</w:t>
      </w:r>
    </w:p>
    <w:p>
      <w:pPr>
        <w:spacing w:after="0" w:line="15" w:lineRule="exact"/>
        <w:rPr>
          <w:rFonts w:ascii="Arial" w:cs="Arial" w:eastAsia="Arial" w:hAnsi="Arial"/>
          <w:sz w:val="16"/>
          <w:szCs w:val="16"/>
          <w:color w:val="auto"/>
        </w:rPr>
      </w:pPr>
    </w:p>
    <w:p>
      <w:pPr>
        <w:jc w:val="both"/>
        <w:ind w:right="180" w:firstLine="419"/>
        <w:spacing w:after="0" w:line="259" w:lineRule="auto"/>
        <w:tabs>
          <w:tab w:leader="none" w:pos="6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not offered, or caused Morgan Stanley or any Morgan Stanley Entity as defined in Section 11 to offer,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businesses or products.</w:t>
      </w:r>
    </w:p>
    <w:p>
      <w:pPr>
        <w:spacing w:after="0" w:line="78" w:lineRule="exact"/>
        <w:rPr>
          <w:rFonts w:ascii="Arial" w:cs="Arial" w:eastAsia="Arial" w:hAnsi="Arial"/>
          <w:sz w:val="18"/>
          <w:szCs w:val="18"/>
          <w:color w:val="auto"/>
        </w:rPr>
      </w:pPr>
    </w:p>
    <w:p>
      <w:pPr>
        <w:ind w:firstLine="419"/>
        <w:spacing w:after="0" w:line="269" w:lineRule="auto"/>
        <w:tabs>
          <w:tab w:leader="none" w:pos="86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and each of its subsidiaries have filed all federal, state, local and foreign tax returns required to be filed through the date of this Agreement or have requested extensions thereof (except where the failure to file or request of an extension to file, would not, singly or in the aggregate, reasonably be expected to have a material adverse effect on the Company and its subsidiaries, taken as a whole) and have paid all taxes required to be paid thereon (except for cases in which the failure to file or pay would not, singly or in the aggregate, reasonably be expected to have a material adverse effect on the Company and its subsidiaries, taken as a whole, or, except as currently being contested in good faith and for which reserves required by U.S. GAAP have been created in their respective financial statements), and no tax deficiency has been determined adversely to the Company or any of its subsidiaries which, singly or in the aggregate, has had (nor does the Company nor any of its subsidiaries have any written notice or knowledge of any tax deficiency which could reasonably be expected to be determined adversely to the Company or any of its subsidiaries and which could reasonably be expected to have) a material adverse effect on the Company and its subsidiaries, taken as a whole.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880" w:top="274" w:right="439" w:bottom="1440" w:gutter="0" w:footer="0" w:header="0"/>
        </w:sectPr>
      </w:pPr>
    </w:p>
    <w:bookmarkStart w:id="21" w:name="page22"/>
    <w:bookmarkEnd w:id="21"/>
    <w:p>
      <w:pPr>
        <w:ind w:left="760" w:hanging="341"/>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right="20" w:firstLine="419"/>
        <w:spacing w:after="0" w:line="342" w:lineRule="auto"/>
        <w:tabs>
          <w:tab w:leader="none" w:pos="768" w:val="left"/>
        </w:tabs>
        <w:numPr>
          <w:ilvl w:val="0"/>
          <w:numId w:val="21"/>
        </w:numPr>
        <w:rPr>
          <w:rFonts w:ascii="Arial" w:cs="Arial" w:eastAsia="Arial" w:hAnsi="Arial"/>
          <w:sz w:val="16"/>
          <w:szCs w:val="16"/>
          <w:color w:val="auto"/>
        </w:rPr>
      </w:pPr>
      <w:r>
        <w:rPr>
          <w:rFonts w:ascii="Arial" w:cs="Arial" w:eastAsia="Arial" w:hAnsi="Arial"/>
          <w:sz w:val="16"/>
          <w:szCs w:val="16"/>
          <w:color w:val="auto"/>
        </w:rPr>
        <w:t>From the time of initial confidential submission of the Registration Statement to the Commission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firstLine="419"/>
        <w:spacing w:after="0" w:line="271" w:lineRule="auto"/>
        <w:tabs>
          <w:tab w:leader="none" w:pos="76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(i) has not alone engaged in any Testing-the-Waters Communication with any person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other than those listed on Schedule II hereto. “</w:t>
      </w:r>
      <w:r>
        <w:rPr>
          <w:rFonts w:ascii="Arial" w:cs="Arial" w:eastAsia="Arial" w:hAnsi="Arial"/>
          <w:sz w:val="17"/>
          <w:szCs w:val="17"/>
          <w:b w:val="1"/>
          <w:bCs w:val="1"/>
          <w:color w:val="auto"/>
        </w:rPr>
        <w:t>Testing-the-Waters Communication</w:t>
      </w:r>
      <w:r>
        <w:rPr>
          <w:rFonts w:ascii="Arial" w:cs="Arial" w:eastAsia="Arial" w:hAnsi="Arial"/>
          <w:sz w:val="17"/>
          <w:szCs w:val="17"/>
          <w:color w:val="auto"/>
        </w:rPr>
        <w:t>” means any communication with potential investors undertaken in reliance on Section 5(d) or Rule 163B of the Securities Act.</w:t>
      </w:r>
    </w:p>
    <w:p>
      <w:pPr>
        <w:spacing w:after="0" w:line="70" w:lineRule="exact"/>
        <w:rPr>
          <w:rFonts w:ascii="Arial" w:cs="Arial" w:eastAsia="Arial" w:hAnsi="Arial"/>
          <w:sz w:val="17"/>
          <w:szCs w:val="17"/>
          <w:color w:val="auto"/>
        </w:rPr>
      </w:pPr>
    </w:p>
    <w:p>
      <w:pPr>
        <w:ind w:right="20" w:firstLine="419"/>
        <w:spacing w:after="0" w:line="272" w:lineRule="auto"/>
        <w:tabs>
          <w:tab w:leader="none" w:pos="768"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information furnished to the Company in writing by an Underwriter through or on behalf of the Representative for use therein.</w:t>
      </w:r>
    </w:p>
    <w:p>
      <w:pPr>
        <w:spacing w:after="0" w:line="69" w:lineRule="exact"/>
        <w:rPr>
          <w:rFonts w:ascii="Arial" w:cs="Arial" w:eastAsia="Arial" w:hAnsi="Arial"/>
          <w:sz w:val="17"/>
          <w:szCs w:val="17"/>
          <w:color w:val="auto"/>
        </w:rPr>
      </w:pPr>
    </w:p>
    <w:p>
      <w:pPr>
        <w:ind w:firstLine="419"/>
        <w:spacing w:after="0" w:line="279" w:lineRule="auto"/>
        <w:tabs>
          <w:tab w:leader="none" w:pos="70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P10 Holdings and each of their respective subsidiaries (i) that is required to be in compliance with, or registered, licensed or qualified pursuant to, the Investment Advisers Act of 1940, as amended, and the rules and regulations promulgated thereunder (the “</w:t>
      </w:r>
      <w:r>
        <w:rPr>
          <w:rFonts w:ascii="Arial" w:cs="Arial" w:eastAsia="Arial" w:hAnsi="Arial"/>
          <w:sz w:val="17"/>
          <w:szCs w:val="17"/>
          <w:b w:val="1"/>
          <w:bCs w:val="1"/>
          <w:color w:val="auto"/>
        </w:rPr>
        <w:t>Advisers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the Investment Company Act, and the rules and regulations promulgated thereunder, or the U.K. Financial Services and Markets Act 2000</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rules and regulations promulgated thereunder, is in compliance with, or registered, licensed</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40"/>
          </w:cols>
          <w:pgMar w:left="880" w:top="274" w:right="479" w:bottom="1440" w:gutter="0" w:footer="0" w:header="0"/>
        </w:sectPr>
      </w:pPr>
    </w:p>
    <w:bookmarkStart w:id="22" w:name="page23"/>
    <w:bookmarkEnd w:id="2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qualified pursuant to, such laws, rules and regulations (and such registration, license or qualification is in full force and effect), to the extent applicable, except as disclosed in the Registration Statement, the Time of Sale Prospectus and the Prospectus or where the failure to be in such compliance or so registered, licensed or qualified would not, individually or in the aggregate, reasonably be expected to have a material adverse effect on the Company and its subsidiaries, taken as a whole; or (ii) that is required to be registered, licensed or qualified as a broker-dealer or as a commodity trading advisor, a commodity pool operator or a futures commission merchant or any or all of the foregoing, as applicable, is so registered, licensed or qualified in each jurisdiction where the conduct of its business requires such registration, license or qualification (and such registration, license or qualification is in full force and effect), and is in compliance with all applicable laws requiring any such registration, licensing or qualification, except as disclosed in the Registration Statement, the Time of Sale Prospectus and the Prospectus or where the failure to be so registered, licensed, qualified or in compliance would not, individually or in the aggregate, reasonably be expected to have a material adverse effect on the Company and its subsidiaries, taken as a whole.</w:t>
      </w:r>
    </w:p>
    <w:p>
      <w:pPr>
        <w:spacing w:after="0" w:line="77" w:lineRule="exact"/>
        <w:rPr>
          <w:sz w:val="20"/>
          <w:szCs w:val="20"/>
          <w:color w:val="auto"/>
        </w:rPr>
      </w:pPr>
    </w:p>
    <w:p>
      <w:pPr>
        <w:ind w:firstLine="419"/>
        <w:spacing w:after="0" w:line="290" w:lineRule="auto"/>
        <w:tabs>
          <w:tab w:leader="none" w:pos="7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of the investment advisory agreements to which the Company, P10 Holdings or any of their respective subsidiaries is a party is a valid and legally binding obligation of the parties thereto and in compliance with the Investment Advisers Act, except for any failure or failures to be valid, binding or in compliance that, individually or in the aggregate, would not reasonably be expected to have a material adverse effect on the Company and its subsidiaries, taken as a whole; none of the Company, P10 Holdings, any of their respective subsidiaries or their respective affiliates is in breach or violation of or in default under any such agreement, which breach, violation or default, individually or in the aggregate, would not reasonably be expected to have a material adverse effect on the Company and its subsidiaries, taken as a whole; and to the knowledge of the Company or P10 Holdings, there is no pending or threatened termination of any such agreement that, individually or in the aggregate, would reasonably be expected to have a material adverse effect on the Company and its subsidiaries, taken as a whole.</w:t>
      </w:r>
    </w:p>
    <w:p>
      <w:pPr>
        <w:spacing w:after="0" w:line="57" w:lineRule="exact"/>
        <w:rPr>
          <w:rFonts w:ascii="Arial" w:cs="Arial" w:eastAsia="Arial" w:hAnsi="Arial"/>
          <w:sz w:val="16"/>
          <w:szCs w:val="16"/>
          <w:color w:val="auto"/>
        </w:rPr>
      </w:pPr>
    </w:p>
    <w:p>
      <w:pPr>
        <w:ind w:right="220" w:firstLine="419"/>
        <w:spacing w:after="0" w:line="311" w:lineRule="auto"/>
        <w:tabs>
          <w:tab w:leader="none" w:pos="688"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Consummation of the Reorganization Transactions, including transactions contemplated by this Agreement and the Reorganization Documents, has not constituted and will not constitute an “assignment” within the meaning of such term under the Investment Company Act or the Advisers Act of any of the management or investment advisory contracts to which the Company or any of its subsidiaries is a party.</w:t>
      </w:r>
    </w:p>
    <w:p>
      <w:pPr>
        <w:spacing w:after="0" w:line="40" w:lineRule="exact"/>
        <w:rPr>
          <w:rFonts w:ascii="Arial" w:cs="Arial" w:eastAsia="Arial" w:hAnsi="Arial"/>
          <w:sz w:val="16"/>
          <w:szCs w:val="16"/>
          <w:color w:val="auto"/>
        </w:rPr>
      </w:pPr>
    </w:p>
    <w:p>
      <w:pPr>
        <w:ind w:right="20" w:firstLine="419"/>
        <w:spacing w:after="0" w:line="301" w:lineRule="auto"/>
        <w:tabs>
          <w:tab w:leader="none" w:pos="768"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None of the Company’s subsidiaries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P10 Holdings or any other of the Company’s or P10 Holdings’ subsidiaries.</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80" w:top="274" w:right="479" w:bottom="1440" w:gutter="0" w:footer="0" w:header="0"/>
        </w:sectPr>
      </w:pPr>
    </w:p>
    <w:bookmarkStart w:id="23" w:name="page24"/>
    <w:bookmarkEnd w:id="23"/>
    <w:p>
      <w:pPr>
        <w:ind w:left="420" w:right="40" w:firstLine="419"/>
        <w:spacing w:after="0" w:line="263" w:lineRule="auto"/>
        <w:tabs>
          <w:tab w:leader="none" w:pos="1188"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Company 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w:t>
      </w:r>
    </w:p>
    <w:p>
      <w:pPr>
        <w:spacing w:after="0" w:line="75" w:lineRule="exact"/>
        <w:rPr>
          <w:rFonts w:ascii="Arial" w:cs="Arial" w:eastAsia="Arial" w:hAnsi="Arial"/>
          <w:sz w:val="18"/>
          <w:szCs w:val="18"/>
          <w:color w:val="auto"/>
        </w:rPr>
      </w:pPr>
    </w:p>
    <w:p>
      <w:pPr>
        <w:ind w:left="420" w:firstLine="419"/>
        <w:spacing w:after="0" w:line="277"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Neither the Company nor P10 Holdings has taken, directly or indirectly, any action designed to or that could reasonably be expected to cause or result in any stabilization or manipulation of the price of the Shares.</w:t>
      </w:r>
    </w:p>
    <w:p>
      <w:pPr>
        <w:spacing w:after="0" w:line="62" w:lineRule="exact"/>
        <w:rPr>
          <w:rFonts w:ascii="Arial" w:cs="Arial" w:eastAsia="Arial" w:hAnsi="Arial"/>
          <w:sz w:val="18"/>
          <w:szCs w:val="18"/>
          <w:color w:val="auto"/>
        </w:rPr>
      </w:pPr>
    </w:p>
    <w:p>
      <w:pPr>
        <w:ind w:left="420" w:right="40" w:firstLine="419"/>
        <w:spacing w:after="0" w:line="263" w:lineRule="auto"/>
        <w:tabs>
          <w:tab w:leader="none" w:pos="11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Neither the issuance, sale and delivery of the Shares nor the application of the proceeds thereof by the Company as described in each of the Registration Statement, the Time of Sale Prospectus and the Prospectus will violate Regulation T, U or X of the Board of Governors of the Federal Reserve System or any other regulation of such Board of Governors.</w:t>
      </w:r>
    </w:p>
    <w:p>
      <w:pPr>
        <w:spacing w:after="0" w:line="75" w:lineRule="exact"/>
        <w:rPr>
          <w:rFonts w:ascii="Arial" w:cs="Arial" w:eastAsia="Arial" w:hAnsi="Arial"/>
          <w:sz w:val="18"/>
          <w:szCs w:val="18"/>
          <w:color w:val="auto"/>
        </w:rPr>
      </w:pPr>
    </w:p>
    <w:p>
      <w:pPr>
        <w:ind w:left="420" w:firstLine="419"/>
        <w:spacing w:after="0" w:line="263" w:lineRule="auto"/>
        <w:tabs>
          <w:tab w:leader="none" w:pos="11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Securities Act and Section 21E of the Exchange Act) included in any of the Registration Statement, the Time of Sale Prospectus or the Prospectus has been made or reaffirmed without a reasonable basis or has been disclosed other than in good faith.</w:t>
      </w:r>
    </w:p>
    <w:p>
      <w:pPr>
        <w:spacing w:after="0" w:line="75" w:lineRule="exact"/>
        <w:rPr>
          <w:rFonts w:ascii="Arial" w:cs="Arial" w:eastAsia="Arial" w:hAnsi="Arial"/>
          <w:sz w:val="18"/>
          <w:szCs w:val="18"/>
          <w:color w:val="auto"/>
        </w:rPr>
      </w:pPr>
    </w:p>
    <w:p>
      <w:pPr>
        <w:ind w:left="420" w:right="120" w:firstLine="419"/>
        <w:spacing w:after="0" w:line="259" w:lineRule="auto"/>
        <w:tabs>
          <w:tab w:leader="none" w:pos="11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or P10 Holdings or, to the knowledge of the Company, any of the Company’s or P10 Holdings’ respective directors or officers, in their capacities as such, to comply with any provision of the Sarbanes-Oxley Act of 2002, as amended, and the rules and regulations promulgated in connection therewith (the “Sarbanes-Oxley Act”), including Section 402 related to loans, to the extent compliance is required as of the date of this Agreement.</w:t>
      </w:r>
    </w:p>
    <w:p>
      <w:pPr>
        <w:spacing w:after="0" w:line="186" w:lineRule="exact"/>
        <w:rPr>
          <w:rFonts w:ascii="Arial" w:cs="Arial" w:eastAsia="Arial" w:hAnsi="Arial"/>
          <w:sz w:val="18"/>
          <w:szCs w:val="18"/>
          <w:color w:val="auto"/>
        </w:rPr>
      </w:pPr>
    </w:p>
    <w:p>
      <w:pPr>
        <w:ind w:left="-20" w:right="240" w:firstLine="436"/>
        <w:spacing w:after="0" w:line="277"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Selling Shareholders</w:t>
      </w:r>
      <w:r>
        <w:rPr>
          <w:rFonts w:ascii="Arial" w:cs="Arial" w:eastAsia="Arial" w:hAnsi="Arial"/>
          <w:sz w:val="18"/>
          <w:szCs w:val="18"/>
          <w:color w:val="auto"/>
        </w:rPr>
        <w:t>. Each Selling Shareholder represents and warrants to and agrees with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that:</w:t>
      </w:r>
    </w:p>
    <w:p>
      <w:pPr>
        <w:spacing w:after="0" w:line="62" w:lineRule="exact"/>
        <w:rPr>
          <w:rFonts w:ascii="Arial" w:cs="Arial" w:eastAsia="Arial" w:hAnsi="Arial"/>
          <w:sz w:val="18"/>
          <w:szCs w:val="18"/>
          <w:color w:val="auto"/>
        </w:rPr>
      </w:pPr>
    </w:p>
    <w:p>
      <w:pPr>
        <w:ind w:left="1080" w:hanging="241"/>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or on behalf of such Selling Shareholder.</w:t>
      </w:r>
    </w:p>
    <w:p>
      <w:pPr>
        <w:spacing w:after="0" w:line="117" w:lineRule="exact"/>
        <w:rPr>
          <w:rFonts w:ascii="Arial" w:cs="Arial" w:eastAsia="Arial" w:hAnsi="Arial"/>
          <w:sz w:val="18"/>
          <w:szCs w:val="18"/>
          <w:color w:val="auto"/>
        </w:rPr>
      </w:pPr>
    </w:p>
    <w:p>
      <w:pPr>
        <w:ind w:left="420" w:right="80" w:firstLine="419"/>
        <w:spacing w:after="0" w:line="279" w:lineRule="auto"/>
        <w:tabs>
          <w:tab w:leader="none" w:pos="1098"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execution and delivery by such Selling Shareholder of, and the performance by such Selling Shareholder of its obligations under, this Agreement, the Custody Agreement signed by such Selling Shareholder and American Stock Transfer &amp; Trust Company, LLC, as Custodian, relating to the deposit of the Shares to be sold by such Selling Shareholder (the “</w:t>
      </w:r>
      <w:r>
        <w:rPr>
          <w:rFonts w:ascii="Arial" w:cs="Arial" w:eastAsia="Arial" w:hAnsi="Arial"/>
          <w:sz w:val="17"/>
          <w:szCs w:val="17"/>
          <w:b w:val="1"/>
          <w:bCs w:val="1"/>
          <w:color w:val="auto"/>
        </w:rPr>
        <w:t>Custody Agreement</w:t>
      </w:r>
      <w:r>
        <w:rPr>
          <w:rFonts w:ascii="Arial" w:cs="Arial" w:eastAsia="Arial" w:hAnsi="Arial"/>
          <w:sz w:val="17"/>
          <w:szCs w:val="17"/>
          <w:color w:val="auto"/>
        </w:rPr>
        <w:t>”) and the Power of Attorney appointing certain individuals as such Selling Shareholder’s attorneys-in-fact to the extent set forth therein, relating to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4" w:right="459" w:bottom="1440" w:gutter="0" w:footer="0" w:header="0"/>
        </w:sectPr>
      </w:pPr>
    </w:p>
    <w:bookmarkStart w:id="24" w:name="page25"/>
    <w:bookmarkEnd w:id="24"/>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contemplated hereby and by the Registration Statement (the “</w:t>
      </w:r>
      <w:r>
        <w:rPr>
          <w:rFonts w:ascii="Arial" w:cs="Arial" w:eastAsia="Arial" w:hAnsi="Arial"/>
          <w:sz w:val="18"/>
          <w:szCs w:val="18"/>
          <w:b w:val="1"/>
          <w:bCs w:val="1"/>
          <w:color w:val="auto"/>
        </w:rPr>
        <w:t>Power of Attorney</w:t>
      </w:r>
      <w:r>
        <w:rPr>
          <w:rFonts w:ascii="Arial" w:cs="Arial" w:eastAsia="Arial" w:hAnsi="Arial"/>
          <w:sz w:val="18"/>
          <w:szCs w:val="18"/>
          <w:color w:val="auto"/>
        </w:rPr>
        <w:t>”) will not contravene any provision of applicable law, or the certificate of incorporation or by-laws of such Selling Shareholder (if such Selling Shareholder is a corporation), or any agreement or other instrument binding upon such Selling Shareholder or any judgment, order or decree of any governmental body, agency or court having jurisdiction over such Selling Shareholder, and no consent, approval, authorization or order of, or qualification with, any governmental body, agency or court is required for the performance by such Selling Shareholder of its obligations under this Agreement or the Custody Agreement or Power of Attorney of such Selling Shareholder, except such as may be required by the securities or Blue Sky laws of the various states in connection with the offer and sale of the Shares.</w:t>
      </w:r>
    </w:p>
    <w:p>
      <w:pPr>
        <w:spacing w:after="0" w:line="85" w:lineRule="exact"/>
        <w:rPr>
          <w:sz w:val="20"/>
          <w:szCs w:val="20"/>
          <w:color w:val="auto"/>
        </w:rPr>
      </w:pPr>
    </w:p>
    <w:p>
      <w:pPr>
        <w:ind w:right="140" w:firstLine="419"/>
        <w:spacing w:after="0" w:line="257" w:lineRule="auto"/>
        <w:tabs>
          <w:tab w:leader="none" w:pos="6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Selling Shareholder has, and on the Closing Date will have, valid title to, or a valid “security entitlement” within the meaning of Section 8-501 of the New York Uniform Commercial Code in respect of, the Shares to be sold by such Selling Shareholder free and clear of all security interests, claims, liens, equities or other encumbrances and the legal right and power, and all authorization and approval required by law, to enter into this Agreement, the Custody Agreement and the Power of Attorney and to sell, transfer and deliver the Shares to be sold by such Selling Shareholder or a security entitlement in respect of such Shares.</w:t>
      </w:r>
    </w:p>
    <w:p>
      <w:pPr>
        <w:spacing w:after="0" w:line="79" w:lineRule="exact"/>
        <w:rPr>
          <w:rFonts w:ascii="Arial" w:cs="Arial" w:eastAsia="Arial" w:hAnsi="Arial"/>
          <w:sz w:val="18"/>
          <w:szCs w:val="18"/>
          <w:color w:val="auto"/>
        </w:rPr>
      </w:pPr>
    </w:p>
    <w:p>
      <w:pPr>
        <w:ind w:right="120" w:firstLine="419"/>
        <w:spacing w:after="0" w:line="277" w:lineRule="auto"/>
        <w:tabs>
          <w:tab w:leader="none" w:pos="6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Custody Agreement and the Power of Attorney have been duly authorized, executed and delivered by such Selling Shareholder and are valid and binding agreements of such Selling Shareholder.</w:t>
      </w:r>
    </w:p>
    <w:p>
      <w:pPr>
        <w:spacing w:after="0" w:line="62" w:lineRule="exact"/>
        <w:rPr>
          <w:rFonts w:ascii="Arial" w:cs="Arial" w:eastAsia="Arial" w:hAnsi="Arial"/>
          <w:sz w:val="18"/>
          <w:szCs w:val="18"/>
          <w:color w:val="auto"/>
        </w:rPr>
      </w:pPr>
    </w:p>
    <w:p>
      <w:pPr>
        <w:ind w:firstLine="419"/>
        <w:spacing w:after="0" w:line="287" w:lineRule="auto"/>
        <w:tabs>
          <w:tab w:leader="none" w:pos="668" w:val="left"/>
        </w:tabs>
        <w:numPr>
          <w:ilvl w:val="0"/>
          <w:numId w:val="25"/>
        </w:numPr>
        <w:rPr>
          <w:rFonts w:ascii="Arial" w:cs="Arial" w:eastAsia="Arial" w:hAnsi="Arial"/>
          <w:sz w:val="16"/>
          <w:szCs w:val="16"/>
          <w:color w:val="auto"/>
        </w:rPr>
      </w:pPr>
      <w:r>
        <w:rPr>
          <w:rFonts w:ascii="Arial" w:cs="Arial" w:eastAsia="Arial" w:hAnsi="Arial"/>
          <w:sz w:val="16"/>
          <w:szCs w:val="16"/>
          <w:color w:val="auto"/>
        </w:rPr>
        <w:t>Upon payment for the Shares to be sold by such Selling Shareholder pursuant to this Agreement, delivery of such Shares, as directed by the Underwriters, to Cede &amp; Co. (“</w:t>
      </w:r>
      <w:r>
        <w:rPr>
          <w:rFonts w:ascii="Arial" w:cs="Arial" w:eastAsia="Arial" w:hAnsi="Arial"/>
          <w:sz w:val="16"/>
          <w:szCs w:val="16"/>
          <w:b w:val="1"/>
          <w:bCs w:val="1"/>
          <w:color w:val="auto"/>
        </w:rPr>
        <w:t>Cede</w:t>
      </w:r>
      <w:r>
        <w:rPr>
          <w:rFonts w:ascii="Arial" w:cs="Arial" w:eastAsia="Arial" w:hAnsi="Arial"/>
          <w:sz w:val="16"/>
          <w:szCs w:val="16"/>
          <w:color w:val="auto"/>
        </w:rPr>
        <w:t>”) or such other nominee as may be designated by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New York Uniform Commercial Code (the “</w:t>
      </w:r>
      <w:r>
        <w:rPr>
          <w:rFonts w:ascii="Arial" w:cs="Arial" w:eastAsia="Arial" w:hAnsi="Arial"/>
          <w:sz w:val="16"/>
          <w:szCs w:val="16"/>
          <w:b w:val="1"/>
          <w:bCs w:val="1"/>
          <w:color w:val="auto"/>
        </w:rPr>
        <w:t>UCC</w:t>
      </w:r>
      <w:r>
        <w:rPr>
          <w:rFonts w:ascii="Arial" w:cs="Arial" w:eastAsia="Arial" w:hAnsi="Arial"/>
          <w:sz w:val="16"/>
          <w:szCs w:val="16"/>
          <w:color w:val="auto"/>
        </w:rPr>
        <w:t>”)) to such Shares),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asserted against the Underwriters with respect to such security entitlement; for purposes of this representation, such Selling Shareholder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80" w:top="270" w:right="439" w:bottom="1440" w:gutter="0" w:footer="0" w:header="0"/>
        </w:sectPr>
      </w:pPr>
    </w:p>
    <w:bookmarkStart w:id="25" w:name="page26"/>
    <w:bookmarkEnd w:id="25"/>
    <w:p>
      <w:pPr>
        <w:ind w:right="40" w:firstLine="419"/>
        <w:spacing w:after="0" w:line="277"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Selling Shareholder has delivered to the Representatives an executed lock-up agreement in substantially the form attached hereto as Exhibit A (the “</w:t>
      </w:r>
      <w:r>
        <w:rPr>
          <w:rFonts w:ascii="Arial" w:cs="Arial" w:eastAsia="Arial" w:hAnsi="Arial"/>
          <w:sz w:val="18"/>
          <w:szCs w:val="18"/>
          <w:b w:val="1"/>
          <w:bCs w:val="1"/>
          <w:color w:val="auto"/>
        </w:rPr>
        <w:t>Lock-up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firstLine="419"/>
        <w:spacing w:after="0" w:line="255" w:lineRule="auto"/>
        <w:tabs>
          <w:tab w:leader="none" w:pos="678"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Selling Shareholder has no reason to believe that the representations and warranties of the Company contained in Section 1 are not true and correct, is familiar with the Registration Statement, the Time of Sale Prospectus and the Prospectus and has no knowledge of any material fact, condition or information not disclosed in the Registration Statement, the Time of Sale Prospectus or the Prospectus that has had, or may have, a material adverse effect on the Company and its subsidiaries, taken as a whole. Such Selling Shareholder is not prompted by any information concerning the Company or its subsidiaries which is not set forth in the Registration Statement, the Time of Sale Prospectus or the Prospectus to sell its Shares pursuant to this Agreement.</w:t>
      </w:r>
    </w:p>
    <w:p>
      <w:pPr>
        <w:spacing w:after="0" w:line="84" w:lineRule="exact"/>
        <w:rPr>
          <w:rFonts w:ascii="Arial" w:cs="Arial" w:eastAsia="Arial" w:hAnsi="Arial"/>
          <w:sz w:val="18"/>
          <w:szCs w:val="18"/>
          <w:color w:val="auto"/>
        </w:rPr>
      </w:pPr>
    </w:p>
    <w:p>
      <w:pPr>
        <w:ind w:right="20" w:firstLine="419"/>
        <w:spacing w:after="0" w:line="286" w:lineRule="auto"/>
        <w:tabs>
          <w:tab w:leader="none" w:pos="6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Each Selling Shareholder named in Schedule I-A hereto represents and warrants that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1),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880" w:top="274" w:right="459" w:bottom="1440" w:gutter="0" w:footer="0" w:header="0"/>
        </w:sectPr>
      </w:pPr>
    </w:p>
    <w:bookmarkStart w:id="26" w:name="page27"/>
    <w:bookmarkEnd w:id="26"/>
    <w:p>
      <w:pPr>
        <w:ind w:right="320" w:firstLine="419"/>
        <w:spacing w:after="0" w:line="342" w:lineRule="auto"/>
        <w:tabs>
          <w:tab w:leader="none" w:pos="638"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None of such Selling Shareholder or any of its subsidiaries, or, to the knowledge of such Selling Shareholder, any director, officer, employee, agent, representative, or affiliate thereof, is a Person that is, or is owned or controlled by one or more Persons that are:</w:t>
      </w:r>
    </w:p>
    <w:p>
      <w:pPr>
        <w:spacing w:after="0" w:line="15" w:lineRule="exact"/>
        <w:rPr>
          <w:rFonts w:ascii="Arial" w:cs="Arial" w:eastAsia="Arial" w:hAnsi="Arial"/>
          <w:sz w:val="16"/>
          <w:szCs w:val="16"/>
          <w:color w:val="auto"/>
        </w:rPr>
      </w:pPr>
    </w:p>
    <w:p>
      <w:pPr>
        <w:ind w:left="1660" w:hanging="289"/>
        <w:spacing w:after="0"/>
        <w:tabs>
          <w:tab w:leader="none" w:pos="16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subject of any Sanctions, or</w:t>
      </w:r>
    </w:p>
    <w:p>
      <w:pPr>
        <w:spacing w:after="0" w:line="117" w:lineRule="exact"/>
        <w:rPr>
          <w:rFonts w:ascii="Arial" w:cs="Arial" w:eastAsia="Arial" w:hAnsi="Arial"/>
          <w:sz w:val="18"/>
          <w:szCs w:val="18"/>
          <w:color w:val="auto"/>
        </w:rPr>
      </w:pPr>
    </w:p>
    <w:p>
      <w:pPr>
        <w:ind w:left="980" w:right="580" w:firstLine="391"/>
        <w:spacing w:after="0" w:line="277" w:lineRule="auto"/>
        <w:tabs>
          <w:tab w:leader="none" w:pos="1648" w:val="left"/>
        </w:tabs>
        <w:numPr>
          <w:ilvl w:val="2"/>
          <w:numId w:val="27"/>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62" w:lineRule="exact"/>
        <w:rPr>
          <w:rFonts w:ascii="Arial" w:cs="Arial" w:eastAsia="Arial" w:hAnsi="Arial"/>
          <w:sz w:val="18"/>
          <w:szCs w:val="18"/>
          <w:color w:val="auto"/>
        </w:rPr>
      </w:pPr>
    </w:p>
    <w:p>
      <w:pPr>
        <w:ind w:left="540" w:right="200" w:firstLine="408"/>
        <w:spacing w:after="0" w:line="277" w:lineRule="auto"/>
        <w:tabs>
          <w:tab w:leader="none" w:pos="1206"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Such Selling Shareholder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980" w:right="200" w:firstLine="391"/>
        <w:spacing w:after="0" w:line="277" w:lineRule="auto"/>
        <w:tabs>
          <w:tab w:leader="none" w:pos="1658"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980" w:right="320" w:firstLine="391"/>
        <w:spacing w:after="0" w:line="277" w:lineRule="auto"/>
        <w:tabs>
          <w:tab w:leader="none" w:pos="1648" w:val="left"/>
        </w:tabs>
        <w:numPr>
          <w:ilvl w:val="2"/>
          <w:numId w:val="27"/>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540" w:right="280" w:firstLine="408"/>
        <w:spacing w:after="0" w:line="263" w:lineRule="auto"/>
        <w:tabs>
          <w:tab w:leader="none" w:pos="1256"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 the last 5 years, such Selling Shareholder has not knowingly engaged in, is not now knowingly engaged in, and will not engage in, any dealings or transactions with any Person, or in any country or territory, that at the time of the dealing or transaction is or was the subject of Sanctions.</w:t>
      </w:r>
    </w:p>
    <w:p>
      <w:pPr>
        <w:spacing w:after="0" w:line="75" w:lineRule="exact"/>
        <w:rPr>
          <w:rFonts w:ascii="Arial" w:cs="Arial" w:eastAsia="Arial" w:hAnsi="Arial"/>
          <w:sz w:val="18"/>
          <w:szCs w:val="18"/>
          <w:color w:val="auto"/>
        </w:rPr>
      </w:pPr>
    </w:p>
    <w:p>
      <w:pPr>
        <w:ind w:left="540" w:firstLine="408"/>
        <w:spacing w:after="0" w:line="253" w:lineRule="auto"/>
        <w:tabs>
          <w:tab w:leader="none" w:pos="1246" w:val="left"/>
        </w:tabs>
        <w:numPr>
          <w:ilvl w:val="1"/>
          <w:numId w:val="27"/>
        </w:numPr>
        <w:rPr>
          <w:rFonts w:ascii="Arial" w:cs="Arial" w:eastAsia="Arial" w:hAnsi="Arial"/>
          <w:sz w:val="18"/>
          <w:szCs w:val="18"/>
          <w:color w:val="auto"/>
        </w:rPr>
      </w:pPr>
      <w:r>
        <w:rPr>
          <w:rFonts w:ascii="Arial" w:cs="Arial" w:eastAsia="Arial" w:hAnsi="Arial"/>
          <w:sz w:val="18"/>
          <w:szCs w:val="18"/>
          <w:color w:val="auto"/>
        </w:rPr>
        <w:t>(i) None of such Selling Shareholder or any of its subsidiaries, or, to the knowledge of such Selling Shareholder, any director, officer, employee, agent, representative, or affiliate thereof has (a) taken or will take any action in furtherance of an offer, payment, promise to pay, or authorization or approval of the payment giving or receipt of money, property, gifts or anything else of value, directly or indirectly, to any Government Official in order to influence official action, or to any person in violation of any applicable anti-corruption laws, or (b) used any corporate funds for any unlawful contribution, gift, entertainment or other unlawful expense relating to political activity, or (c) made, offered, agreed, requested or taken an act in furtherance of any unlawful bribe or other unlawful benefit, including, without limitation, any rebate, payoff, influence payment, kickback or other unlawful or improper payment or benefit; (ii) such Selling Shareholder and each of its subsidiaries have conducted their businesses in compliance with applicable anti-corruption laws and, other than with respect to those Selling Shareholders that are natural persons, have instituted and maintained and will continue to maintain policies and procedures</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880" w:top="274" w:right="479" w:bottom="1440" w:gutter="0" w:footer="0" w:header="0"/>
        </w:sectPr>
      </w:pPr>
    </w:p>
    <w:bookmarkStart w:id="27" w:name="page28"/>
    <w:bookmarkEnd w:id="27"/>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reasonably designed to promote and achieve compliance with such laws and with the representations and warranties contained herein; and</w:t>
      </w:r>
    </w:p>
    <w:p>
      <w:pPr>
        <w:spacing w:after="0" w:line="46" w:lineRule="exact"/>
        <w:rPr>
          <w:sz w:val="20"/>
          <w:szCs w:val="20"/>
          <w:color w:val="auto"/>
        </w:rPr>
      </w:pPr>
    </w:p>
    <w:p>
      <w:pPr>
        <w:jc w:val="both"/>
        <w:ind w:left="980" w:right="20" w:firstLine="7"/>
        <w:spacing w:after="0" w:line="255" w:lineRule="auto"/>
        <w:tabs>
          <w:tab w:leader="none" w:pos="1295" w:val="left"/>
        </w:tabs>
        <w:numPr>
          <w:ilvl w:val="2"/>
          <w:numId w:val="28"/>
        </w:numPr>
        <w:rPr>
          <w:rFonts w:ascii="Arial" w:cs="Arial" w:eastAsia="Arial" w:hAnsi="Arial"/>
          <w:sz w:val="18"/>
          <w:szCs w:val="18"/>
          <w:color w:val="auto"/>
        </w:rPr>
      </w:pPr>
      <w:r>
        <w:rPr>
          <w:rFonts w:ascii="Arial" w:cs="Arial" w:eastAsia="Arial" w:hAnsi="Arial"/>
          <w:sz w:val="18"/>
          <w:szCs w:val="18"/>
          <w:color w:val="auto"/>
        </w:rPr>
        <w:t>neither the Selling Shareholder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81" w:lineRule="exact"/>
        <w:rPr>
          <w:rFonts w:ascii="Arial" w:cs="Arial" w:eastAsia="Arial" w:hAnsi="Arial"/>
          <w:sz w:val="18"/>
          <w:szCs w:val="18"/>
          <w:color w:val="auto"/>
        </w:rPr>
      </w:pPr>
    </w:p>
    <w:p>
      <w:pPr>
        <w:ind w:left="980" w:right="120" w:firstLine="408"/>
        <w:spacing w:after="0" w:line="301" w:lineRule="auto"/>
        <w:tabs>
          <w:tab w:leader="none" w:pos="1636" w:val="left"/>
        </w:tabs>
        <w:numPr>
          <w:ilvl w:val="3"/>
          <w:numId w:val="28"/>
        </w:numPr>
        <w:rPr>
          <w:rFonts w:ascii="Arial" w:cs="Arial" w:eastAsia="Arial" w:hAnsi="Arial"/>
          <w:sz w:val="16"/>
          <w:szCs w:val="16"/>
          <w:color w:val="auto"/>
        </w:rPr>
      </w:pPr>
      <w:r>
        <w:rPr>
          <w:rFonts w:ascii="Arial" w:cs="Arial" w:eastAsia="Arial" w:hAnsi="Arial"/>
          <w:sz w:val="16"/>
          <w:szCs w:val="16"/>
          <w:color w:val="auto"/>
        </w:rPr>
        <w:t>The operations of such Selling Shareholder, to the extent not a natural person, and each of its subsidiaries are and have been conducted at all times in material compliance with all applicable Anti-Money Laundering Laws, and no action, suit or proceeding by or before any court or governmental agency, authority or body or any arbitrator involving such Selling Shareholder or any of its subsidiaries with respect to the Anti-Money Laundering Laws is pending or, to the best knowledge of the Selling Shareholder, threatened.</w:t>
      </w:r>
    </w:p>
    <w:p>
      <w:pPr>
        <w:spacing w:after="0" w:line="49" w:lineRule="exact"/>
        <w:rPr>
          <w:rFonts w:ascii="Arial" w:cs="Arial" w:eastAsia="Arial" w:hAnsi="Arial"/>
          <w:sz w:val="16"/>
          <w:szCs w:val="16"/>
          <w:color w:val="auto"/>
        </w:rPr>
      </w:pPr>
    </w:p>
    <w:p>
      <w:pPr>
        <w:ind w:left="440" w:right="160" w:firstLine="419"/>
        <w:spacing w:after="0" w:line="259" w:lineRule="auto"/>
        <w:tabs>
          <w:tab w:leader="none" w:pos="10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Such Selling Shareholder, to the extent not a natural person, represents and warrants that it is not (i) an employee benefit plan subject to Title I of the Employee Retirement Income Security Act of 1974, as amended (“ERISA”), (ii) a plan or account subject to Section 4975 of the Internal Revenue Code of 1986, as amended or (iii) an entity deemed to hold “plan assets” of any such plan or account under Section 3(42) of ERISA, 29 C.F.R. 2510.3-101, or otherwise.</w:t>
      </w:r>
    </w:p>
    <w:p>
      <w:pPr>
        <w:spacing w:after="0" w:line="186" w:lineRule="exact"/>
        <w:rPr>
          <w:rFonts w:ascii="Arial" w:cs="Arial" w:eastAsia="Arial" w:hAnsi="Arial"/>
          <w:sz w:val="18"/>
          <w:szCs w:val="18"/>
          <w:color w:val="auto"/>
        </w:rPr>
      </w:pPr>
    </w:p>
    <w:p>
      <w:pPr>
        <w:ind w:right="20" w:firstLine="436"/>
        <w:spacing w:after="0" w:line="255"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Agreements to Sell and Purchase. </w:t>
      </w:r>
      <w:r>
        <w:rPr>
          <w:rFonts w:ascii="Arial" w:cs="Arial" w:eastAsia="Arial" w:hAnsi="Arial"/>
          <w:sz w:val="18"/>
          <w:szCs w:val="18"/>
          <w:color w:val="auto"/>
        </w:rPr>
        <w:t>Each Seller, severally and not jointly, hereby agrees to sell to the several Underwriters, and each Underwriter,</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basis of the representations and warranties herein contained, but subject to the terms and conditions hereinafter stated, agrees, severally and not jointly, to purchase from such Seller at $11.25 a share (the “</w:t>
      </w:r>
      <w:r>
        <w:rPr>
          <w:rFonts w:ascii="Arial" w:cs="Arial" w:eastAsia="Arial" w:hAnsi="Arial"/>
          <w:sz w:val="18"/>
          <w:szCs w:val="18"/>
          <w:b w:val="1"/>
          <w:bCs w:val="1"/>
          <w:color w:val="auto"/>
        </w:rPr>
        <w:t>Purchase Price</w:t>
      </w:r>
      <w:r>
        <w:rPr>
          <w:rFonts w:ascii="Arial" w:cs="Arial" w:eastAsia="Arial" w:hAnsi="Arial"/>
          <w:sz w:val="18"/>
          <w:szCs w:val="18"/>
          <w:color w:val="auto"/>
        </w:rPr>
        <w:t>”) the number of Firm Shares (subject to such adjustments to eliminate fractional shares as the Representatives may determine) that bears the same proportion to the number of Firm Shares to be sold by such Seller (as provided in Schedule I) as the number of Firm Shares set forth in Schedule II hereto opposite the name of such Underwriter bears to the total number of Firm Shares.</w:t>
      </w:r>
    </w:p>
    <w:p>
      <w:pPr>
        <w:spacing w:after="0" w:line="192"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each Selling Shareholder, as and to the extent provided in Schedule I, agrees, severally and not jointly, to sell to the Underwriters the Additional Shares, and the Underwriters shall have the right to purchase, severally and not jointly, up to 3,000,000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8" w:name="page29"/>
    <w:bookmarkEnd w:id="28"/>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day after the written notice is given and may not be earlier than the closing date for the Firm Shares or later than ten business days after the date of such notice. Additional Shares may be purchased as provided in Section 5 hereof solely for the purpose of covering over-allotments made in connection with the offering of the Firm Shares.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II hereto opposite the name of such Underwriter bears to the total number of Firm Shares.</w:t>
      </w:r>
    </w:p>
    <w:p>
      <w:pPr>
        <w:spacing w:after="0" w:line="164" w:lineRule="exact"/>
        <w:rPr>
          <w:sz w:val="20"/>
          <w:szCs w:val="20"/>
          <w:color w:val="auto"/>
        </w:rPr>
      </w:pPr>
    </w:p>
    <w:p>
      <w:pPr>
        <w:ind w:right="40" w:firstLine="436"/>
        <w:spacing w:after="0" w:line="25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Terms of Public Offering</w:t>
      </w:r>
      <w:r>
        <w:rPr>
          <w:rFonts w:ascii="Arial" w:cs="Arial" w:eastAsia="Arial" w:hAnsi="Arial"/>
          <w:sz w:val="18"/>
          <w:szCs w:val="18"/>
          <w:color w:val="auto"/>
        </w:rPr>
        <w:t>. The Sellers are advised by the Representatives that the Underwriters propose to make a public offering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portions of the Shares as soon after the Registration Statement and this Agreement have become effective as in the Representatives’ judgment is advisable. The Sellers are further advised by the Representatives that the Shares are to be offered to the public initially at $12.00 a share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 Price</w:t>
      </w:r>
      <w:r>
        <w:rPr>
          <w:rFonts w:ascii="Arial" w:cs="Arial" w:eastAsia="Arial" w:hAnsi="Arial"/>
          <w:sz w:val="18"/>
          <w:szCs w:val="18"/>
          <w:color w:val="auto"/>
        </w:rPr>
        <w:t>”) and to certain dealers selected by the Representatives at a price that represents a concession not in excess of $0.4320 a share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Price.</w:t>
      </w:r>
    </w:p>
    <w:p>
      <w:pPr>
        <w:spacing w:after="0" w:line="187" w:lineRule="exact"/>
        <w:rPr>
          <w:rFonts w:ascii="Arial" w:cs="Arial" w:eastAsia="Arial" w:hAnsi="Arial"/>
          <w:sz w:val="18"/>
          <w:szCs w:val="18"/>
          <w:color w:val="auto"/>
        </w:rPr>
      </w:pPr>
    </w:p>
    <w:p>
      <w:pPr>
        <w:ind w:right="20" w:firstLine="436"/>
        <w:spacing w:after="0" w:line="279"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Payment and Delivery. </w:t>
      </w:r>
      <w:r>
        <w:rPr>
          <w:rFonts w:ascii="Arial" w:cs="Arial" w:eastAsia="Arial" w:hAnsi="Arial"/>
          <w:sz w:val="17"/>
          <w:szCs w:val="17"/>
          <w:color w:val="auto"/>
        </w:rPr>
        <w:t>Payment for the Firm Shares to be sold by each Seller shall be made to such Seller in Federal or other funds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in New York City against delivery of such Firm Shares for the respective accounts of the several Underwriters at 10:00 a.m., New York City time, on October 25, 2021,or at such other time on the same or such other date, not later than five business days thereafter, as shall be designated in writing by the Representatives. The time and date of such payment are hereinafter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71"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3 or at such other time on the same or on such other date, in any event not later than ten business days thereafter, as shall be designated in writing by the Representatives.</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9" w:name="page30"/>
    <w:bookmarkEnd w:id="29"/>
    <w:p>
      <w:pPr>
        <w:ind w:left="-436" w:right="20" w:firstLine="436"/>
        <w:spacing w:after="0" w:line="263" w:lineRule="auto"/>
        <w:tabs>
          <w:tab w:leader="none" w:pos="18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to the Underwriters’ Obligations</w:t>
      </w:r>
      <w:r>
        <w:rPr>
          <w:rFonts w:ascii="Arial" w:cs="Arial" w:eastAsia="Arial" w:hAnsi="Arial"/>
          <w:sz w:val="18"/>
          <w:szCs w:val="18"/>
          <w:color w:val="auto"/>
        </w:rPr>
        <w:t>. The obligations of each Seller to sell the Shares to the Underwriters and the several obligations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Underwriters to purchase and pay for the Shares on the Closing Date are subject to the condition that the Registration Statement shall have become effective not later than 4:00 p.m. (New York City time) on the date hereof.</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117" w:lineRule="exact"/>
        <w:rPr>
          <w:sz w:val="20"/>
          <w:szCs w:val="20"/>
          <w:color w:val="auto"/>
        </w:rPr>
      </w:pPr>
    </w:p>
    <w:p>
      <w:pPr>
        <w:ind w:left="664" w:hanging="241"/>
        <w:spacing w:after="0"/>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117" w:lineRule="exact"/>
        <w:rPr>
          <w:rFonts w:ascii="Arial" w:cs="Arial" w:eastAsia="Arial" w:hAnsi="Arial"/>
          <w:sz w:val="18"/>
          <w:szCs w:val="18"/>
          <w:color w:val="auto"/>
        </w:rPr>
      </w:pPr>
    </w:p>
    <w:p>
      <w:pPr>
        <w:ind w:left="544" w:right="420" w:firstLine="408"/>
        <w:spacing w:after="0" w:line="308" w:lineRule="auto"/>
        <w:tabs>
          <w:tab w:leader="none" w:pos="1159" w:val="left"/>
        </w:tabs>
        <w:numPr>
          <w:ilvl w:val="1"/>
          <w:numId w:val="33"/>
        </w:numPr>
        <w:rPr>
          <w:rFonts w:ascii="Arial" w:cs="Arial" w:eastAsia="Arial" w:hAnsi="Arial"/>
          <w:sz w:val="17"/>
          <w:szCs w:val="17"/>
          <w:color w:val="auto"/>
        </w:rPr>
      </w:pPr>
      <w:r>
        <w:rPr>
          <w:rFonts w:ascii="Arial" w:cs="Arial" w:eastAsia="Arial" w:hAnsi="Arial"/>
          <w:sz w:val="17"/>
          <w:szCs w:val="17"/>
          <w:color w:val="auto"/>
        </w:rPr>
        <w:t>no order suspending the effectiveness of the Registration Statement shall be in effect, and no proceeding for such purpose or pursuant to Section 8A under the Securities Act shall be pending before or threatened by the Commission;</w:t>
      </w:r>
    </w:p>
    <w:p>
      <w:pPr>
        <w:spacing w:after="0" w:line="38" w:lineRule="exact"/>
        <w:rPr>
          <w:rFonts w:ascii="Arial" w:cs="Arial" w:eastAsia="Arial" w:hAnsi="Arial"/>
          <w:sz w:val="17"/>
          <w:szCs w:val="17"/>
          <w:color w:val="auto"/>
        </w:rPr>
      </w:pPr>
    </w:p>
    <w:p>
      <w:pPr>
        <w:ind w:left="544" w:firstLine="408"/>
        <w:spacing w:after="0" w:line="279" w:lineRule="auto"/>
        <w:tabs>
          <w:tab w:leader="none" w:pos="1209"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w:t>
      </w:r>
    </w:p>
    <w:p>
      <w:pPr>
        <w:spacing w:after="0" w:line="63" w:lineRule="exact"/>
        <w:rPr>
          <w:rFonts w:ascii="Arial" w:cs="Arial" w:eastAsia="Arial" w:hAnsi="Arial"/>
          <w:sz w:val="17"/>
          <w:szCs w:val="17"/>
          <w:color w:val="auto"/>
        </w:rPr>
      </w:pPr>
    </w:p>
    <w:p>
      <w:pPr>
        <w:ind w:left="544" w:right="100" w:firstLine="408"/>
        <w:spacing w:after="0" w:line="301" w:lineRule="auto"/>
        <w:tabs>
          <w:tab w:leader="none" w:pos="1259"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49" w:lineRule="exact"/>
        <w:rPr>
          <w:rFonts w:ascii="Arial" w:cs="Arial" w:eastAsia="Arial" w:hAnsi="Arial"/>
          <w:sz w:val="16"/>
          <w:szCs w:val="16"/>
          <w:color w:val="auto"/>
        </w:rPr>
      </w:pPr>
    </w:p>
    <w:p>
      <w:pPr>
        <w:ind w:left="4" w:right="20" w:firstLine="419"/>
        <w:spacing w:after="0" w:line="301" w:lineRule="auto"/>
        <w:tabs>
          <w:tab w:leader="none" w:pos="68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 certificate, dated the Closing Date and signed on behalf of the Company by an executive officer of the Company, to the effect set forth in Sections 6(a)(i) and 6(a)(ii)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officer signing and delivering such certificate may rely upon his or her knowledge as to proceedings threatened.</w:t>
      </w:r>
    </w:p>
    <w:p>
      <w:pPr>
        <w:spacing w:after="0" w:line="158"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44"/>
          </w:cols>
          <w:pgMar w:left="876" w:top="274" w:right="479" w:bottom="1440" w:gutter="0" w:footer="0" w:header="0"/>
        </w:sectPr>
      </w:pPr>
    </w:p>
    <w:bookmarkStart w:id="30" w:name="page31"/>
    <w:bookmarkEnd w:id="30"/>
    <w:p>
      <w:pPr>
        <w:ind w:right="460" w:firstLine="419"/>
        <w:spacing w:after="0" w:line="277" w:lineRule="auto"/>
        <w:tabs>
          <w:tab w:leader="none" w:pos="668"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the Closing Date an opinion and negative assurance letter of Olshan Frome Wolosky LLP, outside counsel for the Company, dated the Closing Date, to the effect that:</w:t>
      </w:r>
    </w:p>
    <w:p>
      <w:pPr>
        <w:spacing w:after="0" w:line="62" w:lineRule="exact"/>
        <w:rPr>
          <w:rFonts w:ascii="Arial" w:cs="Arial" w:eastAsia="Arial" w:hAnsi="Arial"/>
          <w:sz w:val="18"/>
          <w:szCs w:val="18"/>
          <w:color w:val="auto"/>
        </w:rPr>
      </w:pPr>
    </w:p>
    <w:p>
      <w:pPr>
        <w:ind w:left="540" w:firstLine="408"/>
        <w:spacing w:after="0" w:line="255" w:lineRule="auto"/>
        <w:tabs>
          <w:tab w:leader="none" w:pos="11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w:t>
      </w:r>
    </w:p>
    <w:p>
      <w:pPr>
        <w:spacing w:after="0" w:line="84" w:lineRule="exact"/>
        <w:rPr>
          <w:rFonts w:ascii="Arial" w:cs="Arial" w:eastAsia="Arial" w:hAnsi="Arial"/>
          <w:sz w:val="18"/>
          <w:szCs w:val="18"/>
          <w:color w:val="auto"/>
        </w:rPr>
      </w:pPr>
    </w:p>
    <w:p>
      <w:pPr>
        <w:ind w:left="540" w:right="20" w:firstLine="408"/>
        <w:spacing w:after="0" w:line="254" w:lineRule="auto"/>
        <w:tabs>
          <w:tab w:leader="none" w:pos="1206"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w:t>
      </w:r>
    </w:p>
    <w:p>
      <w:pPr>
        <w:spacing w:after="0" w:line="86" w:lineRule="exact"/>
        <w:rPr>
          <w:rFonts w:ascii="Arial" w:cs="Arial" w:eastAsia="Arial" w:hAnsi="Arial"/>
          <w:sz w:val="18"/>
          <w:szCs w:val="18"/>
          <w:color w:val="auto"/>
        </w:rPr>
      </w:pPr>
    </w:p>
    <w:p>
      <w:pPr>
        <w:ind w:left="540" w:right="440" w:firstLine="408"/>
        <w:spacing w:after="0" w:line="277" w:lineRule="auto"/>
        <w:tabs>
          <w:tab w:leader="none" w:pos="12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to the description thereof contained in each of the Registration Statement, the Time of Sale Prospectus and the Prospectus;</w:t>
      </w:r>
    </w:p>
    <w:p>
      <w:pPr>
        <w:spacing w:after="0" w:line="62" w:lineRule="exact"/>
        <w:rPr>
          <w:rFonts w:ascii="Arial" w:cs="Arial" w:eastAsia="Arial" w:hAnsi="Arial"/>
          <w:sz w:val="18"/>
          <w:szCs w:val="18"/>
          <w:color w:val="auto"/>
        </w:rPr>
      </w:pPr>
    </w:p>
    <w:p>
      <w:pPr>
        <w:ind w:left="540" w:right="240" w:firstLine="408"/>
        <w:spacing w:after="0" w:line="342" w:lineRule="auto"/>
        <w:tabs>
          <w:tab w:leader="none" w:pos="1246"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shares of Common Stock (including the Shares to be sold by the Selling Shareholders) outstanding prior to the issuance of the Shares to be sold by the Company have been duly authorized and are validly issued, fully paid and non-assessable;</w:t>
      </w:r>
    </w:p>
    <w:p>
      <w:pPr>
        <w:spacing w:after="0" w:line="15" w:lineRule="exact"/>
        <w:rPr>
          <w:rFonts w:ascii="Arial" w:cs="Arial" w:eastAsia="Arial" w:hAnsi="Arial"/>
          <w:sz w:val="16"/>
          <w:szCs w:val="16"/>
          <w:color w:val="auto"/>
        </w:rPr>
      </w:pPr>
    </w:p>
    <w:p>
      <w:pPr>
        <w:ind w:left="540" w:right="40" w:firstLine="408"/>
        <w:spacing w:after="0" w:line="301" w:lineRule="auto"/>
        <w:tabs>
          <w:tab w:leader="none" w:pos="1196"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of the Shares to be sold by the Company and the Common Stock to be issued pursuant to the Reorganization Transactions have been duly authorized and, when issued, delivered and paid for in accordance with the terms of this Agreement and, in the case of the Common Stock to be issued pursuant to the Reorganization Transactions, upon the consummation of the Reorganization Transactions, will be validly issued, fully paid and non-assessable, and the issuance of the Shares will not be subject to any preemptive or similar rights;</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0"/>
          </w:cols>
          <w:pgMar w:left="880" w:top="274" w:right="459" w:bottom="1440" w:gutter="0" w:footer="0" w:header="0"/>
        </w:sectPr>
      </w:pPr>
    </w:p>
    <w:bookmarkStart w:id="31" w:name="page32"/>
    <w:bookmarkEnd w:id="31"/>
    <w:p>
      <w:pPr>
        <w:ind w:left="700" w:hanging="31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has been duly authorized, executed and delivered by the Company;</w:t>
      </w:r>
    </w:p>
    <w:p>
      <w:pPr>
        <w:spacing w:after="0" w:line="117" w:lineRule="exact"/>
        <w:rPr>
          <w:rFonts w:ascii="Arial" w:cs="Arial" w:eastAsia="Arial" w:hAnsi="Arial"/>
          <w:sz w:val="18"/>
          <w:szCs w:val="18"/>
          <w:color w:val="auto"/>
        </w:rPr>
      </w:pPr>
    </w:p>
    <w:p>
      <w:pPr>
        <w:ind w:left="-20" w:firstLine="408"/>
        <w:spacing w:after="0" w:line="270" w:lineRule="auto"/>
        <w:tabs>
          <w:tab w:leader="none" w:pos="7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and each of its subsidiaries, as applicable, of its obligations under, this Agreement and each Reorganization Document will not contravene any provision of applicable law or the certificate of incorporation or by-laws of the Company or, to such counsel’s knowledge, any agreement or other instrument binding upon the Company or any of its subsidiaries that is material to the Company and its subsidiaries, taken as a whole, and filed as an exhibit to the Registration Statement, or, to such counsel’s knowledge, any judgment, order or decree of any governmental body, agency or court having jurisdiction over the Company or any subsidiary, and no consent, approval, authorization or order of, or qualification with, any governmental body, agency or court is required for the performance by the Company or any subsidiary of its respective obligations under this Agreement, except such as may be required by the securities or Blue Sky laws of the various states in connection with the offer and sale of the Shares;</w:t>
      </w:r>
    </w:p>
    <w:p>
      <w:pPr>
        <w:spacing w:after="0" w:line="72" w:lineRule="exact"/>
        <w:rPr>
          <w:rFonts w:ascii="Arial" w:cs="Arial" w:eastAsia="Arial" w:hAnsi="Arial"/>
          <w:sz w:val="17"/>
          <w:szCs w:val="17"/>
          <w:color w:val="auto"/>
        </w:rPr>
      </w:pPr>
    </w:p>
    <w:p>
      <w:pPr>
        <w:ind w:left="-20" w:right="20" w:firstLine="408"/>
        <w:spacing w:after="0" w:line="279" w:lineRule="auto"/>
        <w:tabs>
          <w:tab w:leader="none" w:pos="78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statements relating to legal matters, documents or proceedings included in (A) the Time of Sale Prospectus and the Prospectus under the captions “Organizational Structure,” “Related Party Transactions—Indemnification Agreements,” “Description of Capital Stock,” “Shares Eligible for Future Sale,” and “Underwriting” and (B) the Registration Statement in Items 14 and 15, in each case fairly summarize in all material respects such matters, documents or proceedings;</w:t>
      </w:r>
    </w:p>
    <w:p>
      <w:pPr>
        <w:spacing w:after="0" w:line="63" w:lineRule="exact"/>
        <w:rPr>
          <w:rFonts w:ascii="Arial" w:cs="Arial" w:eastAsia="Arial" w:hAnsi="Arial"/>
          <w:sz w:val="17"/>
          <w:szCs w:val="17"/>
          <w:color w:val="auto"/>
        </w:rPr>
      </w:pPr>
    </w:p>
    <w:p>
      <w:pPr>
        <w:ind w:left="-20" w:right="40" w:firstLine="408"/>
        <w:spacing w:after="0" w:line="296" w:lineRule="auto"/>
        <w:tabs>
          <w:tab w:leader="none" w:pos="686" w:val="left"/>
        </w:tabs>
        <w:numPr>
          <w:ilvl w:val="0"/>
          <w:numId w:val="35"/>
        </w:numPr>
        <w:rPr>
          <w:rFonts w:ascii="Arial" w:cs="Arial" w:eastAsia="Arial" w:hAnsi="Arial"/>
          <w:sz w:val="16"/>
          <w:szCs w:val="16"/>
          <w:color w:val="auto"/>
        </w:rPr>
      </w:pPr>
      <w:r>
        <w:rPr>
          <w:rFonts w:ascii="Arial" w:cs="Arial" w:eastAsia="Arial" w:hAnsi="Arial"/>
          <w:sz w:val="16"/>
          <w:szCs w:val="16"/>
          <w:color w:val="auto"/>
        </w:rPr>
        <w:t>after due inquiry, such counsel does not know of any legal or governmental proceedings pending or threatened to which the Company or any of its subsidiaries is a party or to which any of the properties of the Company or any of its subsidiaries is subject that are required to be described in the Registration Statement, the Time of Sale Prospectus or the Prospectus and are not so described or of any statutes, regulations, contracts or other documents that are required to be described in the Registration Statement, the Time of Sale Prospectus or the Prospectus or to be filed as exhibits to the Registration Statement that are not described or filed as required; and</w:t>
      </w:r>
    </w:p>
    <w:p>
      <w:pPr>
        <w:spacing w:after="0" w:line="53" w:lineRule="exact"/>
        <w:rPr>
          <w:rFonts w:ascii="Arial" w:cs="Arial" w:eastAsia="Arial" w:hAnsi="Arial"/>
          <w:sz w:val="16"/>
          <w:szCs w:val="16"/>
          <w:color w:val="auto"/>
        </w:rPr>
      </w:pPr>
    </w:p>
    <w:p>
      <w:pPr>
        <w:jc w:val="both"/>
        <w:ind w:left="-20" w:right="140" w:firstLine="408"/>
        <w:spacing w:after="0" w:line="279" w:lineRule="auto"/>
        <w:tabs>
          <w:tab w:leader="none" w:pos="6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in the opinion of such counsel, the Registration Statement, the Time of Sale Prospectus and the Prospectus (except for the financial statements and financial schedules and other financial and statistical data included therein, as to which such counsel need not express any opinion) appear on their face to be appropriately responsive in all material respects to the requirements of the Securities Act and the applicable rules and regulations of the Commission thereunder, and (B)</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940"/>
          </w:cols>
          <w:pgMar w:left="1440" w:top="274" w:right="519" w:bottom="1440" w:gutter="0" w:footer="0" w:header="0"/>
        </w:sectPr>
      </w:pPr>
    </w:p>
    <w:bookmarkStart w:id="32" w:name="page33"/>
    <w:bookmarkEnd w:id="32"/>
    <w:p>
      <w:pPr>
        <w:ind w:left="54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has come to the attention of such counsel that causes such counsel to believe that (1) the Registration Statement or the prospectus included therein (except for the financial statements and financial schedules and other financial and statistical data included therein, as to which such counsel need not express any belief) at the time the Registration Statement became effective contained any untrue statement of a material fact or omitted to state a material fact required to be stated therein or necessary to make the statements therein not misleading,</w:t>
      </w:r>
    </w:p>
    <w:p>
      <w:pPr>
        <w:spacing w:after="0" w:line="1" w:lineRule="exact"/>
        <w:rPr>
          <w:sz w:val="20"/>
          <w:szCs w:val="20"/>
          <w:color w:val="auto"/>
        </w:rPr>
      </w:pPr>
    </w:p>
    <w:p>
      <w:pPr>
        <w:ind w:left="540" w:firstLine="7"/>
        <w:spacing w:after="0" w:line="287" w:lineRule="auto"/>
        <w:tabs>
          <w:tab w:leader="none" w:pos="7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Time of Sale Prospectus (except for the financial statements and financial schedules and other financial and statistical data included therein, as to which such counsel need not express any belief) as of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 or (3) the Prospectus (except for the financial statements and financial schedules and other financial and statistical data included therein, as to which such counsel need not express any belief) as of its date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61" w:lineRule="exact"/>
        <w:rPr>
          <w:rFonts w:ascii="Arial" w:cs="Arial" w:eastAsia="Arial" w:hAnsi="Arial"/>
          <w:sz w:val="16"/>
          <w:szCs w:val="16"/>
          <w:color w:val="auto"/>
        </w:rPr>
      </w:pPr>
    </w:p>
    <w:p>
      <w:pPr>
        <w:jc w:val="both"/>
        <w:ind w:right="40" w:firstLine="419"/>
        <w:spacing w:after="0" w:line="263" w:lineRule="auto"/>
        <w:tabs>
          <w:tab w:leader="none" w:pos="6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from Olshan Frome Wolosky LLP, Gibson, Dunn &amp; Crutcher LLP, Kramer Levin Naftalis &amp; Frankel LLP and Walkers (Cayman) LLP counsel for the Selling Shareholders (as specified on Schedule I hereto), dated the Closing Date, to the effect that:</w:t>
      </w:r>
    </w:p>
    <w:p>
      <w:pPr>
        <w:spacing w:after="0" w:line="75" w:lineRule="exact"/>
        <w:rPr>
          <w:rFonts w:ascii="Arial" w:cs="Arial" w:eastAsia="Arial" w:hAnsi="Arial"/>
          <w:sz w:val="18"/>
          <w:szCs w:val="18"/>
          <w:color w:val="auto"/>
        </w:rPr>
      </w:pPr>
    </w:p>
    <w:p>
      <w:pPr>
        <w:ind w:left="1160" w:hanging="212"/>
        <w:spacing w:after="0"/>
        <w:tabs>
          <w:tab w:leader="none" w:pos="11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or on behalf of each of the Selling Shareholders;</w:t>
      </w:r>
    </w:p>
    <w:p>
      <w:pPr>
        <w:spacing w:after="0" w:line="117" w:lineRule="exact"/>
        <w:rPr>
          <w:rFonts w:ascii="Arial" w:cs="Arial" w:eastAsia="Arial" w:hAnsi="Arial"/>
          <w:sz w:val="18"/>
          <w:szCs w:val="18"/>
          <w:color w:val="auto"/>
        </w:rPr>
      </w:pPr>
    </w:p>
    <w:p>
      <w:pPr>
        <w:ind w:left="540" w:right="40" w:firstLine="408"/>
        <w:spacing w:after="0" w:line="270" w:lineRule="auto"/>
        <w:tabs>
          <w:tab w:leader="none" w:pos="1206" w:val="left"/>
        </w:tabs>
        <w:numPr>
          <w:ilvl w:val="2"/>
          <w:numId w:val="37"/>
        </w:numPr>
        <w:rPr>
          <w:rFonts w:ascii="Arial" w:cs="Arial" w:eastAsia="Arial" w:hAnsi="Arial"/>
          <w:sz w:val="17"/>
          <w:szCs w:val="17"/>
          <w:color w:val="auto"/>
        </w:rPr>
      </w:pPr>
      <w:r>
        <w:rPr>
          <w:rFonts w:ascii="Arial" w:cs="Arial" w:eastAsia="Arial" w:hAnsi="Arial"/>
          <w:sz w:val="17"/>
          <w:szCs w:val="17"/>
          <w:color w:val="auto"/>
        </w:rPr>
        <w:t>the execution and delivery by each Selling Shareholder of, and the performance by such Selling Shareholder of its obligations under, this Agreement, the Custody Agreement and Power of Attorney of such Selling Shareholder will not contravene any provision of applicable law, or the certificate of incorporation or by-laws of such Selling Shareholder (if such Selling Shareholder is a corporation), or, to the best of such counsel’s knowledge, any agreement or other instrument binding upon such Selling Shareholder or, to the best of such counsel’s knowledge, any judgment, order or decree of any governmental body, agency or court having jurisdiction over such Selling Shareholder, and no consent, approval, authorization or order of, or qualification with, any governmental body, agency or court is required for the performance by such Selling Shareholder of its obligations under this Agreement, the Custody Agreement or Power of Attorney of such Selling Shareholder, except such as may be required by the securities or Blue Sky laws of the various states in connection with offer and sale of the Shares;</w:t>
      </w:r>
    </w:p>
    <w:p>
      <w:pPr>
        <w:spacing w:after="0" w:line="1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40"/>
          </w:cols>
          <w:pgMar w:left="880" w:top="274" w:right="479" w:bottom="1440" w:gutter="0" w:footer="0" w:header="0"/>
        </w:sectPr>
      </w:pPr>
    </w:p>
    <w:bookmarkStart w:id="33" w:name="page34"/>
    <w:bookmarkEnd w:id="33"/>
    <w:p>
      <w:pPr>
        <w:ind w:left="540" w:right="180" w:firstLine="408"/>
        <w:spacing w:after="0" w:line="257" w:lineRule="auto"/>
        <w:tabs>
          <w:tab w:leader="none" w:pos="1256" w:val="left"/>
        </w:tabs>
        <w:numPr>
          <w:ilvl w:val="1"/>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Selling Shareholders has valid title to, or a valid security entitlement in respect of, the Shares to be sold by such Selling Shareholder free and clear of all security interests, claims, liens, equities and other encumbrances, and each of the Selling Shareholders has the legal right and power, and all authorization and approval required by law, to enter into this Agreement, the Custody Agreement and Power of Attorney of such Selling Shareholder and to sell, transfer and deliver the Shares to be sold by such Selling Shareholder or a security entitlement in respect of such Shares;</w:t>
      </w:r>
    </w:p>
    <w:p>
      <w:pPr>
        <w:spacing w:after="0" w:line="79" w:lineRule="exact"/>
        <w:rPr>
          <w:rFonts w:ascii="Arial" w:cs="Arial" w:eastAsia="Arial" w:hAnsi="Arial"/>
          <w:sz w:val="18"/>
          <w:szCs w:val="18"/>
          <w:color w:val="auto"/>
        </w:rPr>
      </w:pPr>
    </w:p>
    <w:p>
      <w:pPr>
        <w:ind w:left="540" w:right="640" w:firstLine="408"/>
        <w:spacing w:after="0" w:line="308" w:lineRule="auto"/>
        <w:tabs>
          <w:tab w:leader="none" w:pos="1246"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Custody Agreement and the Power of Attorney of each Selling Shareholder have been duly authorized, executed and delivered by such Selling Shareholder and are valid and binding agreements of such Selling Shareholder; and</w:t>
      </w:r>
    </w:p>
    <w:p>
      <w:pPr>
        <w:spacing w:after="0" w:line="38" w:lineRule="exact"/>
        <w:rPr>
          <w:rFonts w:ascii="Arial" w:cs="Arial" w:eastAsia="Arial" w:hAnsi="Arial"/>
          <w:sz w:val="17"/>
          <w:szCs w:val="17"/>
          <w:color w:val="auto"/>
        </w:rPr>
      </w:pPr>
    </w:p>
    <w:p>
      <w:pPr>
        <w:ind w:left="540" w:right="260" w:firstLine="408"/>
        <w:spacing w:after="0" w:line="285" w:lineRule="auto"/>
        <w:tabs>
          <w:tab w:leader="none" w:pos="1196" w:val="left"/>
        </w:tabs>
        <w:numPr>
          <w:ilvl w:val="1"/>
          <w:numId w:val="38"/>
        </w:numPr>
        <w:rPr>
          <w:rFonts w:ascii="Arial" w:cs="Arial" w:eastAsia="Arial" w:hAnsi="Arial"/>
          <w:sz w:val="16"/>
          <w:szCs w:val="16"/>
          <w:color w:val="auto"/>
        </w:rPr>
      </w:pPr>
      <w:r>
        <w:rPr>
          <w:rFonts w:ascii="Arial" w:cs="Arial" w:eastAsia="Arial" w:hAnsi="Arial"/>
          <w:sz w:val="16"/>
          <w:szCs w:val="16"/>
          <w:color w:val="auto"/>
        </w:rPr>
        <w:t>upon payment for the Shares to be sold by the Selling Shareholders pursuant to this Agreement, delivery of such Shares, as directed by the Underwriters, to Cede or such other nominee as may be designated by DTC,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UCC to such Shares), (A) DTC shall be a “protected purchaser” of such Shares within the meaning of Section 8-303 of the UCC, (B) under</w:t>
      </w:r>
    </w:p>
    <w:p>
      <w:pPr>
        <w:spacing w:after="0" w:line="1" w:lineRule="exact"/>
        <w:rPr>
          <w:rFonts w:ascii="Arial" w:cs="Arial" w:eastAsia="Arial" w:hAnsi="Arial"/>
          <w:sz w:val="16"/>
          <w:szCs w:val="16"/>
          <w:color w:val="auto"/>
        </w:rPr>
      </w:pPr>
    </w:p>
    <w:p>
      <w:pPr>
        <w:ind w:left="540" w:right="120"/>
        <w:spacing w:after="0" w:line="288" w:lineRule="auto"/>
        <w:rPr>
          <w:rFonts w:ascii="Arial" w:cs="Arial" w:eastAsia="Arial" w:hAnsi="Arial"/>
          <w:sz w:val="16"/>
          <w:szCs w:val="16"/>
          <w:color w:val="auto"/>
        </w:rPr>
      </w:pPr>
      <w:r>
        <w:rPr>
          <w:rFonts w:ascii="Arial" w:cs="Arial" w:eastAsia="Arial" w:hAnsi="Arial"/>
          <w:sz w:val="16"/>
          <w:szCs w:val="16"/>
          <w:color w:val="auto"/>
        </w:rPr>
        <w:t>Section 8-501 of the UCC, the Underwriters will acquire a valid security entitlement in respect of such Shares and (C) no action based on any “adverse claim” (within the meaning of Section 8-102 of the UCC) to such Shares may be asserted against the Underwriters with respect to such security entitlement; in giving this opinion, counsel for the Selling Shareholders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60" w:lineRule="exact"/>
        <w:rPr>
          <w:rFonts w:ascii="Arial" w:cs="Arial" w:eastAsia="Arial" w:hAnsi="Arial"/>
          <w:sz w:val="16"/>
          <w:szCs w:val="16"/>
          <w:color w:val="auto"/>
        </w:rPr>
      </w:pPr>
    </w:p>
    <w:p>
      <w:pPr>
        <w:ind w:firstLine="419"/>
        <w:spacing w:after="0" w:line="286" w:lineRule="auto"/>
        <w:tabs>
          <w:tab w:leader="none" w:pos="66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and negative assurance letter of Davis Polk &amp; Wardwell LLP, counsel for the Underwriters, dated the Closing Date, covering such matters as the Representatives may reasonably request, and such counsel shall have received such documents and information as they may reasonably request to enable them to pass upon such matters.</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60"/>
          </w:cols>
          <w:pgMar w:left="880" w:top="274" w:right="459" w:bottom="1440" w:gutter="0" w:footer="0" w:header="0"/>
        </w:sectPr>
      </w:pPr>
    </w:p>
    <w:bookmarkStart w:id="34" w:name="page35"/>
    <w:bookmarkEnd w:id="34"/>
    <w:p>
      <w:pPr>
        <w:ind w:left="440" w:right="60" w:firstLine="419"/>
        <w:spacing w:after="0" w:line="293" w:lineRule="auto"/>
        <w:tabs>
          <w:tab w:leader="none" w:pos="1088"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the Closing Date (i) an opinion of Vedder Price LLP, outside regulatory counsel for the Company, dating the Closing Date, covering such matters as the Representatives may reasonably request, and such counsel shall have received such documents and information as they may reasonably request to enable them to pass upon such matters and (ii) an opinion of Gibson, Dunn &amp; Crutcher LLP, outside tax counsel for the Company, dating the Closing Date, to the effect that: the statements relating to legal matters, documents or proceedings included in the Time of Sale Prospectus and the Prospectus under the caption “Material U.S. Federal Income Tax Considerations for Non-U.S. Holders of Class A Common Stock” fairly summarizes in all material respects such matters, documents or proceedings.</w:t>
      </w:r>
    </w:p>
    <w:p>
      <w:pPr>
        <w:spacing w:after="0" w:line="16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With respect to the above, Olshan Frome Wolosky LLP and Davis Polk &amp; Wardwell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With respect to Section 6(d) above, Olshan Frome Wolosky LLP, Gibson, Dunn &amp; Crutcher LLP, Kramer Levin Naftalis &amp; Frankel LLP and Walkers (Cayman) LLP, as Selling Shareholders’ counsel (as specified on Schedule I hereto), may rely upon an opinion or opinions of counsel for any Selling Shareholders and, with respect to factual matters and to the extent such counsel deems appropriate, upon the representations of each Selling Shareholder contained herein and in the Custody Agreement and Power of Attorney of such Selling Shareholder and in other documents and instruments;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each such counsel for the Selling Shareholders is satisfactory to the Representatives’ counsel, (B) a copy of each opinion so relied upon is delivered to the Representatives and is in form and substance satisfactory to the Representatives’ counsel, (C) copies of such Custody Agreements and Powers of Attorney and of any such other documents and instruments shall be delivered to the Representatives and shall be in form and substance satisfactory to the Representatives’ counsel and (D) Selling Shareholders’ counsel shall state in their opinion that they are justified in relying on each such other opinion.</w:t>
      </w:r>
    </w:p>
    <w:p>
      <w:pPr>
        <w:spacing w:after="0" w:line="71" w:lineRule="exact"/>
        <w:rPr>
          <w:sz w:val="20"/>
          <w:szCs w:val="20"/>
          <w:color w:val="auto"/>
        </w:rPr>
      </w:pPr>
    </w:p>
    <w:p>
      <w:pPr>
        <w:ind w:left="440" w:firstLine="419"/>
        <w:spacing w:after="0" w:line="255" w:lineRule="auto"/>
        <w:tabs>
          <w:tab w:leader="none" w:pos="11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Underwriters shall have received, on each of the date hereof and the Closing Date, letters dated the date hereof or the Closing Date, as the case may be, in form and substance reasonably satisfactory to the Underwriters, from KPMG LLP, independent public accountants, and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letters delivered on the Closing Date shall use a “cut-off date” not earlier than the date hereof.</w:t>
      </w:r>
    </w:p>
    <w:p>
      <w:pPr>
        <w:spacing w:after="0" w:line="84" w:lineRule="exact"/>
        <w:rPr>
          <w:rFonts w:ascii="Arial" w:cs="Arial" w:eastAsia="Arial" w:hAnsi="Arial"/>
          <w:sz w:val="18"/>
          <w:szCs w:val="18"/>
          <w:color w:val="auto"/>
        </w:rPr>
      </w:pPr>
    </w:p>
    <w:p>
      <w:pPr>
        <w:ind w:left="440" w:right="20" w:firstLine="419"/>
        <w:spacing w:after="0" w:line="259" w:lineRule="auto"/>
        <w:tabs>
          <w:tab w:leader="none" w:pos="11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A hereto, between the Representatives and certain shareholders, officers and directors of the Company and P10 Holdings relating to restrictions on sales and certain other dispositions of shares of Common Stock or certain other securities, delivered to the Representatives on or before the date hereof (the “</w:t>
      </w:r>
      <w:r>
        <w:rPr>
          <w:rFonts w:ascii="Arial" w:cs="Arial" w:eastAsia="Arial" w:hAnsi="Arial"/>
          <w:sz w:val="18"/>
          <w:szCs w:val="18"/>
          <w:b w:val="1"/>
          <w:bCs w:val="1"/>
          <w:color w:val="auto"/>
        </w:rPr>
        <w:t>Lock-up Agreements</w:t>
      </w:r>
      <w:r>
        <w:rPr>
          <w:rFonts w:ascii="Arial" w:cs="Arial" w:eastAsia="Arial" w:hAnsi="Arial"/>
          <w:sz w:val="18"/>
          <w:szCs w:val="18"/>
          <w:color w:val="auto"/>
        </w:rPr>
        <w:t>”), shall be in full force and effect on the Closing Date.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35" w:name="page36"/>
    <w:bookmarkEnd w:id="35"/>
    <w:p>
      <w:pPr>
        <w:ind w:right="100" w:firstLine="419"/>
        <w:spacing w:after="0" w:line="259" w:lineRule="auto"/>
        <w:tabs>
          <w:tab w:leader="none" w:pos="638"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each of the date hereof and the Closing Date, a certificate dated the date hereof or the Closing Date, as the case may be, in form and substance reasonably satisfactory to the Underwriters, from the chief financial officer of the Company with respect to certain financial data contained in the Time of Sale Prospectus and the Prospectus, providing “management comfort” with respect to such information.</w:t>
      </w:r>
    </w:p>
    <w:p>
      <w:pPr>
        <w:spacing w:after="0" w:line="78" w:lineRule="exact"/>
        <w:rPr>
          <w:rFonts w:ascii="Arial" w:cs="Arial" w:eastAsia="Arial" w:hAnsi="Arial"/>
          <w:sz w:val="18"/>
          <w:szCs w:val="18"/>
          <w:color w:val="auto"/>
        </w:rPr>
      </w:pPr>
    </w:p>
    <w:p>
      <w:pPr>
        <w:ind w:left="640" w:hanging="221"/>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Reorganization Transactions shall be complete by the Closing Date in the manner described within the Time of Sale Prospectus.</w:t>
      </w:r>
    </w:p>
    <w:p>
      <w:pPr>
        <w:spacing w:after="0" w:line="140" w:lineRule="exact"/>
        <w:rPr>
          <w:rFonts w:ascii="Arial" w:cs="Arial" w:eastAsia="Arial" w:hAnsi="Arial"/>
          <w:sz w:val="16"/>
          <w:szCs w:val="16"/>
          <w:color w:val="auto"/>
        </w:rPr>
      </w:pPr>
    </w:p>
    <w:p>
      <w:pPr>
        <w:ind w:right="20" w:firstLine="419"/>
        <w:spacing w:after="0" w:line="277" w:lineRule="auto"/>
        <w:tabs>
          <w:tab w:leader="none" w:pos="6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several obligations of the Underwriters to purchase Additional Shares hereunder are subject to the delivery to the Representatives on the applicable Option Closing Date of the following:</w:t>
      </w:r>
    </w:p>
    <w:p>
      <w:pPr>
        <w:spacing w:after="0" w:line="62" w:lineRule="exact"/>
        <w:rPr>
          <w:rFonts w:ascii="Arial" w:cs="Arial" w:eastAsia="Arial" w:hAnsi="Arial"/>
          <w:sz w:val="18"/>
          <w:szCs w:val="18"/>
          <w:color w:val="auto"/>
        </w:rPr>
      </w:pPr>
    </w:p>
    <w:p>
      <w:pPr>
        <w:ind w:left="540" w:right="340" w:firstLine="408"/>
        <w:spacing w:after="0" w:line="342" w:lineRule="auto"/>
        <w:tabs>
          <w:tab w:leader="none" w:pos="1156" w:val="left"/>
        </w:tabs>
        <w:numPr>
          <w:ilvl w:val="1"/>
          <w:numId w:val="42"/>
        </w:numPr>
        <w:rPr>
          <w:rFonts w:ascii="Arial" w:cs="Arial" w:eastAsia="Arial" w:hAnsi="Arial"/>
          <w:sz w:val="16"/>
          <w:szCs w:val="16"/>
          <w:color w:val="auto"/>
        </w:rPr>
      </w:pPr>
      <w:r>
        <w:rPr>
          <w:rFonts w:ascii="Arial" w:cs="Arial" w:eastAsia="Arial" w:hAnsi="Arial"/>
          <w:sz w:val="16"/>
          <w:szCs w:val="16"/>
          <w:color w:val="auto"/>
        </w:rPr>
        <w:t>a certificate, dated the Option Closing Date and signed by an executive officer of the Company, confirming that the certificate delivered on the Closing Date pursuant to Section 6(b) hereof remains true and correct as of such Option Closing Date;</w:t>
      </w:r>
    </w:p>
    <w:p>
      <w:pPr>
        <w:spacing w:after="0" w:line="15" w:lineRule="exact"/>
        <w:rPr>
          <w:rFonts w:ascii="Arial" w:cs="Arial" w:eastAsia="Arial" w:hAnsi="Arial"/>
          <w:sz w:val="16"/>
          <w:szCs w:val="16"/>
          <w:color w:val="auto"/>
        </w:rPr>
      </w:pPr>
    </w:p>
    <w:p>
      <w:pPr>
        <w:ind w:left="540" w:firstLine="408"/>
        <w:spacing w:after="0" w:line="263" w:lineRule="auto"/>
        <w:tabs>
          <w:tab w:leader="none" w:pos="120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opinion and negative assurance letter of Olshan Frome Wolosky LLP, outside counsel for the Company and the Selling Shareholders, dated the Option Closing Date, relating to the Additional Shares to be purchased on such Option Closing Date and otherwise to the same effect as the opinion required by Sections 6(c) and 6(d) hereof;</w:t>
      </w:r>
    </w:p>
    <w:p>
      <w:pPr>
        <w:spacing w:after="0" w:line="75" w:lineRule="exact"/>
        <w:rPr>
          <w:rFonts w:ascii="Arial" w:cs="Arial" w:eastAsia="Arial" w:hAnsi="Arial"/>
          <w:sz w:val="18"/>
          <w:szCs w:val="18"/>
          <w:color w:val="auto"/>
        </w:rPr>
      </w:pPr>
    </w:p>
    <w:p>
      <w:pPr>
        <w:ind w:left="540" w:right="60" w:firstLine="408"/>
        <w:spacing w:after="0" w:line="263" w:lineRule="auto"/>
        <w:tabs>
          <w:tab w:leader="none" w:pos="12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opinion and negative assurance letter of Davis Polk &amp; Wardwell LLP, counsel for the Underwriters, dated the Option Closing Date, relating to the Additional Shares to be purchased on such Option Closing Date and otherwise to the same effect as the opinion required by Section 6(e) hereof;</w:t>
      </w:r>
    </w:p>
    <w:p>
      <w:pPr>
        <w:spacing w:after="0" w:line="75" w:lineRule="exact"/>
        <w:rPr>
          <w:rFonts w:ascii="Arial" w:cs="Arial" w:eastAsia="Arial" w:hAnsi="Arial"/>
          <w:sz w:val="18"/>
          <w:szCs w:val="18"/>
          <w:color w:val="auto"/>
        </w:rPr>
      </w:pPr>
    </w:p>
    <w:p>
      <w:pPr>
        <w:ind w:left="540" w:right="180" w:firstLine="408"/>
        <w:spacing w:after="0" w:line="342" w:lineRule="auto"/>
        <w:tabs>
          <w:tab w:leader="none" w:pos="1246"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 opinion of Vedder Price LLP, regulatory counsel for the Company, dated the Option Closing Date, relating to the Additional Shares to be purchased on such Option Closing Date and otherwise to the same effect as the opinion required by Section 6(f) hereof;</w:t>
      </w:r>
    </w:p>
    <w:p>
      <w:pPr>
        <w:spacing w:after="0" w:line="15" w:lineRule="exact"/>
        <w:rPr>
          <w:rFonts w:ascii="Arial" w:cs="Arial" w:eastAsia="Arial" w:hAnsi="Arial"/>
          <w:sz w:val="16"/>
          <w:szCs w:val="16"/>
          <w:color w:val="auto"/>
        </w:rPr>
      </w:pPr>
    </w:p>
    <w:p>
      <w:pPr>
        <w:ind w:left="540" w:right="60" w:firstLine="408"/>
        <w:spacing w:after="0" w:line="279" w:lineRule="auto"/>
        <w:tabs>
          <w:tab w:leader="none" w:pos="1196" w:val="left"/>
        </w:tabs>
        <w:numPr>
          <w:ilvl w:val="1"/>
          <w:numId w:val="42"/>
        </w:numPr>
        <w:rPr>
          <w:rFonts w:ascii="Arial" w:cs="Arial" w:eastAsia="Arial" w:hAnsi="Arial"/>
          <w:sz w:val="17"/>
          <w:szCs w:val="17"/>
          <w:color w:val="auto"/>
        </w:rPr>
      </w:pPr>
      <w:r>
        <w:rPr>
          <w:rFonts w:ascii="Arial" w:cs="Arial" w:eastAsia="Arial" w:hAnsi="Arial"/>
          <w:sz w:val="17"/>
          <w:szCs w:val="17"/>
          <w:color w:val="auto"/>
        </w:rPr>
        <w:t xml:space="preserve">a letter dated the Option Closing Date, in form and substance reasonably satisfactory to the Underwriters, from KPMG LLP, independent public accountants, and Ernst &amp; Young LLP, independent public accountants, substantially in the same form and substance as the letters furnished to the Underwriters pursuant to Section 6(g)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letters delivered on the Option Closing Date shall use a “cut-off date” not earlier than two business days prior to such Option Closing Date;</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0"/>
          </w:cols>
          <w:pgMar w:left="880" w:top="274" w:right="459" w:bottom="1440" w:gutter="0" w:footer="0" w:header="0"/>
        </w:sectPr>
      </w:pPr>
    </w:p>
    <w:bookmarkStart w:id="36" w:name="page37"/>
    <w:bookmarkEnd w:id="36"/>
    <w:p>
      <w:pPr>
        <w:ind w:left="544" w:right="260" w:firstLine="408"/>
        <w:spacing w:after="0" w:line="263" w:lineRule="auto"/>
        <w:tabs>
          <w:tab w:leader="none" w:pos="1249" w:val="left"/>
        </w:tabs>
        <w:numPr>
          <w:ilvl w:val="2"/>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certificate dated the Option Closing Date, in form and substance reasonably satisfactory to the Underwriters, from the chief financial officer of the Company, substantially in the same form and substance as the letter furnished to the Underwriters pursuant to Section 6(i) hereof; and</w:t>
      </w:r>
    </w:p>
    <w:p>
      <w:pPr>
        <w:spacing w:after="0" w:line="75" w:lineRule="exact"/>
        <w:rPr>
          <w:rFonts w:ascii="Arial" w:cs="Arial" w:eastAsia="Arial" w:hAnsi="Arial"/>
          <w:sz w:val="18"/>
          <w:szCs w:val="18"/>
          <w:color w:val="auto"/>
        </w:rPr>
      </w:pPr>
    </w:p>
    <w:p>
      <w:pPr>
        <w:jc w:val="both"/>
        <w:ind w:left="544" w:firstLine="408"/>
        <w:spacing w:after="0" w:line="263" w:lineRule="auto"/>
        <w:tabs>
          <w:tab w:leader="none" w:pos="1299" w:val="left"/>
        </w:tabs>
        <w:numPr>
          <w:ilvl w:val="2"/>
          <w:numId w:val="43"/>
        </w:numPr>
        <w:rPr>
          <w:rFonts w:ascii="Arial" w:cs="Arial" w:eastAsia="Arial" w:hAnsi="Arial"/>
          <w:sz w:val="18"/>
          <w:szCs w:val="18"/>
          <w:color w:val="auto"/>
        </w:rPr>
      </w:pPr>
      <w:r>
        <w:rPr>
          <w:rFonts w:ascii="Arial" w:cs="Arial" w:eastAsia="Arial" w:hAnsi="Arial"/>
          <w:sz w:val="18"/>
          <w:szCs w:val="18"/>
          <w:color w:val="auto"/>
        </w:rPr>
        <w:t>such other documents as the Representatives may reasonably request with respect to the good standing of the Company and P10 Holdings, the due authorization and issuance of the Additional Shares to be sold on such Option Closing Date and other matters related to the issuance of such Additional Shares.</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rFonts w:ascii="Arial" w:cs="Arial" w:eastAsia="Arial" w:hAnsi="Arial"/>
          <w:sz w:val="18"/>
          <w:szCs w:val="18"/>
          <w:color w:val="auto"/>
        </w:rPr>
      </w:pPr>
    </w:p>
    <w:p>
      <w:pPr>
        <w:ind w:left="4" w:right="20" w:firstLine="419"/>
        <w:spacing w:after="0" w:line="296" w:lineRule="auto"/>
        <w:tabs>
          <w:tab w:leader="none" w:pos="671" w:val="left"/>
        </w:tabs>
        <w:numPr>
          <w:ilvl w:val="1"/>
          <w:numId w:val="44"/>
        </w:numPr>
        <w:rPr>
          <w:rFonts w:ascii="Arial" w:cs="Arial" w:eastAsia="Arial" w:hAnsi="Arial"/>
          <w:sz w:val="16"/>
          <w:szCs w:val="16"/>
          <w:color w:val="auto"/>
        </w:rPr>
      </w:pPr>
      <w:r>
        <w:rPr>
          <w:rFonts w:ascii="Arial" w:cs="Arial" w:eastAsia="Arial" w:hAnsi="Arial"/>
          <w:sz w:val="16"/>
          <w:szCs w:val="16"/>
          <w:color w:val="auto"/>
        </w:rPr>
        <w:t>To furnish, if requested, to the Representatives, without charge, two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7(e) or 7(f) below, as many copies of the Time of Sale Prospectus, the Prospectus and any supplements and amendments thereto or to the Registration Statement as the Representatives may reasonably request.</w:t>
      </w:r>
    </w:p>
    <w:p>
      <w:pPr>
        <w:spacing w:after="0" w:line="53" w:lineRule="exact"/>
        <w:rPr>
          <w:rFonts w:ascii="Arial" w:cs="Arial" w:eastAsia="Arial" w:hAnsi="Arial"/>
          <w:sz w:val="16"/>
          <w:szCs w:val="16"/>
          <w:color w:val="auto"/>
        </w:rPr>
      </w:pPr>
    </w:p>
    <w:p>
      <w:pPr>
        <w:ind w:left="4" w:right="80" w:firstLine="419"/>
        <w:spacing w:after="0" w:line="259" w:lineRule="auto"/>
        <w:tabs>
          <w:tab w:leader="none" w:pos="681" w:val="left"/>
        </w:tabs>
        <w:numPr>
          <w:ilvl w:val="1"/>
          <w:numId w:val="44"/>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8" w:lineRule="exact"/>
        <w:rPr>
          <w:rFonts w:ascii="Arial" w:cs="Arial" w:eastAsia="Arial" w:hAnsi="Arial"/>
          <w:sz w:val="18"/>
          <w:szCs w:val="18"/>
          <w:color w:val="auto"/>
        </w:rPr>
      </w:pPr>
    </w:p>
    <w:p>
      <w:pPr>
        <w:ind w:left="4" w:right="80" w:firstLine="419"/>
        <w:spacing w:after="0" w:line="342" w:lineRule="auto"/>
        <w:tabs>
          <w:tab w:leader="none" w:pos="671" w:val="left"/>
        </w:tabs>
        <w:numPr>
          <w:ilvl w:val="1"/>
          <w:numId w:val="44"/>
        </w:numPr>
        <w:rPr>
          <w:rFonts w:ascii="Arial" w:cs="Arial" w:eastAsia="Arial" w:hAnsi="Arial"/>
          <w:sz w:val="16"/>
          <w:szCs w:val="16"/>
          <w:color w:val="auto"/>
        </w:rPr>
      </w:pPr>
      <w:r>
        <w:rPr>
          <w:rFonts w:ascii="Arial" w:cs="Arial" w:eastAsia="Arial" w:hAnsi="Arial"/>
          <w:sz w:val="16"/>
          <w:szCs w:val="16"/>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5" w:lineRule="exact"/>
        <w:rPr>
          <w:rFonts w:ascii="Arial" w:cs="Arial" w:eastAsia="Arial" w:hAnsi="Arial"/>
          <w:sz w:val="16"/>
          <w:szCs w:val="16"/>
          <w:color w:val="auto"/>
        </w:rPr>
      </w:pPr>
    </w:p>
    <w:p>
      <w:pPr>
        <w:ind w:left="4" w:right="100" w:firstLine="419"/>
        <w:spacing w:after="0" w:line="263" w:lineRule="auto"/>
        <w:tabs>
          <w:tab w:leader="none" w:pos="681"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16"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24"/>
          </w:cols>
          <w:pgMar w:left="876" w:top="274" w:right="499" w:bottom="1440" w:gutter="0" w:footer="0" w:header="0"/>
        </w:sectPr>
      </w:pPr>
    </w:p>
    <w:bookmarkStart w:id="37" w:name="page38"/>
    <w:bookmarkEnd w:id="37"/>
    <w:p>
      <w:pPr>
        <w:ind w:right="100" w:firstLine="419"/>
        <w:spacing w:after="0" w:line="269" w:lineRule="auto"/>
        <w:tabs>
          <w:tab w:leader="none" w:pos="668" w:val="left"/>
        </w:tabs>
        <w:numPr>
          <w:ilvl w:val="0"/>
          <w:numId w:val="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77" w:lineRule="exact"/>
        <w:rPr>
          <w:rFonts w:ascii="Arial" w:cs="Arial" w:eastAsia="Arial" w:hAnsi="Arial"/>
          <w:sz w:val="17"/>
          <w:szCs w:val="17"/>
          <w:color w:val="auto"/>
        </w:rPr>
      </w:pPr>
    </w:p>
    <w:p>
      <w:pPr>
        <w:ind w:left="640" w:hanging="2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Shares as in the opinion of counsel for the Underwriters the</w:t>
      </w:r>
    </w:p>
    <w:p>
      <w:pPr>
        <w:spacing w:after="0" w:line="34" w:lineRule="exact"/>
        <w:rPr>
          <w:rFonts w:ascii="Arial" w:cs="Arial" w:eastAsia="Arial" w:hAnsi="Arial"/>
          <w:sz w:val="17"/>
          <w:szCs w:val="17"/>
          <w:color w:val="auto"/>
        </w:rPr>
      </w:pPr>
    </w:p>
    <w:p>
      <w:pPr>
        <w:ind w:right="20"/>
        <w:spacing w:after="0" w:line="286" w:lineRule="auto"/>
        <w:rPr>
          <w:rFonts w:ascii="Arial" w:cs="Arial" w:eastAsia="Arial" w:hAnsi="Arial"/>
          <w:sz w:val="17"/>
          <w:szCs w:val="17"/>
          <w:color w:val="auto"/>
        </w:rPr>
      </w:pPr>
      <w:r>
        <w:rPr>
          <w:rFonts w:ascii="Arial" w:cs="Arial" w:eastAsia="Arial" w:hAnsi="Arial"/>
          <w:sz w:val="16"/>
          <w:szCs w:val="16"/>
          <w:color w:val="auto"/>
        </w:rPr>
        <w:t>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61" w:lineRule="exact"/>
        <w:rPr>
          <w:rFonts w:ascii="Arial" w:cs="Arial" w:eastAsia="Arial" w:hAnsi="Arial"/>
          <w:sz w:val="17"/>
          <w:szCs w:val="17"/>
          <w:color w:val="auto"/>
        </w:rPr>
      </w:pPr>
    </w:p>
    <w:p>
      <w:pPr>
        <w:ind w:right="100" w:firstLine="419"/>
        <w:spacing w:after="0" w:line="259" w:lineRule="auto"/>
        <w:tabs>
          <w:tab w:leader="none" w:pos="6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endeavor to qualify the Shares for offer and sale under the securities or Blue Sky laws of such jurisdictions as the Representatives shall reasonably request; provided, however, that nothing contained herein shall require the Company to qualify to do business in any jurisdiction to execute a general consent to service of process any jurisdiction, or to subject, itself to taxation in any jurisdiction in which it is not otherwise subject.</w:t>
      </w:r>
    </w:p>
    <w:p>
      <w:pPr>
        <w:spacing w:after="0" w:line="78" w:lineRule="exact"/>
        <w:rPr>
          <w:rFonts w:ascii="Arial" w:cs="Arial" w:eastAsia="Arial" w:hAnsi="Arial"/>
          <w:sz w:val="18"/>
          <w:szCs w:val="18"/>
          <w:color w:val="auto"/>
        </w:rPr>
      </w:pPr>
    </w:p>
    <w:p>
      <w:pPr>
        <w:ind w:firstLine="419"/>
        <w:spacing w:after="0" w:line="301" w:lineRule="auto"/>
        <w:tabs>
          <w:tab w:leader="none" w:pos="6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make generally available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which requirements may be satisfied by failing on the Commission’s Electronic Data Gather,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60"/>
          </w:cols>
          <w:pgMar w:left="880" w:top="274" w:right="459" w:bottom="1440" w:gutter="0" w:footer="0" w:header="0"/>
        </w:sectPr>
      </w:pPr>
    </w:p>
    <w:bookmarkStart w:id="38" w:name="page39"/>
    <w:bookmarkEnd w:id="38"/>
    <w:p>
      <w:pPr>
        <w:ind w:firstLine="419"/>
        <w:spacing w:after="0" w:line="277" w:lineRule="auto"/>
        <w:tabs>
          <w:tab w:leader="none" w:pos="638"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comply with all applicable securities and other laws, rules and regulations in each jurisdiction in which the Directed Shares are offered in connection with the Directed Share Program.</w:t>
      </w:r>
    </w:p>
    <w:p>
      <w:pPr>
        <w:spacing w:after="0" w:line="62" w:lineRule="exact"/>
        <w:rPr>
          <w:rFonts w:ascii="Arial" w:cs="Arial" w:eastAsia="Arial" w:hAnsi="Arial"/>
          <w:sz w:val="18"/>
          <w:szCs w:val="18"/>
          <w:color w:val="auto"/>
        </w:rPr>
      </w:pPr>
    </w:p>
    <w:p>
      <w:pPr>
        <w:ind w:firstLine="419"/>
        <w:spacing w:after="0" w:line="284" w:lineRule="auto"/>
        <w:tabs>
          <w:tab w:leader="none" w:pos="638" w:val="left"/>
        </w:tabs>
        <w:numPr>
          <w:ilvl w:val="0"/>
          <w:numId w:val="46"/>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the Financial Industry Regulatory Authority (provided that the amount payable by the Company with respect to fees and disbursements of counsel for the Underwriters pursuant to subsections (iii) and (iv) shall not exceed $40,000), (v) all fees and expenses in connection with the preparation and filing of the registration statement on Form 8-A relating to the Common Stock and all costs and expenses incident to listing the Shares on the New York Stock Exchange (“</w:t>
      </w:r>
      <w:r>
        <w:rPr>
          <w:rFonts w:ascii="Arial" w:cs="Arial" w:eastAsia="Arial" w:hAnsi="Arial"/>
          <w:sz w:val="16"/>
          <w:szCs w:val="16"/>
          <w:b w:val="1"/>
          <w:bCs w:val="1"/>
          <w:color w:val="auto"/>
        </w:rPr>
        <w:t>NYSE</w:t>
      </w:r>
      <w:r>
        <w:rPr>
          <w:rFonts w:ascii="Arial" w:cs="Arial" w:eastAsia="Arial" w:hAnsi="Arial"/>
          <w:sz w:val="16"/>
          <w:szCs w:val="16"/>
          <w:color w:val="auto"/>
        </w:rPr>
        <w: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any pre-approved travel and lodging expenses of the</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60"/>
          </w:cols>
          <w:pgMar w:left="880" w:top="274" w:right="459" w:bottom="1440" w:gutter="0" w:footer="0" w:header="0"/>
        </w:sectPr>
      </w:pPr>
    </w:p>
    <w:bookmarkStart w:id="39" w:name="page40"/>
    <w:bookmarkEnd w:id="39"/>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representatives and officers of the Company and any such consultants, and the cost of any aircraft chartered with the Company’s prior written consent in connection with the road show, (ix) the document production charges and expenses associated with printing this Agreement, (x) all fees and disbursements of counsel incurred by the Underwriters in connection with the Directed Share Program and stamp duties, similar taxes or duties or other taxes, if any, incurred by the Underwriters in connection with the Directed Share Program and (xi) all other costs and expenses incident to the performance of the obligations of the Company hereunder for which provision is not otherwise made in this Section. It is understood, however, that except as provided in this Section, Section 10 entitled “Indemnity and Contribution” , Section 11 entitled “Directed Share Program Indemnification” and the last paragraph of Section 13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73" w:lineRule="exact"/>
        <w:rPr>
          <w:sz w:val="20"/>
          <w:szCs w:val="20"/>
          <w:color w:val="auto"/>
        </w:rPr>
      </w:pPr>
    </w:p>
    <w:p>
      <w:pPr>
        <w:ind w:firstLine="419"/>
        <w:spacing w:after="0" w:line="263" w:lineRule="auto"/>
        <w:tabs>
          <w:tab w:leader="none" w:pos="67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7).</w:t>
      </w:r>
    </w:p>
    <w:p>
      <w:pPr>
        <w:spacing w:after="0" w:line="75" w:lineRule="exact"/>
        <w:rPr>
          <w:rFonts w:ascii="Arial" w:cs="Arial" w:eastAsia="Arial" w:hAnsi="Arial"/>
          <w:sz w:val="18"/>
          <w:szCs w:val="18"/>
          <w:color w:val="auto"/>
        </w:rPr>
      </w:pPr>
    </w:p>
    <w:p>
      <w:pPr>
        <w:ind w:firstLine="419"/>
        <w:spacing w:after="0" w:line="255" w:lineRule="auto"/>
        <w:tabs>
          <w:tab w:leader="none" w:pos="638"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84" w:lineRule="exact"/>
        <w:rPr>
          <w:rFonts w:ascii="Arial" w:cs="Arial" w:eastAsia="Arial" w:hAnsi="Arial"/>
          <w:sz w:val="18"/>
          <w:szCs w:val="18"/>
          <w:color w:val="auto"/>
        </w:rPr>
      </w:pPr>
    </w:p>
    <w:p>
      <w:pPr>
        <w:ind w:right="280" w:firstLine="419"/>
        <w:spacing w:after="0" w:line="259" w:lineRule="auto"/>
        <w:tabs>
          <w:tab w:leader="none" w:pos="7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40"/>
          </w:cols>
          <w:pgMar w:left="880" w:top="274" w:right="479" w:bottom="1440" w:gutter="0" w:footer="0" w:header="0"/>
        </w:sectPr>
      </w:pPr>
    </w:p>
    <w:bookmarkStart w:id="40" w:name="page41"/>
    <w:bookmarkEnd w:id="40"/>
    <w:p>
      <w:pPr>
        <w:ind w:left="4"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also covenants with each Underwriter that, without the prior written consent of the Representatives on behalf of the Underwriters, it will not, and will not publicly disclose an intention to, during the period ending 180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w:t>
      </w:r>
    </w:p>
    <w:p>
      <w:pPr>
        <w:ind w:left="4" w:hanging="4"/>
        <w:spacing w:after="0" w:line="269" w:lineRule="auto"/>
        <w:tabs>
          <w:tab w:leader="none" w:pos="259" w:val="left"/>
        </w:tabs>
        <w:numPr>
          <w:ilvl w:val="0"/>
          <w:numId w:val="48"/>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(collectively, the “</w:t>
      </w:r>
      <w:r>
        <w:rPr>
          <w:rFonts w:ascii="Arial" w:cs="Arial" w:eastAsia="Arial" w:hAnsi="Arial"/>
          <w:sz w:val="17"/>
          <w:szCs w:val="17"/>
          <w:b w:val="1"/>
          <w:bCs w:val="1"/>
          <w:color w:val="auto"/>
        </w:rPr>
        <w:t>Securities</w:t>
      </w:r>
      <w:r>
        <w:rPr>
          <w:rFonts w:ascii="Arial" w:cs="Arial" w:eastAsia="Arial" w:hAnsi="Arial"/>
          <w:sz w:val="17"/>
          <w:szCs w:val="17"/>
          <w:color w:val="auto"/>
        </w:rPr>
        <w:t>”), (2) enter into any swap or other arrangement that transfers to another, in whole or in part, any of the economic consequences of ownership of the Securities, whether any such transaction described in clause (1) or (2) above is to be settled by delivery of Common Stock or any such other securities, in cash or otherwise or (3) file any registration statement with the Commission relating to the offering of any Securities, other than registrations on Form S-8 for the purpose of registering Securities issuable under equity incentive plans and stock option plans described in each of the Time of Sale Prospectus and Prospectus.</w:t>
      </w:r>
    </w:p>
    <w:p>
      <w:pPr>
        <w:spacing w:after="0" w:line="180" w:lineRule="exact"/>
        <w:rPr>
          <w:sz w:val="20"/>
          <w:szCs w:val="20"/>
          <w:color w:val="auto"/>
        </w:rPr>
      </w:pPr>
    </w:p>
    <w:p>
      <w:pPr>
        <w:ind w:left="4" w:right="20" w:firstLine="440"/>
        <w:spacing w:after="0" w:line="267" w:lineRule="auto"/>
        <w:rPr>
          <w:sz w:val="20"/>
          <w:szCs w:val="20"/>
          <w:color w:val="auto"/>
        </w:rPr>
      </w:pPr>
      <w:r>
        <w:rPr>
          <w:rFonts w:ascii="Arial" w:cs="Arial" w:eastAsia="Arial" w:hAnsi="Arial"/>
          <w:sz w:val="17"/>
          <w:szCs w:val="17"/>
          <w:color w:val="auto"/>
        </w:rPr>
        <w:t xml:space="preserve">The restrictions contained in the preceding paragraph shall not apply to (A) the Shares to be sold hereunder and any reclassification, conversion or exchange in connection with such sale of Shares as described in each of the Time of Sale Prospectus and the Prospectus, (B) the issuance by the Company of (x) Securities upon the exercise of an option or warrant or the conversion of a security outstanding on the date hereof as described in each of the Time of Sale Prospectus and the Prospectus and (y) any awards under the equity incentive plans and stock option plans described in each of the Time of Sale Prospectus and the Prospectus, (C) facilitating the establishment of a trading plan on behalf of a shareholder, officer or director of the Company pursuant to Rule 10b5-1 under the Exchange Act for the transfer of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plan does not provide for the transfer of Securities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Securities may be made under such plan during the Restricted Period, or (D) an issuance in connection with an Acquisition Transaction. An “Acquisition Transaction” shall mean the sale or issuance of or entry into an agreement to sell or issue Securities or securities convertible into or exercisable for Securities in connection with any (i) mergers, (ii) acquisition of securities, businesses, property, technologies or other assets, (iii) joint ventures, (iv) strategic alliances, commercial relationships or other collaborations, or (v) the assumption of employee benefit plans in connection with mergers or acquisitions; provided that the aggregate number of Securities or securities convertible into or exercisable for Securities (on an as-converted or as-exercised basis, as the case may be) pursuant to this clause (l) shall not exceed 10% of the total number of Securities issued and outstanding immediately following the completion of the transactions contemplated by this Agreement (the “Cap”) (as determined on a fully diluted basis and as adjusted for stock splits, stock dividends and other similar events after the date hereof); provided further, that Securities or securities convertible into or exercisable for Securities in connection with any transaction that are issued pursuant to an earn-out after the Restricted Period shall not be subject to the Cap.</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41" w:name="page42"/>
    <w:bookmarkEnd w:id="41"/>
    <w:p>
      <w:pPr>
        <w:ind w:right="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Representatives, in their sole discretion, agrees to release or waive the restrictions on the transfer of Securities set forth in a Lock-up Agreement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57" w:lineRule="exact"/>
        <w:rPr>
          <w:sz w:val="20"/>
          <w:szCs w:val="20"/>
          <w:color w:val="auto"/>
        </w:rPr>
      </w:pPr>
    </w:p>
    <w:p>
      <w:pPr>
        <w:ind w:left="620" w:hanging="184"/>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Covenants of the Sellers</w:t>
      </w:r>
      <w:r>
        <w:rPr>
          <w:rFonts w:ascii="Arial" w:cs="Arial" w:eastAsia="Arial" w:hAnsi="Arial"/>
          <w:sz w:val="18"/>
          <w:szCs w:val="18"/>
          <w:color w:val="auto"/>
        </w:rPr>
        <w:t>. Each Seller, severally and not jointly, covenants with each Underwriter as follows:</w:t>
      </w:r>
    </w:p>
    <w:p>
      <w:pPr>
        <w:spacing w:after="0" w:line="117" w:lineRule="exact"/>
        <w:rPr>
          <w:rFonts w:ascii="Arial" w:cs="Arial" w:eastAsia="Arial" w:hAnsi="Arial"/>
          <w:sz w:val="18"/>
          <w:szCs w:val="18"/>
          <w:color w:val="auto"/>
        </w:rPr>
      </w:pPr>
    </w:p>
    <w:p>
      <w:pPr>
        <w:ind w:left="440" w:right="320" w:firstLine="419"/>
        <w:spacing w:after="0" w:line="308" w:lineRule="auto"/>
        <w:tabs>
          <w:tab w:leader="none" w:pos="1108" w:val="left"/>
        </w:tabs>
        <w:numPr>
          <w:ilvl w:val="1"/>
          <w:numId w:val="49"/>
        </w:numPr>
        <w:rPr>
          <w:rFonts w:ascii="Arial" w:cs="Arial" w:eastAsia="Arial" w:hAnsi="Arial"/>
          <w:sz w:val="17"/>
          <w:szCs w:val="17"/>
          <w:color w:val="auto"/>
        </w:rPr>
      </w:pPr>
      <w:r>
        <w:rPr>
          <w:rFonts w:ascii="Arial" w:cs="Arial" w:eastAsia="Arial" w:hAnsi="Arial"/>
          <w:sz w:val="17"/>
          <w:szCs w:val="17"/>
          <w:color w:val="auto"/>
        </w:rPr>
        <w:t>Each Seller will deliver to each Underwriter (or its agent), prior to or at the Closing Date, a properly completed and executed Internal Revenue Service (“</w:t>
      </w:r>
      <w:r>
        <w:rPr>
          <w:rFonts w:ascii="Arial" w:cs="Arial" w:eastAsia="Arial" w:hAnsi="Arial"/>
          <w:sz w:val="17"/>
          <w:szCs w:val="17"/>
          <w:b w:val="1"/>
          <w:bCs w:val="1"/>
          <w:color w:val="auto"/>
        </w:rPr>
        <w:t>IRS</w:t>
      </w:r>
      <w:r>
        <w:rPr>
          <w:rFonts w:ascii="Arial" w:cs="Arial" w:eastAsia="Arial" w:hAnsi="Arial"/>
          <w:sz w:val="17"/>
          <w:szCs w:val="17"/>
          <w:color w:val="auto"/>
        </w:rPr>
        <w:t>”) Form W-9 or an IRS Form W-8, as appropriate, together with all required attachments to such form.</w:t>
      </w:r>
    </w:p>
    <w:p>
      <w:pPr>
        <w:spacing w:after="0" w:line="38" w:lineRule="exact"/>
        <w:rPr>
          <w:rFonts w:ascii="Arial" w:cs="Arial" w:eastAsia="Arial" w:hAnsi="Arial"/>
          <w:sz w:val="17"/>
          <w:szCs w:val="17"/>
          <w:color w:val="auto"/>
        </w:rPr>
      </w:pPr>
    </w:p>
    <w:p>
      <w:pPr>
        <w:ind w:left="440" w:right="440" w:firstLine="419"/>
        <w:spacing w:after="0" w:line="259" w:lineRule="auto"/>
        <w:tabs>
          <w:tab w:leader="none" w:pos="1118" w:val="left"/>
        </w:tabs>
        <w:numPr>
          <w:ilvl w:val="1"/>
          <w:numId w:val="49"/>
        </w:numPr>
        <w:rPr>
          <w:rFonts w:ascii="Arial" w:cs="Arial" w:eastAsia="Arial" w:hAnsi="Arial"/>
          <w:sz w:val="18"/>
          <w:szCs w:val="18"/>
          <w:color w:val="auto"/>
        </w:rPr>
      </w:pPr>
      <w:r>
        <w:rPr>
          <w:rFonts w:ascii="Arial" w:cs="Arial" w:eastAsia="Arial" w:hAnsi="Arial"/>
          <w:sz w:val="18"/>
          <w:szCs w:val="18"/>
          <w:color w:val="auto"/>
        </w:rPr>
        <w:t>Each Seller will deliver to each Underwriter (or its agent), on the date of execution of this Agreement, a properly completed and executed Certification Regarding Beneficial Owners of Legal Entity Customers, together with copies of identifying documentation, and each Seller undertakes to provide such additional supporting documentation as each Underwriter may reasonably request in connection with the verification of the foregoing Certification.</w:t>
      </w:r>
    </w:p>
    <w:p>
      <w:pPr>
        <w:spacing w:after="0" w:line="78" w:lineRule="exact"/>
        <w:rPr>
          <w:rFonts w:ascii="Arial" w:cs="Arial" w:eastAsia="Arial" w:hAnsi="Arial"/>
          <w:sz w:val="18"/>
          <w:szCs w:val="18"/>
          <w:color w:val="auto"/>
        </w:rPr>
      </w:pPr>
    </w:p>
    <w:p>
      <w:pPr>
        <w:ind w:left="440" w:right="20" w:firstLine="419"/>
        <w:spacing w:after="0" w:line="279" w:lineRule="auto"/>
        <w:tabs>
          <w:tab w:leader="none" w:pos="1108" w:val="left"/>
        </w:tabs>
        <w:numPr>
          <w:ilvl w:val="1"/>
          <w:numId w:val="49"/>
        </w:numPr>
        <w:rPr>
          <w:rFonts w:ascii="Arial" w:cs="Arial" w:eastAsia="Arial" w:hAnsi="Arial"/>
          <w:sz w:val="17"/>
          <w:szCs w:val="17"/>
          <w:color w:val="auto"/>
        </w:rPr>
      </w:pPr>
      <w:r>
        <w:rPr>
          <w:rFonts w:ascii="Arial" w:cs="Arial" w:eastAsia="Arial" w:hAnsi="Arial"/>
          <w:sz w:val="17"/>
          <w:szCs w:val="17"/>
          <w:color w:val="auto"/>
        </w:rPr>
        <w:t>If any Seller is not a U.S. person for U.S. federal income tax purposes, the Company will deliver to each Underwriter (or its agent), on or before the Closing Date, (i) a certificate with respect to the Company’s status as a “United States real property holding corporation,” dated not more than thirty (30) days prior to the Closing Date, as described in Treasury Regulations Sections 1.897-2(h) and 1.1445-2(c)(3), and (ii) proof of delivery to the IRS of the required notice, as described in Treasury Regulations 1.897-2(h)(2).</w:t>
      </w:r>
    </w:p>
    <w:p>
      <w:pPr>
        <w:spacing w:after="0" w:line="171" w:lineRule="exact"/>
        <w:rPr>
          <w:rFonts w:ascii="Arial" w:cs="Arial" w:eastAsia="Arial" w:hAnsi="Arial"/>
          <w:sz w:val="17"/>
          <w:szCs w:val="17"/>
          <w:color w:val="auto"/>
        </w:rPr>
      </w:pPr>
    </w:p>
    <w:p>
      <w:pPr>
        <w:ind w:right="400" w:firstLine="436"/>
        <w:spacing w:after="0" w:line="286"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and not jointly, covenants with the Company not to take any action that would</w:t>
      </w:r>
      <w:r>
        <w:rPr>
          <w:rFonts w:ascii="Arial" w:cs="Arial" w:eastAsia="Arial" w:hAnsi="Arial"/>
          <w:sz w:val="17"/>
          <w:szCs w:val="17"/>
          <w:i w:val="1"/>
          <w:iCs w:val="1"/>
          <w:color w:val="auto"/>
        </w:rPr>
        <w:t xml:space="preserve"> </w:t>
      </w:r>
      <w:r>
        <w:rPr>
          <w:rFonts w:ascii="Arial" w:cs="Arial" w:eastAsia="Arial" w:hAnsi="Arial"/>
          <w:sz w:val="17"/>
          <w:szCs w:val="17"/>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65" w:lineRule="exact"/>
        <w:rPr>
          <w:rFonts w:ascii="Arial" w:cs="Arial" w:eastAsia="Arial" w:hAnsi="Arial"/>
          <w:sz w:val="17"/>
          <w:szCs w:val="17"/>
          <w:color w:val="auto"/>
        </w:rPr>
      </w:pPr>
    </w:p>
    <w:p>
      <w:pPr>
        <w:ind w:firstLine="436"/>
        <w:spacing w:after="0" w:line="273" w:lineRule="auto"/>
        <w:tabs>
          <w:tab w:leader="none" w:pos="71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Indemnity and Contribution. </w:t>
      </w:r>
      <w:r>
        <w:rPr>
          <w:rFonts w:ascii="Arial" w:cs="Arial" w:eastAsia="Arial" w:hAnsi="Arial"/>
          <w:sz w:val="17"/>
          <w:szCs w:val="17"/>
          <w:color w:val="auto"/>
        </w:rPr>
        <w:t>(a) The Company agrees to indemnify and hold harmless each Underwriter, its directors and officers, each person,</w:t>
      </w:r>
      <w:r>
        <w:rPr>
          <w:rFonts w:ascii="Arial" w:cs="Arial" w:eastAsia="Arial" w:hAnsi="Arial"/>
          <w:sz w:val="17"/>
          <w:szCs w:val="17"/>
          <w:i w:val="1"/>
          <w:iCs w:val="1"/>
          <w:color w:val="auto"/>
        </w:rPr>
        <w:t xml:space="preserve"> </w:t>
      </w:r>
      <w:r>
        <w:rPr>
          <w:rFonts w:ascii="Arial" w:cs="Arial" w:eastAsia="Arial" w:hAnsi="Arial"/>
          <w:sz w:val="17"/>
          <w:szCs w:val="17"/>
          <w:color w:val="auto"/>
        </w:rPr>
        <w:t>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2" w:name="page43"/>
    <w:bookmarkEnd w:id="4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w:t>
      </w:r>
    </w:p>
    <w:p>
      <w:pPr>
        <w:spacing w:after="0" w:line="57" w:lineRule="exact"/>
        <w:rPr>
          <w:sz w:val="20"/>
          <w:szCs w:val="20"/>
          <w:color w:val="auto"/>
        </w:rPr>
      </w:pPr>
    </w:p>
    <w:p>
      <w:pPr>
        <w:ind w:left="440" w:right="20" w:firstLine="419"/>
        <w:spacing w:after="0" w:line="286" w:lineRule="auto"/>
        <w:tabs>
          <w:tab w:leader="none" w:pos="1118"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Selling Shareholder agrees, severally and not jointly, to indemnify and hold harmless each Underwriter, its directors and officers,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but only with reference to information relating to such Selling Shareholder furnished in writing by or on behalf of such Selling Shareholder expressly for use in the Registration Statement, any preliminary prospectus, the Time of Sale Prospectus, any issuer free writing prospectus, road show or the Prospectus or any amendment or supplement thereto. The liability of each Selling Shareholder under the indemnity agreement contained in this paragraph shall be limited to an amount equal to the aggregate Purchase Price of the Shares sold by such Selling Shareholder under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3" w:name="page44"/>
    <w:bookmarkEnd w:id="43"/>
    <w:p>
      <w:pPr>
        <w:ind w:left="4" w:right="40" w:firstLine="419"/>
        <w:spacing w:after="0" w:line="290" w:lineRule="auto"/>
        <w:tabs>
          <w:tab w:leader="none" w:pos="671" w:val="left"/>
        </w:tabs>
        <w:numPr>
          <w:ilvl w:val="1"/>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Underwriter agrees, severally and not jointly, to indemnify and hold harmless the Company, the Selling Shareholders, the directors and officers of the Company who sign the Registration Statement and each person, if any, who controls the Company within the meaning of either Section 15 of the Securities Act or Section 20 of the Exchange Act to the same extent as the foregoing indemnity from the Sellers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any Testing-the-Waters Communication, road show or the Prospectus (or any amendment or supplement thereto), it being understood and agreed upon that the only such information furnished by any Underwriter consists of the following information in the Prospectus furnished on behalf of each Underwriter: the sixteenth paragraph relating to stabilization under the caption “Underwriting.”</w:t>
      </w:r>
    </w:p>
    <w:p>
      <w:pPr>
        <w:spacing w:after="0" w:line="57" w:lineRule="exact"/>
        <w:rPr>
          <w:rFonts w:ascii="Arial" w:cs="Arial" w:eastAsia="Arial" w:hAnsi="Arial"/>
          <w:sz w:val="16"/>
          <w:szCs w:val="16"/>
          <w:color w:val="auto"/>
        </w:rPr>
      </w:pPr>
    </w:p>
    <w:p>
      <w:pPr>
        <w:ind w:left="4" w:firstLine="419"/>
        <w:spacing w:after="0" w:line="284" w:lineRule="auto"/>
        <w:tabs>
          <w:tab w:leader="none" w:pos="681" w:val="left"/>
        </w:tabs>
        <w:numPr>
          <w:ilvl w:val="1"/>
          <w:numId w:val="51"/>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10(a), 10(b) or 10(c),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w:t>
      </w:r>
    </w:p>
    <w:p>
      <w:pPr>
        <w:spacing w:after="0" w:line="2" w:lineRule="exact"/>
        <w:rPr>
          <w:rFonts w:ascii="Arial" w:cs="Arial" w:eastAsia="Arial" w:hAnsi="Arial"/>
          <w:sz w:val="16"/>
          <w:szCs w:val="16"/>
          <w:color w:val="auto"/>
        </w:rPr>
      </w:pPr>
    </w:p>
    <w:p>
      <w:pPr>
        <w:ind w:left="4" w:right="20" w:hanging="4"/>
        <w:spacing w:after="0" w:line="286" w:lineRule="auto"/>
        <w:tabs>
          <w:tab w:leader="none" w:pos="268"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named parties to any such proceeding (including any impleaded parties) include both the indemnifying party and the indemnified party and representation of both parties by the same counsel would be inappropriate due to actual or potential differing interests between them, (iii) the indemnifying party has failed within a reasonable time to retain counsel reasonably satisfactory to the indemnified party; or (iv) the indemnified party shall have reasonably concluded that there may be legal defenses available to it that are different from or in addition to those available to the indemnifying party.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10(a) or 10(b), and by the Company, in the case of parties indemnified pursuant to Section 10(c). The indemnifying party shall not be liable for any settlement of any proceeding effected without its written consent, but if settled with such consent or if there be a final judgment for the plaintiff, the</w:t>
      </w:r>
    </w:p>
    <w:p>
      <w:pPr>
        <w:spacing w:after="0" w:line="10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64"/>
          </w:cols>
          <w:pgMar w:left="876" w:top="274" w:right="459" w:bottom="1440" w:gutter="0" w:footer="0" w:header="0"/>
        </w:sectPr>
      </w:pPr>
    </w:p>
    <w:bookmarkStart w:id="44" w:name="page45"/>
    <w:bookmarkEnd w:id="44"/>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any statement as to or an admission of fault, culpability or failure to act by or on behalf of any indemnified party.</w:t>
      </w:r>
    </w:p>
    <w:p>
      <w:pPr>
        <w:spacing w:after="0" w:line="60" w:lineRule="exact"/>
        <w:rPr>
          <w:sz w:val="20"/>
          <w:szCs w:val="20"/>
          <w:color w:val="auto"/>
        </w:rPr>
      </w:pPr>
    </w:p>
    <w:p>
      <w:pPr>
        <w:ind w:firstLine="419"/>
        <w:spacing w:after="0" w:line="286" w:lineRule="auto"/>
        <w:tabs>
          <w:tab w:leader="none" w:pos="668"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10(a), 10(b) or 10(c)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party on the one hand and the indemnified party or parties on the other hand from the offering of the Shares or (ii) if the allocation provided by clause 10(e)(i) above is not permitted by applicable law, in such proportion as is appropriate to reflect not only the relative benefits referred to in clause 10(e)(i)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Sellers on the one hand and the Underwriters on the other hand in connection with the offering of the Shares shall be deemed to be in the same respective proportions as the net proceeds from the offering of the Shares (before deducting expenses) received by each Sellers and the total underwriting discounts and commissions received by the Underwriters, in each case as set forth in the table on the cover of the Prospectus, bear to the aggregate Public Offering Price of the Shares. The relative fault of the Sellers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Sellers or by the Underwriters and the parties’ relative intent, knowledge, access to information and opportunity to correct or prevent such</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60"/>
          </w:cols>
          <w:pgMar w:left="880" w:top="274" w:right="459" w:bottom="1440" w:gutter="0" w:footer="0" w:header="0"/>
        </w:sectPr>
      </w:pPr>
    </w:p>
    <w:bookmarkStart w:id="45" w:name="page46"/>
    <w:bookmarkEnd w:id="45"/>
    <w:p>
      <w:pPr>
        <w:ind w:left="440" w:right="5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or omission. The Underwriters’ respective obligations to contribute pursuant to this Section 10 are several in proportion to the respective number of Shares they have purchased hereunder, and not joint. The liability of each Selling Shareholder under the contribution agreement contained in this paragraph shall be limited to an amount equal to the aggregate Public Offering Price of the Shares sold by such Selling Shareholder under this Agreement.</w:t>
      </w:r>
    </w:p>
    <w:p>
      <w:pPr>
        <w:spacing w:after="0" w:line="79" w:lineRule="exact"/>
        <w:rPr>
          <w:sz w:val="20"/>
          <w:szCs w:val="20"/>
          <w:color w:val="auto"/>
        </w:rPr>
      </w:pPr>
    </w:p>
    <w:p>
      <w:pPr>
        <w:ind w:left="440" w:firstLine="419"/>
        <w:spacing w:after="0" w:line="287" w:lineRule="auto"/>
        <w:tabs>
          <w:tab w:leader="none" w:pos="1088"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The Sellers and the Underwriters agree that it would not be just or equitable if contribution pursuant to this Section 10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Section 10(e). The amount paid or payable by an indemnified party as a result of the losses, claims, damages and liabilities referred to in Section 10(e) shall be deemed to include, subject to the limitations set forth above, any legal or other expenses reasonably incurred by such indemnified party in connection with investigating or defending any such action or claim. Notwithstanding the provisions of this Section 10,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10 are not exclusive and shall not limit any rights or remedies which may otherwise be available to any indemnified party at law or in equity.</w:t>
      </w:r>
    </w:p>
    <w:p>
      <w:pPr>
        <w:spacing w:after="0" w:line="63" w:lineRule="exact"/>
        <w:rPr>
          <w:rFonts w:ascii="Arial" w:cs="Arial" w:eastAsia="Arial" w:hAnsi="Arial"/>
          <w:sz w:val="16"/>
          <w:szCs w:val="16"/>
          <w:color w:val="auto"/>
        </w:rPr>
      </w:pPr>
    </w:p>
    <w:p>
      <w:pPr>
        <w:ind w:left="440" w:right="260" w:firstLine="419"/>
        <w:spacing w:after="0" w:line="296" w:lineRule="auto"/>
        <w:tabs>
          <w:tab w:leader="none" w:pos="1118"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10 and the representations, warranties and other statements of the Company and the Selling Shareholders contained in this Agreement shall remain operative and in full force and effect regardless of (i) any termination of this Agreement, (ii) any investigation made by or on behalf of any Underwriter, any person controlling any Underwriter or any affiliate of any Underwriter, by or on behalf of any Selling Shareholder or any person controlling any Selling Shareholder, or by or on behalf of the Company, its officers or directors or any person controlling the Company and (iii) acceptance of and payment for any of the Shares.</w:t>
      </w:r>
    </w:p>
    <w:p>
      <w:pPr>
        <w:spacing w:after="0" w:line="161" w:lineRule="exact"/>
        <w:rPr>
          <w:rFonts w:ascii="Arial" w:cs="Arial" w:eastAsia="Arial" w:hAnsi="Arial"/>
          <w:sz w:val="16"/>
          <w:szCs w:val="16"/>
          <w:color w:val="auto"/>
        </w:rPr>
      </w:pPr>
    </w:p>
    <w:p>
      <w:pPr>
        <w:ind w:right="160" w:firstLine="436"/>
        <w:spacing w:after="0" w:line="275" w:lineRule="auto"/>
        <w:tabs>
          <w:tab w:leader="none" w:pos="703"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Directed Share Program Indemnification. </w:t>
      </w:r>
      <w:r>
        <w:rPr>
          <w:rFonts w:ascii="Arial" w:cs="Arial" w:eastAsia="Arial" w:hAnsi="Arial"/>
          <w:sz w:val="17"/>
          <w:szCs w:val="17"/>
          <w:color w:val="auto"/>
        </w:rPr>
        <w:t>(a) The Company agrees to indemnify and hold harmless Morgan Stanley, each person, if any, who</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Morgan Stanley within the meaning of either Section 15 of the Securities Act or Section 20 of the Exchange Act and each affiliate of Morgan Stanley within the meaning of Rule 405 of the Securities Act (“</w:t>
      </w:r>
      <w:r>
        <w:rPr>
          <w:rFonts w:ascii="Arial" w:cs="Arial" w:eastAsia="Arial" w:hAnsi="Arial"/>
          <w:sz w:val="17"/>
          <w:szCs w:val="17"/>
          <w:b w:val="1"/>
          <w:bCs w:val="1"/>
          <w:color w:val="auto"/>
        </w:rPr>
        <w:t>Morgan Stanley Entities</w:t>
      </w:r>
      <w:r>
        <w:rPr>
          <w:rFonts w:ascii="Arial" w:cs="Arial" w:eastAsia="Arial" w:hAnsi="Arial"/>
          <w:sz w:val="17"/>
          <w:szCs w:val="17"/>
          <w:color w:val="auto"/>
        </w:rPr>
        <w:t>”) from and against any and all losses, claims, damages and liabilities (including, without limitation, any legal or other expenses reasonably incurred in connection with defending or investigating any such action or claim) (i) that arise out of, or are based upon, any untrue statement or alleged untrue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46" w:name="page47"/>
    <w:bookmarkEnd w:id="4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of a material fact contained in any material prepared by or with the consent of the Company for distribution to Participants in connection with the Directed Share Program or arise out of, or are based upon, any omission or alleged omission to state therein a material fact required to be stated therein or necessary to make the statements therein not misleading; (ii) that arise out of, or are based upon, the failure of any Participant to pay for and accept delivery of Directed Shares that the Participant agreed to purchase; or (iii) related to, arising out of, or in connection with the Directed Share Program, other than losses, claims, damages or liabilities (or expenses relating thereto) that are finally judicially determined to have resulted from the bad faith or gross negligence of Morgan Stanley Entities.</w:t>
      </w:r>
    </w:p>
    <w:p>
      <w:pPr>
        <w:spacing w:after="0" w:line="84" w:lineRule="exact"/>
        <w:rPr>
          <w:sz w:val="20"/>
          <w:szCs w:val="20"/>
          <w:color w:val="auto"/>
        </w:rPr>
      </w:pPr>
    </w:p>
    <w:p>
      <w:pPr>
        <w:ind w:left="440" w:firstLine="419"/>
        <w:spacing w:after="0" w:line="284" w:lineRule="auto"/>
        <w:tabs>
          <w:tab w:leader="none" w:pos="1118"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Morgan Stanley Entity in respect of which indemnity may be sought pursuant to Section 11(a), the Morgan Stanley Entity seeking indemnity, shall promptly notify the Company in writing and the Company, upon request of the Morgan Stanley Entity, shall retain counsel reasonably satisfactory to the Morgan Stanley Entity to represent the Morgan Stanley Entity and any others the Company may designate in such proceeding and shall pay the fees and disbursements of such counsel related to such proceeding. In any such proceeding, any Morgan Stanley Entity shall have the right to retain its own counsel, but the fees and expenses of such counsel shall be at the expense of such Morgan Stanley Entity unless (i) the Company shall have agreed to the retention of such counsel or (ii) the named parties to any such proceeding (including any impleaded parties) include both the Company and the Morgan Stanley Entity and representation of both parties by the same counsel would be inappropriate due to actual or potential differing interests between them. The Company shall not, in respect of the legal expenses of the Morgan Stanley Entities in connection with any proceeding or related proceedings in the same jurisdiction, be liable for the fees and expenses of more than one separate firm (in addition to any local counsel) for all Morgan Stanley Entities. Any such separate firm for the Morgan Stanley Entities shall be designated in writing by Morgan Stanley. The Company shall not be liable for any settlement of any proceeding effected without its written consent, but if settled with such consent or if there be a final judgment for the plaintiff, the Company agrees to indemnify the Morgan Stanley Entities from and against any loss or liability by reason of such settlement or judgment. Notwithstanding the foregoing sentence, if at any time a Morgan Stanley Entity shall have requested the Company to reimburse it for fees and expenses of counsel as contemplated by the second and third sentences of this paragraph, the Company agrees that it shall be liable for any settlement of any proceeding effected without its written consent if (i) such settlement is entered into more than 30 days after receipt by the Company of the aforesaid request and (ii) the Company shall not have reimbursed the Morgan Stanley Entity in accordance with such request prior to the date of such settlement. The Company shall not, without the prior written consent of Morgan Stanley, effect any settlement of any pending or threatened proceeding in respect of which any Morgan Stanley Entity is or could have been a party and indemnity could have been sought hereunder by such Morgan Stanley Entity, unless such settlement includes an unconditional release of the Morgan Stanley Entities from all liability on claims that are the subject matter of such proceeding.</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274" w:right="499" w:bottom="1440" w:gutter="0" w:footer="0" w:header="0"/>
        </w:sectPr>
      </w:pPr>
    </w:p>
    <w:bookmarkStart w:id="47" w:name="page48"/>
    <w:bookmarkEnd w:id="47"/>
    <w:p>
      <w:pPr>
        <w:ind w:right="20" w:firstLine="419"/>
        <w:spacing w:after="0" w:line="285" w:lineRule="auto"/>
        <w:tabs>
          <w:tab w:leader="none" w:pos="668"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the indemnification provided for in Section 11(a) is unavailable to a Morgan Stanley Entity or insufficient in respect of any losses, claims, damages or liabilities referred to therein, then the Company in lieu of indemnifying the Morgan Stanley Entity thereunder, shall contribute to the amount paid or payable by the Morgan Stanley Entity as a result of such losses, claims, damages or liabilities (i) in such proportion as is appropriate to reflect the relative benefits received by the Company on the one hand and the Morgan Stanley Entities on the other hand from the offering of the Directed Shares or (ii) if the allocation provided by clause 11(c)(i) above is not permitted by applicable law, in such proportion as is appropriate to reflect not only the relative benefits referred to in clause 11(c)(i) above but also the relative fault of the Company and P10 Holdings on the one hand and of the Morgan Stanley Entities on the other hand in connection with any statements or omissions that resulted in such losses, claims, damages or liabilities, as well as any other relevant equitable considerations. The relative benefits received by the Company on the one hand and the Morgan Stanley Entities on the other hand in connection with the offering of the Directed Shares shall be deemed to be in the same respective proportions as the net proceeds from the offering of the Directed Shares (before deducting expenses) and the total underwriting discounts and commissions received by the Morgan Stanley Entities for the Directed Shares, bear to the aggregate Public Offering Price of the Directed Shares. If the loss, claim, damage or liability is caused by an untrue or alleged untrue statement of a material fact or the omission or alleged omission to state a material fact, the relative fault of the Company on the one hand and the Morgan Stanley Entities on the other hand shall be determined by reference to, among other things, whether the untrue or alleged untrue statement or the omission or alleged omission relates to information supplied by the Company or by the Morgan Stanley Entities and the parties’ relative intent, knowledge, access to information and opportunity to correct or prevent such statement or omission.</w:t>
      </w:r>
    </w:p>
    <w:p>
      <w:pPr>
        <w:spacing w:after="0" w:line="68" w:lineRule="exact"/>
        <w:rPr>
          <w:rFonts w:ascii="Arial" w:cs="Arial" w:eastAsia="Arial" w:hAnsi="Arial"/>
          <w:sz w:val="16"/>
          <w:szCs w:val="16"/>
          <w:color w:val="auto"/>
        </w:rPr>
      </w:pPr>
    </w:p>
    <w:p>
      <w:pPr>
        <w:ind w:firstLine="419"/>
        <w:spacing w:after="0" w:line="272" w:lineRule="auto"/>
        <w:tabs>
          <w:tab w:leader="none" w:pos="678"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and the Morgan Stanley Entities agree that it would not be just or equitable if contribution pursuant to this Section 11 were determined by pro rata allocation (even if the Morgan Stanley Entities were treated as one entity for such purpose) or by any other method of allocation that does not take account of the equitable considerations referred to in Section 11(c). The amount paid or payable by the Morgan Stanley Entities as a result of the losses, claims, damages and liabilities referred to in the immediately preceding paragraph shall be deemed to include, subject to the limitations set forth above, any legal or other expenses reasonably incurred by the Morgan Stanley Entities in connection with investigating or defending any such action or claim. Notwithstanding the provisions of this Section 11, no Morgan Stanley Entity shall be required to contribute any amount in excess of the amount by which the total</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40"/>
          </w:cols>
          <w:pgMar w:left="880" w:top="274" w:right="479" w:bottom="1440" w:gutter="0" w:footer="0" w:header="0"/>
        </w:sectPr>
      </w:pPr>
    </w:p>
    <w:bookmarkStart w:id="48" w:name="page49"/>
    <w:bookmarkEnd w:id="48"/>
    <w:p>
      <w:pPr>
        <w:ind w:left="440"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 at which the Directed Shares distributed to the public were offered to the public exceeds the amount of any damages that such Morgan Stanley Entity has otherwise been required to pay. The remedies provided for in this Section 11 are not exclusive and shall not limit any rights or remedies which may otherwise be available to any indemnified party at law or in equity.</w:t>
      </w:r>
    </w:p>
    <w:p>
      <w:pPr>
        <w:spacing w:after="0" w:line="76" w:lineRule="exact"/>
        <w:rPr>
          <w:sz w:val="20"/>
          <w:szCs w:val="20"/>
          <w:color w:val="auto"/>
        </w:rPr>
      </w:pPr>
    </w:p>
    <w:p>
      <w:pPr>
        <w:ind w:left="1100" w:hanging="241"/>
        <w:spacing w:after="0"/>
        <w:tabs>
          <w:tab w:leader="none" w:pos="11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9 shall remain operative and in full force and effect regardless of</w:t>
      </w:r>
    </w:p>
    <w:p>
      <w:pPr>
        <w:spacing w:after="0" w:line="46" w:lineRule="exact"/>
        <w:rPr>
          <w:rFonts w:ascii="Arial" w:cs="Arial" w:eastAsia="Arial" w:hAnsi="Arial"/>
          <w:sz w:val="16"/>
          <w:szCs w:val="16"/>
          <w:color w:val="auto"/>
        </w:rPr>
      </w:pPr>
    </w:p>
    <w:p>
      <w:pPr>
        <w:ind w:left="440" w:right="280" w:hanging="4"/>
        <w:spacing w:after="0" w:line="290"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termination of this Agreement, (ii) any investigation made by or on behalf of any Morgan Stanley Entity or the Company, its officers or directors or any person controlling the Company and (iii) acceptance of and payment for any of the Directed Shares.</w:t>
      </w:r>
    </w:p>
    <w:p>
      <w:pPr>
        <w:spacing w:after="0" w:line="161" w:lineRule="exact"/>
        <w:rPr>
          <w:sz w:val="20"/>
          <w:szCs w:val="20"/>
          <w:color w:val="auto"/>
        </w:rPr>
      </w:pPr>
    </w:p>
    <w:p>
      <w:pPr>
        <w:ind w:firstLine="436"/>
        <w:spacing w:after="0" w:line="288" w:lineRule="auto"/>
        <w:tabs>
          <w:tab w:leader="none" w:pos="71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the Representatives to the Company, if after the execution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delivery of this Agreement and prior to or on the Closing Date or any Option Closing Date, as the case may be, (i) trading generally shall have been suspended or materially limited on, or by, as the case may be, any of the New York Stock Exchange, the NYSE American,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68" w:lineRule="exact"/>
        <w:rPr>
          <w:rFonts w:ascii="Arial" w:cs="Arial" w:eastAsia="Arial" w:hAnsi="Arial"/>
          <w:sz w:val="16"/>
          <w:szCs w:val="16"/>
          <w:color w:val="auto"/>
        </w:rPr>
      </w:pPr>
    </w:p>
    <w:p>
      <w:pPr>
        <w:ind w:left="700" w:hanging="264"/>
        <w:spacing w:after="0"/>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number of Shares that any Underwriter has agreed to purchase pursuant to this Agreement be increased pursuant to this Section 13 by an amount in excess of one-ninth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49" w:name="page50"/>
    <w:bookmarkEnd w:id="49"/>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the Company or the Selling Shareholders for the purchase of such Firm Shares are not made within 36 hours after such default, this Agreement shall terminate without liability on the part of any non-defaulting Underwriter or the relevant Sellers. In any such case either the Representatives or the relevant Sellers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w:t>
      </w:r>
    </w:p>
    <w:p>
      <w:pPr>
        <w:spacing w:after="0" w:line="5" w:lineRule="exact"/>
        <w:rPr>
          <w:sz w:val="20"/>
          <w:szCs w:val="20"/>
          <w:color w:val="auto"/>
        </w:rPr>
      </w:pPr>
    </w:p>
    <w:p>
      <w:pPr>
        <w:ind w:left="4" w:right="20" w:hanging="4"/>
        <w:spacing w:after="0" w:line="255" w:lineRule="auto"/>
        <w:tabs>
          <w:tab w:leader="none" w:pos="2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9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If (i) this Agreement shall be terminated by the Underwriters, or any of them, because of any failure or refusal on the part of any Seller to comply with the terms or to fulfill any of the conditions of this Agreement, (ii) if for any reason any Seller shall be unable to perform its obligations under this Agreement or (iii) the Underwriters decline to purchase the Shares for any reason permitted under this Agreement, the Sellers will reimburse the Underwriters or such Underwriters as have so terminated this Agreement with respect to themselves, severally, for all out-of-pocket expenses (including the fees reasonably incurred and disbursements of their counsel) reasonably incurred by such Underwriters in connection with this Agreement or the offering contemplated hereunder.</w:t>
      </w:r>
    </w:p>
    <w:p>
      <w:pPr>
        <w:spacing w:after="0" w:line="192" w:lineRule="exact"/>
        <w:rPr>
          <w:sz w:val="20"/>
          <w:szCs w:val="20"/>
          <w:color w:val="auto"/>
        </w:rPr>
      </w:pPr>
    </w:p>
    <w:p>
      <w:pPr>
        <w:ind w:left="4" w:firstLine="436"/>
        <w:spacing w:after="0" w:line="279" w:lineRule="auto"/>
        <w:tabs>
          <w:tab w:leader="none" w:pos="714"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Entire Agreement</w:t>
      </w:r>
      <w:r>
        <w:rPr>
          <w:rFonts w:ascii="Arial" w:cs="Arial" w:eastAsia="Arial" w:hAnsi="Arial"/>
          <w:sz w:val="17"/>
          <w:szCs w:val="17"/>
          <w:color w:val="auto"/>
        </w:rPr>
        <w:t>. (a) This Agreement, together with any contemporaneous written agreements and any prior written agreements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not superseded by this Agreement) that relate to the offering of the Shares, represents the entire agreement between the Company and the Selling Shareholders, on the one hand, and the Underwriters, on the other, with respect to the preparation of any preliminary prospectus, the Time of Sale Prospectus, the Prospectus, the conduct of the offering, and the purchase and sale of the Shares.</w:t>
      </w:r>
    </w:p>
    <w:p>
      <w:pPr>
        <w:spacing w:after="0" w:line="63" w:lineRule="exact"/>
        <w:rPr>
          <w:rFonts w:ascii="Arial" w:cs="Arial" w:eastAsia="Arial" w:hAnsi="Arial"/>
          <w:sz w:val="17"/>
          <w:szCs w:val="17"/>
          <w:color w:val="auto"/>
        </w:rPr>
      </w:pPr>
    </w:p>
    <w:p>
      <w:pPr>
        <w:ind w:left="444" w:right="20" w:firstLine="419"/>
        <w:spacing w:after="0" w:line="259" w:lineRule="auto"/>
        <w:tabs>
          <w:tab w:leader="none" w:pos="112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Company and each Selling Shareholders acknowledge that in connection with the offering of the Shares: (i) the Underwriters have acted at arm’s length, are not agents of, and owe no fiduciary duties to, the Company, any or the Selling Shareholders or any other person, (ii) the Underwriters owe the Company and each Selling Shareholder only those duties and obligations set forth in this Agreement, any contemporaneous written agreements and prior written</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4"/>
          </w:cols>
          <w:pgMar w:left="436" w:top="274" w:right="499" w:bottom="1440" w:gutter="0" w:footer="0" w:header="0"/>
        </w:sectPr>
      </w:pPr>
    </w:p>
    <w:bookmarkStart w:id="50" w:name="page51"/>
    <w:bookmarkEnd w:id="50"/>
    <w:p>
      <w:pPr>
        <w:ind w:left="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agreements (to the extent not superseded by this Agreement), if any, (iii) the Underwriters may have interests that differ from those of the Company and each Selling Shareholder, and (iv) none of the activities of the Underwriters in connection with the transactions contemplated herein constitutes a recommendation, investment advice, or solicitation of any action by the Underwriters with respect to any entity or natural person. The Company and each Selling Shareholder waive to the full extent permitted by applicable law any claims it may have against the Underwriters arising from an alleged breach of fiduciary duty in connection with the offering of the Shares.</w:t>
      </w:r>
    </w:p>
    <w:p>
      <w:pPr>
        <w:spacing w:after="0" w:line="68" w:lineRule="exact"/>
        <w:rPr>
          <w:sz w:val="20"/>
          <w:szCs w:val="20"/>
          <w:color w:val="auto"/>
        </w:rPr>
      </w:pPr>
    </w:p>
    <w:p>
      <w:pPr>
        <w:ind w:left="440" w:right="20" w:firstLine="419"/>
        <w:spacing w:after="0" w:line="301" w:lineRule="auto"/>
        <w:tabs>
          <w:tab w:leader="none" w:pos="1108" w:val="left"/>
        </w:tabs>
        <w:numPr>
          <w:ilvl w:val="1"/>
          <w:numId w:val="63"/>
        </w:numPr>
        <w:rPr>
          <w:rFonts w:ascii="Arial" w:cs="Arial" w:eastAsia="Arial" w:hAnsi="Arial"/>
          <w:sz w:val="16"/>
          <w:szCs w:val="16"/>
          <w:color w:val="auto"/>
        </w:rPr>
      </w:pPr>
      <w:r>
        <w:rPr>
          <w:rFonts w:ascii="Arial" w:cs="Arial" w:eastAsia="Arial" w:hAnsi="Arial"/>
          <w:sz w:val="16"/>
          <w:szCs w:val="16"/>
          <w:color w:val="auto"/>
        </w:rPr>
        <w:t>Each Selling Shareholder further acknowledges and agrees that, although the Underwriters may provide certain Selling Shareholders with certain Regulation Best Interest and Form CRS disclosures or other related documentation in connection with the offering, the Underwriters are not making a recommendation to any Selling Shareholder to participate in the offering or sell any Shares at the Purchase Price, and nothing set forth in such disclosures or documentation is intended to suggest that any Underwriter is making such a recommendation.</w:t>
      </w:r>
    </w:p>
    <w:p>
      <w:pPr>
        <w:spacing w:after="0" w:line="157" w:lineRule="exact"/>
        <w:rPr>
          <w:rFonts w:ascii="Arial" w:cs="Arial" w:eastAsia="Arial" w:hAnsi="Arial"/>
          <w:sz w:val="16"/>
          <w:szCs w:val="16"/>
          <w:color w:val="auto"/>
        </w:rPr>
      </w:pPr>
    </w:p>
    <w:p>
      <w:pPr>
        <w:ind w:right="120" w:firstLine="436"/>
        <w:spacing w:after="0" w:line="279" w:lineRule="auto"/>
        <w:tabs>
          <w:tab w:leader="none" w:pos="71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Recognition of the U.S. Special Resolution Regimes</w:t>
      </w:r>
      <w:r>
        <w:rPr>
          <w:rFonts w:ascii="Arial" w:cs="Arial" w:eastAsia="Arial" w:hAnsi="Arial"/>
          <w:sz w:val="17"/>
          <w:szCs w:val="17"/>
          <w:color w:val="auto"/>
        </w:rPr>
        <w:t>. (a) In the event that any Underwriter that is a Covered Entity becomes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63" w:lineRule="exact"/>
        <w:rPr>
          <w:rFonts w:ascii="Arial" w:cs="Arial" w:eastAsia="Arial" w:hAnsi="Arial"/>
          <w:sz w:val="17"/>
          <w:szCs w:val="17"/>
          <w:color w:val="auto"/>
        </w:rPr>
      </w:pPr>
    </w:p>
    <w:p>
      <w:pPr>
        <w:ind w:left="440" w:right="60" w:firstLine="419"/>
        <w:spacing w:after="0" w:line="259" w:lineRule="auto"/>
        <w:tabs>
          <w:tab w:leader="none" w:pos="1118"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For purposes of this Section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1" w:name="page52"/>
    <w:bookmarkEnd w:id="51"/>
    <w:p>
      <w:pPr>
        <w:ind w:left="-20" w:right="120" w:firstLine="436"/>
        <w:spacing w:after="0" w:line="257" w:lineRule="auto"/>
        <w:tabs>
          <w:tab w:leader="none" w:pos="69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7" w:lineRule="exact"/>
        <w:rPr>
          <w:rFonts w:ascii="Arial" w:cs="Arial" w:eastAsia="Arial" w:hAnsi="Arial"/>
          <w:sz w:val="18"/>
          <w:szCs w:val="18"/>
          <w:color w:val="auto"/>
        </w:rPr>
      </w:pPr>
    </w:p>
    <w:p>
      <w:pPr>
        <w:ind w:left="-20" w:right="260" w:firstLine="436"/>
        <w:spacing w:after="0" w:line="277" w:lineRule="auto"/>
        <w:tabs>
          <w:tab w:leader="none" w:pos="69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This Agreement and any claim, controversy or dispute arising under or related to this Agreement shall be governed by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accordance with the internal laws of the State of New York.</w:t>
      </w:r>
    </w:p>
    <w:p>
      <w:pPr>
        <w:spacing w:after="0" w:line="170" w:lineRule="exact"/>
        <w:rPr>
          <w:rFonts w:ascii="Arial" w:cs="Arial" w:eastAsia="Arial" w:hAnsi="Arial"/>
          <w:sz w:val="18"/>
          <w:szCs w:val="18"/>
          <w:color w:val="auto"/>
        </w:rPr>
      </w:pPr>
    </w:p>
    <w:p>
      <w:pPr>
        <w:ind w:left="-20" w:right="40" w:firstLine="436"/>
        <w:spacing w:after="0" w:line="277" w:lineRule="auto"/>
        <w:tabs>
          <w:tab w:leader="none" w:pos="69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w:t>
      </w:r>
    </w:p>
    <w:p>
      <w:pPr>
        <w:spacing w:after="0" w:line="170" w:lineRule="exact"/>
        <w:rPr>
          <w:rFonts w:ascii="Arial" w:cs="Arial" w:eastAsia="Arial" w:hAnsi="Arial"/>
          <w:sz w:val="18"/>
          <w:szCs w:val="18"/>
          <w:color w:val="auto"/>
        </w:rPr>
      </w:pPr>
    </w:p>
    <w:p>
      <w:pPr>
        <w:ind w:left="-20" w:firstLine="436"/>
        <w:spacing w:after="0" w:line="271" w:lineRule="auto"/>
        <w:tabs>
          <w:tab w:leader="none" w:pos="69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communications hereunder shall be in writing and effective only upon receipt and if to the Underwriters shall be delivered, mailed</w:t>
      </w:r>
      <w:r>
        <w:rPr>
          <w:rFonts w:ascii="Arial" w:cs="Arial" w:eastAsia="Arial" w:hAnsi="Arial"/>
          <w:sz w:val="17"/>
          <w:szCs w:val="17"/>
          <w:i w:val="1"/>
          <w:iCs w:val="1"/>
          <w:color w:val="auto"/>
        </w:rPr>
        <w:t xml:space="preserve"> </w:t>
      </w:r>
      <w:r>
        <w:rPr>
          <w:rFonts w:ascii="Arial" w:cs="Arial" w:eastAsia="Arial" w:hAnsi="Arial"/>
          <w:sz w:val="17"/>
          <w:szCs w:val="17"/>
          <w:color w:val="auto"/>
        </w:rPr>
        <w:t>or sent to Morgan Stanley in care of Morgan Stanley &amp; Co. LLC 1585 Broadway, New York, New York 10036, Attention: Equity Syndicate Desk, with a copy to the Legal Department, J.P. Morgan Securities LLC, 383 Madison Avenue, New York, New York 10179, Attention: Equity Syndicate Desk (fax: (212) 622-8358); if to the Company shall be delivered, mailed or sent to P10, Inc., 4514 Cole Avenue, Suite 1600, Dallas, Texas 75205, Attention: Amanda Coussens, with a copy to (which shall not constitute notice) Olshan Frome Wolosky LLP, 1325 Avenue of the Americas, New York, NY 10019, Attention; Adam Finerman and if to the Selling Shareholders shall be delivered, mailed or sent to P10, Inc., 4514 Cole Avenue, Suite 1600, Dallas, Texas 75205, Attention: Amanda Coussens, with a copy to (which shall not constitute notice) Olshan Frome Wolosky LLP, 1325 Avenue of the Americas, New York, NY 10019, Attention; Adam Finerman.</w:t>
      </w:r>
    </w:p>
    <w:p>
      <w:pPr>
        <w:spacing w:after="0" w:line="178" w:lineRule="exact"/>
        <w:rPr>
          <w:rFonts w:ascii="Arial" w:cs="Arial" w:eastAsia="Arial" w:hAnsi="Arial"/>
          <w:sz w:val="17"/>
          <w:szCs w:val="17"/>
          <w:color w:val="auto"/>
        </w:rPr>
      </w:pPr>
    </w:p>
    <w:p>
      <w:pPr>
        <w:ind w:left="-20" w:right="40" w:firstLine="436"/>
        <w:spacing w:after="0" w:line="259" w:lineRule="auto"/>
        <w:tabs>
          <w:tab w:leader="none" w:pos="69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Compliance with USA Patriot Act</w:t>
      </w:r>
      <w:r>
        <w:rPr>
          <w:rFonts w:ascii="Arial" w:cs="Arial" w:eastAsia="Arial" w:hAnsi="Arial"/>
          <w:sz w:val="18"/>
          <w:szCs w:val="18"/>
          <w:color w:val="auto"/>
        </w:rPr>
        <w:t>. In accordance with the requirements of the USA Patriot Act (Title III of Pub. L. 107-56 (signed into law</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26, 2001)), the Underwriters are required to obtain, verify and record information that identifies their respective clients, including the Company and the Selling Shareholders, which information may include the name and address of their respective clients, as well as other information that will allow the Underwriters to properly identify their respective clients.</w:t>
      </w:r>
    </w:p>
    <w:p>
      <w:pPr>
        <w:spacing w:after="0" w:line="186" w:lineRule="exact"/>
        <w:rPr>
          <w:rFonts w:ascii="Arial" w:cs="Arial" w:eastAsia="Arial" w:hAnsi="Arial"/>
          <w:sz w:val="18"/>
          <w:szCs w:val="18"/>
          <w:color w:val="auto"/>
        </w:rPr>
      </w:pPr>
    </w:p>
    <w:p>
      <w:pPr>
        <w:ind w:left="-20" w:right="260" w:firstLine="436"/>
        <w:spacing w:after="0" w:line="277" w:lineRule="auto"/>
        <w:tabs>
          <w:tab w:leader="none" w:pos="69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waives any right to trial by jury in any suit or proceeding arising out of or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60" w:top="274" w:right="459" w:bottom="1440" w:gutter="0" w:footer="0" w:header="0"/>
        </w:sectPr>
      </w:pPr>
    </w:p>
    <w:bookmarkStart w:id="52" w:name="page53"/>
    <w:bookmarkEnd w:id="52"/>
    <w:p>
      <w:pPr>
        <w:ind w:left="-120" w:firstLine="436"/>
        <w:spacing w:after="0" w:line="254" w:lineRule="auto"/>
        <w:tabs>
          <w:tab w:leader="none" w:pos="59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Submission to Jurisdiction</w:t>
      </w:r>
      <w:r>
        <w:rPr>
          <w:rFonts w:ascii="Arial" w:cs="Arial" w:eastAsia="Arial" w:hAnsi="Arial"/>
          <w:sz w:val="18"/>
          <w:szCs w:val="18"/>
          <w:color w:val="auto"/>
        </w:rPr>
        <w:t>. Each of the Company and the Selling Shareholders hereby submit to the exclusive jurisdiction of the U.S.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and New York state courts in the Borough of Manhattan in The City of New York in any suit or proceeding arising out of or relating to this Agreement or the transactions contemplated hereby. Each of the Company and the Selling Shareholders waive any objection which it may now or hereafter have to the laying of venue of any such suit or proceeding in such courts. Each of the Company and the Selling Shareholders agree that final judgment in any such suit, action or proceeding brought in such court shall be conclusive and binding upon the Company and each Selling Shareholders, as applicable, and may be enforced in any court to the jurisdiction of which Company and each Selling Shareholders, as applicable, is subject by a suit upon such judgment.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780"/>
          </w:cols>
          <w:pgMar w:left="560" w:top="274" w:right="559" w:bottom="1440" w:gutter="0" w:footer="0" w:header="0"/>
        </w:sectPr>
      </w:pPr>
    </w:p>
    <w:bookmarkStart w:id="53" w:name="page54"/>
    <w:bookmarkEnd w:id="5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1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P10, Inc.</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Amanda Coussens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CFO</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The Selling Shareholders named in Schedule I-A and I-B</w:t>
      </w:r>
    </w:p>
    <w:p>
      <w:pPr>
        <w:spacing w:after="0" w:line="4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hereto, acting severally</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Alpert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Attorney-in-Fact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TRIDENT V,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Stone Point Capital, LLC, its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Mundheim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Peter Mundheim</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Principal and Counsel</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TRIDENT V PARALLEL FUND,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Stone Point Capital, LLC, its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Mundheim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Peter Mundheim</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Principal and Counsel</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TRIDENT V PROFESSIONALS FUND,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Stone Point Capital, LLC, its manager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Mundheim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5715</wp:posOffset>
            </wp:positionV>
            <wp:extent cx="24517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Peter Mundheim</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Principal and Counsel</w:t>
      </w:r>
    </w:p>
    <w:p>
      <w:pPr>
        <w:spacing w:after="0" w:line="1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9720"/>
          </w:cols>
          <w:pgMar w:left="1440" w:top="274" w:right="7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hereof</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Underwriters named in Schedule II hereto.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Michael Occi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Michael Occi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Alaoui Zenere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Alaoui Zenere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Victoria Hale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019"/>
          </w:cols>
          <w:pgMar w:left="440" w:top="274"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Seller</w:t>
            </w:r>
          </w:p>
        </w:tc>
        <w:tc>
          <w:tcPr>
            <w:tcW w:w="36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2"/>
              </w:rPr>
              <w:t>Number of Firm Shares</w:t>
            </w: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Number of Additional</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240" w:type="dxa"/>
            <w:vAlign w:val="bottom"/>
            <w:gridSpan w:val="2"/>
          </w:tcPr>
          <w:p>
            <w:pPr>
              <w:jc w:val="right"/>
              <w:ind w:right="1180"/>
              <w:spacing w:after="0" w:line="158" w:lineRule="exact"/>
              <w:rPr>
                <w:sz w:val="20"/>
                <w:szCs w:val="20"/>
                <w:color w:val="auto"/>
              </w:rPr>
            </w:pPr>
            <w:r>
              <w:rPr>
                <w:rFonts w:ascii="Arial" w:cs="Arial" w:eastAsia="Arial" w:hAnsi="Arial"/>
                <w:sz w:val="14"/>
                <w:szCs w:val="14"/>
                <w:b w:val="1"/>
                <w:bCs w:val="1"/>
                <w:color w:val="auto"/>
              </w:rPr>
              <w:t>To Be Sold</w:t>
            </w:r>
          </w:p>
        </w:tc>
        <w:tc>
          <w:tcPr>
            <w:tcW w:w="14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0"/>
              </w:rPr>
              <w:t>Shares To Be Sold</w:t>
            </w:r>
          </w:p>
        </w:tc>
        <w:tc>
          <w:tcPr>
            <w:tcW w:w="0" w:type="dxa"/>
            <w:vAlign w:val="bottom"/>
          </w:tcPr>
          <w:p>
            <w:pPr>
              <w:spacing w:after="0"/>
              <w:rPr>
                <w:sz w:val="1"/>
                <w:szCs w:val="1"/>
                <w:color w:val="auto"/>
              </w:rPr>
            </w:pPr>
          </w:p>
        </w:tc>
      </w:tr>
      <w:tr>
        <w:trPr>
          <w:trHeight w:val="189"/>
        </w:trPr>
        <w:tc>
          <w:tcPr>
            <w:tcW w:w="3980" w:type="dxa"/>
            <w:vAlign w:val="bottom"/>
            <w:tcBorders>
              <w:top w:val="single" w:sz="8" w:color="CCEEFF"/>
            </w:tcBorders>
            <w:gridSpan w:val="2"/>
            <w:shd w:val="clear" w:color="auto" w:fill="CCEEFF"/>
          </w:tcPr>
          <w:p>
            <w:pPr>
              <w:ind w:left="360"/>
              <w:spacing w:after="0" w:line="189" w:lineRule="exact"/>
              <w:rPr>
                <w:sz w:val="20"/>
                <w:szCs w:val="20"/>
                <w:color w:val="auto"/>
              </w:rPr>
            </w:pPr>
            <w:r>
              <w:rPr>
                <w:rFonts w:ascii="Arial" w:cs="Arial" w:eastAsia="Arial" w:hAnsi="Arial"/>
                <w:sz w:val="18"/>
                <w:szCs w:val="18"/>
                <w:i w:val="1"/>
                <w:iCs w:val="1"/>
                <w:color w:val="auto"/>
              </w:rPr>
              <w:t>Schedule I-A</w:t>
            </w:r>
          </w:p>
        </w:tc>
        <w:tc>
          <w:tcPr>
            <w:tcW w:w="7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210/P10 Acquisition Partners LLC (a)</w:t>
            </w:r>
          </w:p>
        </w:tc>
        <w:tc>
          <w:tcPr>
            <w:tcW w:w="2980" w:type="dxa"/>
            <w:vAlign w:val="bottom"/>
            <w:gridSpan w:val="3"/>
          </w:tcPr>
          <w:p>
            <w:pPr>
              <w:jc w:val="right"/>
              <w:ind w:right="780"/>
              <w:spacing w:after="0"/>
              <w:rPr>
                <w:sz w:val="20"/>
                <w:szCs w:val="20"/>
                <w:color w:val="auto"/>
              </w:rPr>
            </w:pPr>
            <w:r>
              <w:rPr>
                <w:rFonts w:ascii="Arial" w:cs="Arial" w:eastAsia="Arial" w:hAnsi="Arial"/>
                <w:sz w:val="18"/>
                <w:szCs w:val="18"/>
                <w:color w:val="auto"/>
              </w:rPr>
              <w:t>1,172,884</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521,498</w:t>
            </w: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Thomas P. Danis, Jr., as Trustee of the Thomas P.</w:t>
            </w:r>
          </w:p>
        </w:tc>
        <w:tc>
          <w:tcPr>
            <w:tcW w:w="7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Danis, Jr. Revocable Living Trust dated March 10,</w:t>
            </w: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2003, as amended</w:t>
            </w:r>
          </w:p>
        </w:tc>
        <w:tc>
          <w:tcPr>
            <w:tcW w:w="29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474,540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168,795</w:t>
            </w:r>
          </w:p>
        </w:tc>
        <w:tc>
          <w:tcPr>
            <w:tcW w:w="0" w:type="dxa"/>
            <w:vAlign w:val="bottom"/>
          </w:tcPr>
          <w:p>
            <w:pPr>
              <w:spacing w:after="0"/>
              <w:rPr>
                <w:sz w:val="1"/>
                <w:szCs w:val="1"/>
                <w:color w:val="auto"/>
              </w:rPr>
            </w:pPr>
          </w:p>
        </w:tc>
      </w:tr>
      <w:tr>
        <w:trPr>
          <w:trHeight w:val="202"/>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w w:val="91"/>
              </w:rPr>
              <w:t>Jeff P. Gehl as Trustee of the Jeff P. Gehl Living Trust</w:t>
            </w: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dated January 25, 2011</w:t>
            </w:r>
          </w:p>
        </w:tc>
        <w:tc>
          <w:tcPr>
            <w:tcW w:w="2980" w:type="dxa"/>
            <w:vAlign w:val="bottom"/>
            <w:gridSpan w:val="3"/>
          </w:tcPr>
          <w:p>
            <w:pPr>
              <w:jc w:val="right"/>
              <w:ind w:right="780"/>
              <w:spacing w:after="0"/>
              <w:rPr>
                <w:sz w:val="20"/>
                <w:szCs w:val="20"/>
                <w:color w:val="auto"/>
              </w:rPr>
            </w:pPr>
            <w:r>
              <w:rPr>
                <w:rFonts w:ascii="Arial" w:cs="Arial" w:eastAsia="Arial" w:hAnsi="Arial"/>
                <w:sz w:val="18"/>
                <w:szCs w:val="18"/>
                <w:color w:val="auto"/>
              </w:rPr>
              <w:t>474,540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168,795</w:t>
            </w: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Charles K. Huebner as Trustee of the Charles K.</w:t>
            </w:r>
          </w:p>
        </w:tc>
        <w:tc>
          <w:tcPr>
            <w:tcW w:w="7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Huebner Trust dated January 16, 2001</w:t>
            </w:r>
          </w:p>
        </w:tc>
        <w:tc>
          <w:tcPr>
            <w:tcW w:w="29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474,540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168,795</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Souder Family LLC</w:t>
            </w:r>
          </w:p>
        </w:tc>
        <w:tc>
          <w:tcPr>
            <w:tcW w:w="2980" w:type="dxa"/>
            <w:vAlign w:val="bottom"/>
            <w:gridSpan w:val="3"/>
          </w:tcPr>
          <w:p>
            <w:pPr>
              <w:jc w:val="right"/>
              <w:ind w:right="780"/>
              <w:spacing w:after="0"/>
              <w:rPr>
                <w:sz w:val="20"/>
                <w:szCs w:val="20"/>
                <w:color w:val="auto"/>
              </w:rPr>
            </w:pPr>
            <w:r>
              <w:rPr>
                <w:rFonts w:ascii="Arial" w:cs="Arial" w:eastAsia="Arial" w:hAnsi="Arial"/>
                <w:sz w:val="18"/>
                <w:szCs w:val="18"/>
                <w:color w:val="auto"/>
              </w:rPr>
              <w:t>474,540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168,795</w:t>
            </w: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Jon I. Madorsky as Trustee of the Jon I. Madorsky</w:t>
            </w:r>
          </w:p>
        </w:tc>
        <w:tc>
          <w:tcPr>
            <w:tcW w:w="7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Revocable Trust dated December 1, 2008</w:t>
            </w:r>
          </w:p>
        </w:tc>
        <w:tc>
          <w:tcPr>
            <w:tcW w:w="29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474,540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168,795</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David McCoy</w:t>
            </w:r>
          </w:p>
        </w:tc>
        <w:tc>
          <w:tcPr>
            <w:tcW w:w="2980" w:type="dxa"/>
            <w:vAlign w:val="bottom"/>
            <w:gridSpan w:val="3"/>
          </w:tcPr>
          <w:p>
            <w:pPr>
              <w:jc w:val="right"/>
              <w:ind w:right="780"/>
              <w:spacing w:after="0"/>
              <w:rPr>
                <w:sz w:val="20"/>
                <w:szCs w:val="20"/>
                <w:color w:val="auto"/>
              </w:rPr>
            </w:pPr>
            <w:r>
              <w:rPr>
                <w:rFonts w:ascii="Arial" w:cs="Arial" w:eastAsia="Arial" w:hAnsi="Arial"/>
                <w:sz w:val="18"/>
                <w:szCs w:val="18"/>
                <w:color w:val="auto"/>
              </w:rPr>
              <w:t>313,679</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111,577</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Abell</w:t>
            </w:r>
          </w:p>
        </w:tc>
        <w:tc>
          <w:tcPr>
            <w:tcW w:w="29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152,818</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54,358</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Michael Feinglass</w:t>
            </w:r>
          </w:p>
        </w:tc>
        <w:tc>
          <w:tcPr>
            <w:tcW w:w="2980" w:type="dxa"/>
            <w:vAlign w:val="bottom"/>
            <w:gridSpan w:val="3"/>
          </w:tcPr>
          <w:p>
            <w:pPr>
              <w:jc w:val="right"/>
              <w:ind w:right="780"/>
              <w:spacing w:after="0"/>
              <w:rPr>
                <w:sz w:val="20"/>
                <w:szCs w:val="20"/>
                <w:color w:val="auto"/>
              </w:rPr>
            </w:pPr>
            <w:r>
              <w:rPr>
                <w:rFonts w:ascii="Arial" w:cs="Arial" w:eastAsia="Arial" w:hAnsi="Arial"/>
                <w:sz w:val="18"/>
                <w:szCs w:val="18"/>
                <w:color w:val="auto"/>
              </w:rPr>
              <w:t>152,818</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54,358</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Nelson</w:t>
            </w:r>
          </w:p>
        </w:tc>
        <w:tc>
          <w:tcPr>
            <w:tcW w:w="29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112,603</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40,053</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Nell Blatherwick</w:t>
            </w:r>
          </w:p>
        </w:tc>
        <w:tc>
          <w:tcPr>
            <w:tcW w:w="2980" w:type="dxa"/>
            <w:vAlign w:val="bottom"/>
            <w:gridSpan w:val="3"/>
          </w:tcPr>
          <w:p>
            <w:pPr>
              <w:jc w:val="right"/>
              <w:ind w:right="780"/>
              <w:spacing w:after="0"/>
              <w:rPr>
                <w:sz w:val="20"/>
                <w:szCs w:val="20"/>
                <w:color w:val="auto"/>
              </w:rPr>
            </w:pPr>
            <w:r>
              <w:rPr>
                <w:rFonts w:ascii="Arial" w:cs="Arial" w:eastAsia="Arial" w:hAnsi="Arial"/>
                <w:sz w:val="18"/>
                <w:szCs w:val="18"/>
                <w:color w:val="auto"/>
              </w:rPr>
              <w:t>112,603</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40,053</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Keystone Capital XXX, LLC</w:t>
            </w:r>
          </w:p>
        </w:tc>
        <w:tc>
          <w:tcPr>
            <w:tcW w:w="29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993,204</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353,286</w:t>
            </w:r>
          </w:p>
        </w:tc>
        <w:tc>
          <w:tcPr>
            <w:tcW w:w="0" w:type="dxa"/>
            <w:vAlign w:val="bottom"/>
          </w:tcPr>
          <w:p>
            <w:pPr>
              <w:spacing w:after="0"/>
              <w:rPr>
                <w:sz w:val="1"/>
                <w:szCs w:val="1"/>
                <w:color w:val="auto"/>
              </w:rPr>
            </w:pPr>
          </w:p>
        </w:tc>
      </w:tr>
      <w:tr>
        <w:trPr>
          <w:trHeight w:val="202"/>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rPr>
              <w:t>Margaret D. Townsend, Trustee of the David G.</w:t>
            </w: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8"/>
                <w:szCs w:val="18"/>
                <w:color w:val="auto"/>
                <w:w w:val="94"/>
              </w:rPr>
              <w:t>Townsend Family 2020 Generation-Skipping Trust</w:t>
            </w:r>
          </w:p>
        </w:tc>
        <w:tc>
          <w:tcPr>
            <w:tcW w:w="2980" w:type="dxa"/>
            <w:vAlign w:val="bottom"/>
            <w:gridSpan w:val="3"/>
          </w:tcPr>
          <w:p>
            <w:pPr>
              <w:jc w:val="right"/>
              <w:ind w:right="780"/>
              <w:spacing w:after="0"/>
              <w:rPr>
                <w:sz w:val="20"/>
                <w:szCs w:val="20"/>
                <w:color w:val="auto"/>
              </w:rPr>
            </w:pPr>
            <w:r>
              <w:rPr>
                <w:rFonts w:ascii="Arial" w:cs="Arial" w:eastAsia="Arial" w:hAnsi="Arial"/>
                <w:sz w:val="18"/>
                <w:szCs w:val="18"/>
                <w:color w:val="auto"/>
              </w:rPr>
              <w:t>100,484</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35,742</w:t>
            </w: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Susan Bradford Gilmore and Rick Wimmer, Trustees</w:t>
            </w:r>
          </w:p>
        </w:tc>
        <w:tc>
          <w:tcPr>
            <w:tcW w:w="7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the Martin Paul Gilmore 2020</w:t>
            </w:r>
          </w:p>
        </w:tc>
        <w:tc>
          <w:tcPr>
            <w:tcW w:w="29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84,304</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29,987</w:t>
            </w:r>
          </w:p>
        </w:tc>
        <w:tc>
          <w:tcPr>
            <w:tcW w:w="0" w:type="dxa"/>
            <w:vAlign w:val="bottom"/>
          </w:tcPr>
          <w:p>
            <w:pPr>
              <w:spacing w:after="0"/>
              <w:rPr>
                <w:sz w:val="1"/>
                <w:szCs w:val="1"/>
                <w:color w:val="auto"/>
              </w:rPr>
            </w:pPr>
          </w:p>
        </w:tc>
      </w:tr>
      <w:tr>
        <w:trPr>
          <w:trHeight w:val="202"/>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rPr>
              <w:t>Irrevocable Trust dated July 23, 2020 Thomas H.</w:t>
            </w: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Westbrook</w:t>
            </w:r>
          </w:p>
        </w:tc>
        <w:tc>
          <w:tcPr>
            <w:tcW w:w="2980" w:type="dxa"/>
            <w:vAlign w:val="bottom"/>
            <w:gridSpan w:val="3"/>
          </w:tcPr>
          <w:p>
            <w:pPr>
              <w:jc w:val="right"/>
              <w:ind w:right="780"/>
              <w:spacing w:after="0"/>
              <w:rPr>
                <w:sz w:val="20"/>
                <w:szCs w:val="20"/>
                <w:color w:val="auto"/>
              </w:rPr>
            </w:pPr>
            <w:r>
              <w:rPr>
                <w:rFonts w:ascii="Arial" w:cs="Arial" w:eastAsia="Arial" w:hAnsi="Arial"/>
                <w:sz w:val="18"/>
                <w:szCs w:val="18"/>
                <w:color w:val="auto"/>
              </w:rPr>
              <w:t>42,152</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14,994</w:t>
            </w: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Anne Rollins Westbrook, Trustee of the Thomas H.</w:t>
            </w:r>
          </w:p>
        </w:tc>
        <w:tc>
          <w:tcPr>
            <w:tcW w:w="7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Westbrook 2012 Irrevocable Trust dated Dec 11,</w:t>
            </w: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29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42,152</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14,994</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Michael Korengold</w:t>
            </w:r>
          </w:p>
        </w:tc>
        <w:tc>
          <w:tcPr>
            <w:tcW w:w="2980" w:type="dxa"/>
            <w:vAlign w:val="bottom"/>
            <w:gridSpan w:val="3"/>
          </w:tcPr>
          <w:p>
            <w:pPr>
              <w:jc w:val="right"/>
              <w:ind w:right="780"/>
              <w:spacing w:after="0"/>
              <w:rPr>
                <w:sz w:val="20"/>
                <w:szCs w:val="20"/>
                <w:color w:val="auto"/>
              </w:rPr>
            </w:pPr>
            <w:r>
              <w:rPr>
                <w:rFonts w:ascii="Arial" w:cs="Arial" w:eastAsia="Arial" w:hAnsi="Arial"/>
                <w:sz w:val="18"/>
                <w:szCs w:val="18"/>
                <w:color w:val="auto"/>
              </w:rPr>
              <w:t>16,088</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Korengold Family Associates, LLC</w:t>
            </w:r>
          </w:p>
        </w:tc>
        <w:tc>
          <w:tcPr>
            <w:tcW w:w="29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91,365</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32,499</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MK Note Holdings, LLC</w:t>
            </w:r>
          </w:p>
        </w:tc>
        <w:tc>
          <w:tcPr>
            <w:tcW w:w="2980" w:type="dxa"/>
            <w:vAlign w:val="bottom"/>
            <w:gridSpan w:val="3"/>
          </w:tcPr>
          <w:p>
            <w:pPr>
              <w:jc w:val="right"/>
              <w:ind w:right="780"/>
              <w:spacing w:after="0"/>
              <w:rPr>
                <w:sz w:val="20"/>
                <w:szCs w:val="20"/>
                <w:color w:val="auto"/>
              </w:rPr>
            </w:pPr>
            <w:r>
              <w:rPr>
                <w:rFonts w:ascii="Arial" w:cs="Arial" w:eastAsia="Arial" w:hAnsi="Arial"/>
                <w:sz w:val="18"/>
                <w:szCs w:val="18"/>
                <w:color w:val="auto"/>
              </w:rPr>
              <w:t>31,596</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Shane McCarthy</w:t>
            </w:r>
          </w:p>
        </w:tc>
        <w:tc>
          <w:tcPr>
            <w:tcW w:w="29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58,044</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20,646</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Richard Montgomery</w:t>
            </w:r>
          </w:p>
        </w:tc>
        <w:tc>
          <w:tcPr>
            <w:tcW w:w="2980" w:type="dxa"/>
            <w:vAlign w:val="bottom"/>
            <w:gridSpan w:val="3"/>
          </w:tcPr>
          <w:p>
            <w:pPr>
              <w:jc w:val="right"/>
              <w:ind w:right="780"/>
              <w:spacing w:after="0"/>
              <w:rPr>
                <w:sz w:val="20"/>
                <w:szCs w:val="20"/>
                <w:color w:val="auto"/>
              </w:rPr>
            </w:pPr>
            <w:r>
              <w:rPr>
                <w:rFonts w:ascii="Arial" w:cs="Arial" w:eastAsia="Arial" w:hAnsi="Arial"/>
                <w:sz w:val="18"/>
                <w:szCs w:val="18"/>
                <w:color w:val="auto"/>
              </w:rPr>
              <w:t>48,370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17,205</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Huston</w:t>
            </w:r>
          </w:p>
        </w:tc>
        <w:tc>
          <w:tcPr>
            <w:tcW w:w="29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1,016</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Mark Slusar</w:t>
            </w:r>
          </w:p>
        </w:tc>
        <w:tc>
          <w:tcPr>
            <w:tcW w:w="2980" w:type="dxa"/>
            <w:vAlign w:val="bottom"/>
            <w:gridSpan w:val="3"/>
          </w:tcPr>
          <w:p>
            <w:pPr>
              <w:jc w:val="right"/>
              <w:ind w:right="780"/>
              <w:spacing w:after="0"/>
              <w:rPr>
                <w:sz w:val="20"/>
                <w:szCs w:val="20"/>
                <w:color w:val="auto"/>
              </w:rPr>
            </w:pPr>
            <w:r>
              <w:rPr>
                <w:rFonts w:ascii="Arial" w:cs="Arial" w:eastAsia="Arial" w:hAnsi="Arial"/>
                <w:sz w:val="18"/>
                <w:szCs w:val="18"/>
                <w:color w:val="auto"/>
              </w:rPr>
              <w:t>5,804</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980" w:type="dxa"/>
            <w:vAlign w:val="bottom"/>
            <w:gridSpan w:val="3"/>
          </w:tcPr>
          <w:p>
            <w:pPr>
              <w:jc w:val="right"/>
              <w:ind w:right="2680"/>
              <w:spacing w:after="0"/>
              <w:rPr>
                <w:sz w:val="20"/>
                <w:szCs w:val="20"/>
                <w:color w:val="auto"/>
              </w:rPr>
            </w:pPr>
            <w:r>
              <w:rPr>
                <w:rFonts w:ascii="Arial" w:cs="Arial" w:eastAsia="Arial" w:hAnsi="Arial"/>
                <w:sz w:val="18"/>
                <w:szCs w:val="18"/>
                <w:color w:val="auto"/>
              </w:rPr>
              <w:t>I-1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324" w:type="dxa"/>
        <w:tblCellMar>
          <w:top w:w="0" w:type="dxa"/>
          <w:left w:w="0" w:type="dxa"/>
          <w:bottom w:w="0" w:type="dxa"/>
          <w:right w:w="0" w:type="dxa"/>
        </w:tblCellMar>
      </w:tblP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Schedule I-B</w:t>
            </w: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National Christian Charitable Foundation</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293,221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Christopher N. Jones 2014 Revocable Trust dated</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52,500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March 10, 2014</w:t>
            </w: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MAW Management Co.</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11,657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TrueBridge Colonial Fund, u/a dated 11/15/2015</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818,016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344,344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Triangle Community Foundation</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150,050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5760" w:type="dxa"/>
            <w:vAlign w:val="bottom"/>
          </w:tcPr>
          <w:p>
            <w:pPr>
              <w:spacing w:after="0" w:line="201" w:lineRule="exact"/>
              <w:rPr>
                <w:sz w:val="20"/>
                <w:szCs w:val="20"/>
                <w:color w:val="auto"/>
              </w:rPr>
            </w:pPr>
            <w:r>
              <w:rPr>
                <w:rFonts w:ascii="Arial" w:cs="Arial" w:eastAsia="Arial" w:hAnsi="Arial"/>
                <w:sz w:val="18"/>
                <w:szCs w:val="18"/>
                <w:color w:val="auto"/>
              </w:rPr>
              <w:t>Alliance Trust Company, Trustee of Mel Williams Irrevocable</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Trust u/a/d August 12, 2015</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956,409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340,197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TrueBridge Ascent LLC</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19,348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6,882</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APMK Holdings, LLC</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15,000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5,336</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Paul Kasper</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12,528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VCPE III</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85,348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30,359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Chaparral LLC</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26,772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9,523</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Mark Hood</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19,031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1,969</w:t>
            </w: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Schedule I-C</w:t>
            </w: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Trident V, L.P. (b)</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77,605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27,604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Trident V Parallel Fund, L.P. (b)</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54,432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19,362</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Trident V Professionals Fund, L.P. (b)</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3,399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1,209</w:t>
            </w:r>
          </w:p>
        </w:tc>
      </w:tr>
      <w:tr>
        <w:trPr>
          <w:trHeight w:val="27"/>
        </w:trPr>
        <w:tc>
          <w:tcPr>
            <w:tcW w:w="5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7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w w:val="94"/>
              </w:rPr>
              <w:t>8,500,000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3,000,000</w:t>
            </w:r>
          </w:p>
        </w:tc>
      </w:tr>
      <w:tr>
        <w:trPr>
          <w:trHeight w:val="20"/>
        </w:trPr>
        <w:tc>
          <w:tcPr>
            <w:tcW w:w="5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720"/>
        <w:spacing w:after="0" w:line="277" w:lineRule="auto"/>
        <w:rPr>
          <w:sz w:val="20"/>
          <w:szCs w:val="20"/>
          <w:color w:val="auto"/>
        </w:rPr>
      </w:pPr>
      <w:r>
        <w:rPr>
          <w:rFonts w:ascii="Arial" w:cs="Arial" w:eastAsia="Arial" w:hAnsi="Arial"/>
          <w:sz w:val="18"/>
          <w:szCs w:val="18"/>
          <w:i w:val="1"/>
          <w:iCs w:val="1"/>
          <w:color w:val="auto"/>
        </w:rPr>
        <w:t>Unless otherwise specified, the Selling Shareholders above are represented by Olshan Frome Wolosky LLP for purposes of Section 6(d) of the Underwriting Agreement</w:t>
      </w:r>
    </w:p>
    <w:p>
      <w:pPr>
        <w:spacing w:after="0" w:line="76" w:lineRule="exact"/>
        <w:rPr>
          <w:sz w:val="20"/>
          <w:szCs w:val="20"/>
          <w:color w:val="auto"/>
        </w:rPr>
      </w:pPr>
    </w:p>
    <w:p>
      <w:pPr>
        <w:ind w:left="424" w:hanging="424"/>
        <w:spacing w:after="0"/>
        <w:tabs>
          <w:tab w:leader="none" w:pos="424" w:val="left"/>
        </w:tabs>
        <w:numPr>
          <w:ilvl w:val="0"/>
          <w:numId w:val="67"/>
        </w:numPr>
        <w:rPr>
          <w:rFonts w:ascii="Arial" w:cs="Arial" w:eastAsia="Arial" w:hAnsi="Arial"/>
          <w:sz w:val="17"/>
          <w:szCs w:val="17"/>
          <w:i w:val="1"/>
          <w:iCs w:val="1"/>
          <w:color w:val="auto"/>
        </w:rPr>
      </w:pPr>
      <w:r>
        <w:rPr>
          <w:rFonts w:ascii="Arial" w:cs="Arial" w:eastAsia="Arial" w:hAnsi="Arial"/>
          <w:sz w:val="17"/>
          <w:szCs w:val="17"/>
          <w:i w:val="1"/>
          <w:iCs w:val="1"/>
          <w:color w:val="auto"/>
        </w:rPr>
        <w:t>The Selling Shareholder is represented by Gibson, Dunn &amp; Crutcher LLP for purposes of Section 6(d) of the Underwriting Agreement.</w:t>
      </w:r>
    </w:p>
    <w:p>
      <w:pPr>
        <w:spacing w:after="0" w:line="263" w:lineRule="exact"/>
        <w:rPr>
          <w:rFonts w:ascii="Arial" w:cs="Arial" w:eastAsia="Arial" w:hAnsi="Arial"/>
          <w:sz w:val="17"/>
          <w:szCs w:val="17"/>
          <w:i w:val="1"/>
          <w:iCs w:val="1"/>
          <w:color w:val="auto"/>
        </w:rPr>
      </w:pPr>
    </w:p>
    <w:p>
      <w:pPr>
        <w:ind w:left="424" w:hanging="424"/>
        <w:spacing w:after="0" w:line="277" w:lineRule="auto"/>
        <w:tabs>
          <w:tab w:leader="none" w:pos="424"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The Selling Shareholder is represented by each of Kramer Levin Naftalis &amp; Frankel LLP and Walkers (Cayman) LLP for purposes of Section 6(d) of the Underwriting Agreement</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0924"/>
          </w:cols>
          <w:pgMar w:left="436" w:top="288" w:right="5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40" w:type="dxa"/>
            <w:vAlign w:val="bottom"/>
            <w:gridSpan w:val="3"/>
          </w:tcPr>
          <w:p>
            <w:pPr>
              <w:ind w:left="4220"/>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369"/>
        </w:trPr>
        <w:tc>
          <w:tcPr>
            <w:tcW w:w="562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rPr>
              <w:t>Underwriter</w:t>
            </w:r>
          </w:p>
        </w:tc>
        <w:tc>
          <w:tcPr>
            <w:tcW w:w="54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Number of Firm Shares To</w:t>
            </w:r>
          </w:p>
        </w:tc>
        <w:tc>
          <w:tcPr>
            <w:tcW w:w="0" w:type="dxa"/>
            <w:vAlign w:val="bottom"/>
          </w:tcPr>
          <w:p>
            <w:pPr>
              <w:spacing w:after="0"/>
              <w:rPr>
                <w:sz w:val="1"/>
                <w:szCs w:val="1"/>
                <w:color w:val="auto"/>
              </w:rPr>
            </w:pPr>
          </w:p>
        </w:tc>
      </w:tr>
      <w:tr>
        <w:trPr>
          <w:trHeight w:val="185"/>
        </w:trPr>
        <w:tc>
          <w:tcPr>
            <w:tcW w:w="5620" w:type="dxa"/>
            <w:vAlign w:val="bottom"/>
            <w:gridSpan w:val="2"/>
            <w:vMerge w:val="continue"/>
          </w:tcPr>
          <w:p>
            <w:pPr>
              <w:spacing w:after="0"/>
              <w:rPr>
                <w:sz w:val="16"/>
                <w:szCs w:val="16"/>
                <w:color w:val="auto"/>
              </w:rPr>
            </w:pPr>
          </w:p>
        </w:tc>
        <w:tc>
          <w:tcPr>
            <w:tcW w:w="54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95"/>
        </w:trPr>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Morgan Stanley &amp; Co. LLC</w:t>
            </w:r>
          </w:p>
        </w:tc>
        <w:tc>
          <w:tcPr>
            <w:tcW w:w="100" w:type="dxa"/>
            <w:vAlign w:val="bottom"/>
          </w:tcPr>
          <w:p>
            <w:pPr>
              <w:spacing w:after="0"/>
              <w:rPr>
                <w:sz w:val="16"/>
                <w:szCs w:val="16"/>
                <w:color w:val="auto"/>
              </w:rPr>
            </w:pPr>
          </w:p>
        </w:tc>
        <w:tc>
          <w:tcPr>
            <w:tcW w:w="5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7,500,000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5420" w:type="dxa"/>
            <w:vAlign w:val="bottom"/>
            <w:gridSpan w:val="2"/>
          </w:tcPr>
          <w:p>
            <w:pPr>
              <w:jc w:val="right"/>
              <w:ind w:right="20"/>
              <w:spacing w:after="0"/>
              <w:rPr>
                <w:sz w:val="20"/>
                <w:szCs w:val="20"/>
                <w:color w:val="auto"/>
              </w:rPr>
            </w:pPr>
            <w:r>
              <w:rPr>
                <w:rFonts w:ascii="Arial" w:cs="Arial" w:eastAsia="Arial" w:hAnsi="Arial"/>
                <w:sz w:val="18"/>
                <w:szCs w:val="18"/>
                <w:color w:val="auto"/>
              </w:rPr>
              <w:t>6,500,000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5420" w:type="dxa"/>
            <w:vAlign w:val="bottom"/>
            <w:gridSpan w:val="2"/>
          </w:tcPr>
          <w:p>
            <w:pPr>
              <w:jc w:val="right"/>
              <w:ind w:right="20"/>
              <w:spacing w:after="0"/>
              <w:rPr>
                <w:sz w:val="20"/>
                <w:szCs w:val="20"/>
                <w:color w:val="auto"/>
              </w:rPr>
            </w:pPr>
            <w:r>
              <w:rPr>
                <w:rFonts w:ascii="Arial" w:cs="Arial" w:eastAsia="Arial" w:hAnsi="Arial"/>
                <w:sz w:val="18"/>
                <w:szCs w:val="18"/>
                <w:color w:val="auto"/>
              </w:rPr>
              <w:t>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5420" w:type="dxa"/>
            <w:vAlign w:val="bottom"/>
            <w:gridSpan w:val="2"/>
          </w:tcPr>
          <w:p>
            <w:pPr>
              <w:jc w:val="right"/>
              <w:ind w:right="20"/>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5420" w:type="dxa"/>
            <w:vAlign w:val="bottom"/>
            <w:gridSpan w:val="2"/>
          </w:tcPr>
          <w:p>
            <w:pPr>
              <w:jc w:val="right"/>
              <w:ind w:right="20"/>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Oppenheimer &amp; Co. Inc.</w:t>
            </w:r>
          </w:p>
        </w:tc>
        <w:tc>
          <w:tcPr>
            <w:tcW w:w="5420" w:type="dxa"/>
            <w:vAlign w:val="bottom"/>
            <w:gridSpan w:val="2"/>
          </w:tcPr>
          <w:p>
            <w:pPr>
              <w:jc w:val="right"/>
              <w:ind w:right="20"/>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Stephens Inc.</w:t>
            </w:r>
          </w:p>
        </w:tc>
        <w:tc>
          <w:tcPr>
            <w:tcW w:w="5420" w:type="dxa"/>
            <w:vAlign w:val="bottom"/>
            <w:gridSpan w:val="2"/>
          </w:tcPr>
          <w:p>
            <w:pPr>
              <w:jc w:val="right"/>
              <w:ind w:right="20"/>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spacing w:after="0"/>
              <w:rPr>
                <w:sz w:val="20"/>
                <w:szCs w:val="20"/>
                <w:color w:val="auto"/>
              </w:rPr>
            </w:pPr>
            <w:r>
              <w:rPr>
                <w:rFonts w:ascii="Arial" w:cs="Arial" w:eastAsia="Arial" w:hAnsi="Arial"/>
                <w:sz w:val="18"/>
                <w:szCs w:val="18"/>
                <w:color w:val="auto"/>
              </w:rPr>
              <w:t>East West Markets, LLC</w:t>
            </w:r>
          </w:p>
        </w:tc>
        <w:tc>
          <w:tcPr>
            <w:tcW w:w="5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5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20,000,000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0"/>
          </w:cols>
          <w:pgMar w:left="440" w:top="270" w:right="4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Reorganization Documents</w:t>
      </w:r>
      <w:r>
        <w:rPr>
          <w:rFonts w:ascii="Arial" w:cs="Arial" w:eastAsia="Arial" w:hAnsi="Arial"/>
          <w:sz w:val="18"/>
          <w:szCs w:val="18"/>
          <w:color w:val="auto"/>
        </w:rPr>
        <w:t>:</w:t>
      </w:r>
    </w:p>
    <w:p>
      <w:pPr>
        <w:spacing w:after="0" w:line="131" w:lineRule="exact"/>
        <w:rPr>
          <w:sz w:val="20"/>
          <w:szCs w:val="20"/>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P10, Inc. Amended and Restated Charter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P10, Inc. Amended and Restated Bylaws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P10 Holdings, Inc. Amended and Restated Charter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P10 Holdings, Inc. Amended and Restated Bylaws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Fourth Amended and Restated Limited Liability Company Agreement of P10 Intermediate Holdings LLC</w:t>
      </w:r>
    </w:p>
    <w:p>
      <w:pPr>
        <w:spacing w:after="0" w:line="130" w:lineRule="exact"/>
        <w:rPr>
          <w:rFonts w:ascii="Arial" w:cs="Arial" w:eastAsia="Arial" w:hAnsi="Arial"/>
          <w:sz w:val="18"/>
          <w:szCs w:val="18"/>
          <w:color w:val="auto"/>
        </w:rPr>
      </w:pPr>
    </w:p>
    <w:p>
      <w:pPr>
        <w:ind w:left="960" w:right="260" w:hanging="532"/>
        <w:spacing w:after="0" w:line="263"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Agreement and Plan of Merger, entered into as of October 20, 2021, by and among P10 Intermediate Holdings LLC, a Delaware limited liability company, P10, Inc., a Delaware corporation, and Tiger Merger Sub LLC, a Delaware limited liability company and a direct, wholly owned subsidiary of P10 Holdings, Inc., a Delaware corporation.</w:t>
      </w:r>
    </w:p>
    <w:p>
      <w:pPr>
        <w:spacing w:after="0" w:line="89"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Agreement and Plan of Merger, entered into as of October 20, 2021, by and among P10 Holdings, Inc., a Delaware corporation, P10, Inc., a Delaware corporation and a direct, wholly owned subsidiary of the Company, and Tiger Merger Sub Corp., a Delaware corporation and a direct, wholly owned subsidiary of P10, Inc.</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Certificate of Merger of Tiger Merger Sub Corp. with and into P10 Holdings, Inc.</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Certificate of Merger of Tiger Merger Sub LLC with and into P10 Intermediate Holdings LLC</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Corporate Unit Transfer and Contribution Agreement, made as of October 20, 2021, by and between P10, Inc. and P10 Holdings, Inc.</w:t>
      </w:r>
    </w:p>
    <w:p>
      <w:pPr>
        <w:spacing w:after="0" w:line="142" w:lineRule="exact"/>
        <w:rPr>
          <w:rFonts w:ascii="Arial" w:cs="Arial" w:eastAsia="Arial" w:hAnsi="Arial"/>
          <w:sz w:val="17"/>
          <w:szCs w:val="17"/>
          <w:color w:val="auto"/>
        </w:rPr>
      </w:pPr>
    </w:p>
    <w:p>
      <w:pPr>
        <w:ind w:left="960" w:right="280" w:hanging="532"/>
        <w:spacing w:after="0" w:line="277"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LLC Merger Sub Unit Transfer and Distribution Agreement, made as of October 20, 2021, by and between P10, Inc. and P10 Holdings, Inc.</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P10, Inc. Stockholders Agreement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P10, Inc. NYSE Controlled Company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11020"/>
          </w:cols>
          <w:pgMar w:left="440" w:top="270" w:right="4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Preliminary Prospectus issued October 12, 2021</w:t>
      </w:r>
    </w:p>
    <w:p>
      <w:pPr>
        <w:spacing w:after="0" w:line="130" w:lineRule="exact"/>
        <w:rPr>
          <w:rFonts w:ascii="Arial" w:cs="Arial" w:eastAsia="Arial" w:hAnsi="Arial"/>
          <w:sz w:val="18"/>
          <w:szCs w:val="18"/>
          <w:color w:val="auto"/>
        </w:rPr>
      </w:pPr>
    </w:p>
    <w:p>
      <w:pPr>
        <w:ind w:left="864" w:right="4260" w:hanging="864"/>
        <w:spacing w:after="0" w:line="383" w:lineRule="auto"/>
        <w:tabs>
          <w:tab w:leader="none" w:pos="433" w:val="left"/>
        </w:tabs>
        <w:numPr>
          <w:ilvl w:val="0"/>
          <w:numId w:val="69"/>
        </w:numPr>
        <w:rPr>
          <w:rFonts w:ascii="Arial" w:cs="Arial" w:eastAsia="Arial" w:hAnsi="Arial"/>
          <w:sz w:val="18"/>
          <w:szCs w:val="18"/>
          <w:color w:val="auto"/>
        </w:rPr>
      </w:pPr>
      <w:r>
        <w:rPr>
          <w:rFonts w:ascii="Arial" w:cs="Arial" w:eastAsia="Arial" w:hAnsi="Arial"/>
          <w:sz w:val="18"/>
          <w:szCs w:val="18"/>
          <w:color w:val="auto"/>
        </w:rPr>
        <w:t>Free writing prospectuses filed by the Company under Rule 433(d) of the Securities Act None</w:t>
      </w: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Written Testing-the-Waters Communications</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ind w:left="424" w:hanging="424"/>
        <w:spacing w:after="0"/>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Pricing information provided orally by the Underwriters</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The initial public offering price per share for the Shares is $12.00.</w:t>
      </w:r>
    </w:p>
    <w:p>
      <w:pPr>
        <w:spacing w:after="0" w:line="2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The number of Firm Shares purchased by the Underwriters is 20,000,000.</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The number of Optional Shares to be sold by the Company at the option of the Underwriters is 3,000,000.</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11024"/>
          </w:cols>
          <w:pgMar w:left="436" w:top="270" w:right="4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_____________, 20__</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representatives (the “Representatives”) of the several Underwriters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named in Schedule II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undersigned understands that Morgan Stanley &amp; Co. LLC, J.P. Morgan Securities LLC and Barclays Capital Inc. (collectively,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Representatives</w:t>
      </w:r>
      <w:r>
        <w:rPr>
          <w:rFonts w:ascii="Arial" w:cs="Arial" w:eastAsia="Arial" w:hAnsi="Arial"/>
          <w:sz w:val="17"/>
          <w:szCs w:val="17"/>
          <w:color w:val="auto"/>
        </w:rPr>
        <w:t>”) propose to enter into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P10, Inc., a Delaware corporation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by the several Underwriters, including the Representatives, listed on Schedule II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Underwriting Agreement, including Morgan Stanley (the “</w:t>
      </w:r>
      <w:r>
        <w:rPr>
          <w:rFonts w:ascii="Arial" w:cs="Arial" w:eastAsia="Arial" w:hAnsi="Arial"/>
          <w:sz w:val="17"/>
          <w:szCs w:val="17"/>
          <w:b w:val="1"/>
          <w:bCs w:val="1"/>
          <w:color w:val="auto"/>
        </w:rPr>
        <w:t>Underwriters</w:t>
      </w:r>
      <w:r>
        <w:rPr>
          <w:rFonts w:ascii="Arial" w:cs="Arial" w:eastAsia="Arial" w:hAnsi="Arial"/>
          <w:sz w:val="17"/>
          <w:szCs w:val="17"/>
          <w:color w:val="auto"/>
        </w:rPr>
        <w:t>”), of ___ shares (the “</w:t>
      </w:r>
      <w:r>
        <w:rPr>
          <w:rFonts w:ascii="Arial" w:cs="Arial" w:eastAsia="Arial" w:hAnsi="Arial"/>
          <w:sz w:val="17"/>
          <w:szCs w:val="17"/>
          <w:b w:val="1"/>
          <w:bCs w:val="1"/>
          <w:color w:val="auto"/>
        </w:rPr>
        <w:t>Shares</w:t>
      </w:r>
      <w:r>
        <w:rPr>
          <w:rFonts w:ascii="Arial" w:cs="Arial" w:eastAsia="Arial" w:hAnsi="Arial"/>
          <w:sz w:val="17"/>
          <w:szCs w:val="17"/>
          <w:color w:val="auto"/>
        </w:rPr>
        <w:t>”) of Class A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of the Company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The undersigned further understands that, in connection with the Public Offering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Shares, the Company will be authorized to issue in addition to the Class A Common Stock shares of its Class B Common Stock, par value $0.001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share (the “</w:t>
      </w:r>
      <w:r>
        <w:rPr>
          <w:rFonts w:ascii="Arial" w:cs="Arial" w:eastAsia="Arial" w:hAnsi="Arial"/>
          <w:sz w:val="16"/>
          <w:szCs w:val="16"/>
          <w:b w:val="1"/>
          <w:bCs w:val="1"/>
          <w:color w:val="auto"/>
        </w:rPr>
        <w:t>Class B Common Stock</w:t>
      </w:r>
      <w:r>
        <w:rPr>
          <w:rFonts w:ascii="Arial" w:cs="Arial" w:eastAsia="Arial" w:hAnsi="Arial"/>
          <w:sz w:val="16"/>
          <w:szCs w:val="16"/>
          <w:color w:val="auto"/>
        </w:rPr>
        <w:t>” and, together with the Class A Common Stock, the “</w:t>
      </w:r>
      <w:r>
        <w:rPr>
          <w:rFonts w:ascii="Arial" w:cs="Arial" w:eastAsia="Arial" w:hAnsi="Arial"/>
          <w:sz w:val="16"/>
          <w:szCs w:val="16"/>
          <w:b w:val="1"/>
          <w:bCs w:val="1"/>
          <w:color w:val="auto"/>
        </w:rPr>
        <w:t>Common Stock</w:t>
      </w:r>
      <w:r>
        <w:rPr>
          <w:rFonts w:ascii="Arial" w:cs="Arial" w:eastAsia="Arial" w:hAnsi="Arial"/>
          <w:sz w:val="16"/>
          <w:szCs w:val="16"/>
          <w:color w:val="auto"/>
        </w:rPr>
        <w:t>”). Any capitalized term used but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herein shall have the meaning ascribed to such term in the Underwriting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IV-2</w:t>
      </w:r>
    </w:p>
    <w:p>
      <w:pPr>
        <w:sectPr>
          <w:pgSz w:w="11900" w:h="16838" w:orient="portrait"/>
          <w:cols w:equalWidth="0" w:num="1">
            <w:col w:w="11020"/>
          </w:cols>
          <w:pgMar w:left="440" w:top="270" w:right="439" w:bottom="1440" w:gutter="0" w:footer="0" w:header="0"/>
        </w:sectPr>
      </w:pPr>
    </w:p>
    <w:bookmarkStart w:id="61" w:name="page62"/>
    <w:bookmarkEnd w:id="61"/>
    <w:p>
      <w:pPr>
        <w:ind w:left="4" w:right="10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induce the Underwriters that may participate in the Public Offering to continue their efforts in connection with the Public Offering, the undersigned hereby agrees that, without the prior written consent of the Representatives on behalf of the Underwriters, it will not, and will not publicly disclose an intention to, during the period commencing on the date hereof and ending 180 days after the date of the final prospectus (the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w:t>
      </w:r>
      <w:r>
        <w:rPr>
          <w:rFonts w:ascii="Arial" w:cs="Arial" w:eastAsia="Arial" w:hAnsi="Arial"/>
          <w:sz w:val="16"/>
          <w:szCs w:val="16"/>
          <w:b w:val="1"/>
          <w:bCs w:val="1"/>
          <w:color w:val="auto"/>
        </w:rPr>
        <w:t xml:space="preserve"> </w:t>
      </w:r>
      <w:r>
        <w:rPr>
          <w:rFonts w:ascii="Arial" w:cs="Arial" w:eastAsia="Arial" w:hAnsi="Arial"/>
          <w:sz w:val="16"/>
          <w:szCs w:val="16"/>
          <w:color w:val="auto"/>
        </w:rPr>
        <w:t>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 convertible into or exercisable or exchangeable for Common Stock (collectively, the “</w:t>
      </w:r>
      <w:r>
        <w:rPr>
          <w:rFonts w:ascii="Arial" w:cs="Arial" w:eastAsia="Arial" w:hAnsi="Arial"/>
          <w:sz w:val="16"/>
          <w:szCs w:val="16"/>
          <w:b w:val="1"/>
          <w:bCs w:val="1"/>
          <w:color w:val="auto"/>
        </w:rPr>
        <w:t>Securities</w:t>
      </w:r>
      <w:r>
        <w:rPr>
          <w:rFonts w:ascii="Arial" w:cs="Arial" w:eastAsia="Arial" w:hAnsi="Arial"/>
          <w:sz w:val="16"/>
          <w:szCs w:val="16"/>
          <w:color w:val="auto"/>
        </w:rPr>
        <w:t>”) or</w:t>
      </w:r>
    </w:p>
    <w:p>
      <w:pPr>
        <w:spacing w:after="0" w:line="2" w:lineRule="exact"/>
        <w:rPr>
          <w:sz w:val="20"/>
          <w:szCs w:val="20"/>
          <w:color w:val="auto"/>
        </w:rPr>
      </w:pPr>
    </w:p>
    <w:p>
      <w:pPr>
        <w:ind w:left="4" w:right="160" w:hanging="4"/>
        <w:spacing w:after="0" w:line="252" w:lineRule="auto"/>
        <w:tabs>
          <w:tab w:leader="none" w:pos="2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Securities, whether any such transaction described in clause (1) or (2) above is to be settled by delivery of Common Stock or any such other securities, in cash or otherwise. The undersigned acknowledges and agrees that the foregoing precludes the undersigned from engaging in any hedging or other transactions designed or intended, or which could reasonably be expected to lead to or result in, sale or disposition of any shares of Common Stock or any Securities, even if any such sale or disposition transaction or transactions would be made or executed by or on behalf of someone other than the undersigned.</w:t>
      </w:r>
    </w:p>
    <w:p>
      <w:pPr>
        <w:spacing w:after="0" w:line="19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restrictions described above do not apply to:</w:t>
      </w:r>
    </w:p>
    <w:p>
      <w:pPr>
        <w:spacing w:after="0" w:line="117" w:lineRule="exact"/>
        <w:rPr>
          <w:sz w:val="20"/>
          <w:szCs w:val="20"/>
          <w:color w:val="auto"/>
        </w:rPr>
      </w:pPr>
    </w:p>
    <w:p>
      <w:pPr>
        <w:ind w:left="684" w:hanging="244"/>
        <w:spacing w:after="0"/>
        <w:tabs>
          <w:tab w:leader="none" w:pos="684" w:val="left"/>
        </w:tabs>
        <w:numPr>
          <w:ilvl w:val="1"/>
          <w:numId w:val="72"/>
        </w:numPr>
        <w:rPr>
          <w:rFonts w:ascii="Arial" w:cs="Arial" w:eastAsia="Arial" w:hAnsi="Arial"/>
          <w:sz w:val="16"/>
          <w:szCs w:val="16"/>
          <w:color w:val="auto"/>
        </w:rPr>
      </w:pPr>
      <w:r>
        <w:rPr>
          <w:rFonts w:ascii="Arial" w:cs="Arial" w:eastAsia="Arial" w:hAnsi="Arial"/>
          <w:sz w:val="16"/>
          <w:szCs w:val="16"/>
          <w:color w:val="auto"/>
        </w:rPr>
        <w:t>transactions relating to shares of Common Stock or other securities acquired in open market transactions after the completion of the Public</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Offering;</w:t>
      </w:r>
    </w:p>
    <w:p>
      <w:pPr>
        <w:spacing w:after="0" w:line="210" w:lineRule="exact"/>
        <w:rPr>
          <w:rFonts w:ascii="Arial" w:cs="Arial" w:eastAsia="Arial" w:hAnsi="Arial"/>
          <w:sz w:val="16"/>
          <w:szCs w:val="16"/>
          <w:color w:val="auto"/>
        </w:rPr>
      </w:pPr>
    </w:p>
    <w:p>
      <w:pPr>
        <w:ind w:left="704" w:hanging="264"/>
        <w:spacing w:after="0"/>
        <w:tabs>
          <w:tab w:leader="none" w:pos="70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transfers of Securities as a charitable contribution;</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72"/>
        </w:numPr>
        <w:rPr>
          <w:rFonts w:ascii="Arial" w:cs="Arial" w:eastAsia="Arial" w:hAnsi="Arial"/>
          <w:sz w:val="17"/>
          <w:szCs w:val="17"/>
          <w:color w:val="auto"/>
        </w:rPr>
      </w:pPr>
      <w:r>
        <w:rPr>
          <w:rFonts w:ascii="Arial" w:cs="Arial" w:eastAsia="Arial" w:hAnsi="Arial"/>
          <w:sz w:val="17"/>
          <w:szCs w:val="17"/>
          <w:color w:val="auto"/>
        </w:rPr>
        <w:t>issuances, transfers, redemptions or exchanges in connection with the Reorganization Transactions on or prior to the Closing Date.;</w:t>
      </w:r>
    </w:p>
    <w:p>
      <w:pPr>
        <w:spacing w:after="0" w:line="236" w:lineRule="exact"/>
        <w:rPr>
          <w:rFonts w:ascii="Arial" w:cs="Arial" w:eastAsia="Arial" w:hAnsi="Arial"/>
          <w:sz w:val="17"/>
          <w:szCs w:val="17"/>
          <w:color w:val="auto"/>
        </w:rPr>
      </w:pPr>
    </w:p>
    <w:p>
      <w:pPr>
        <w:ind w:left="704" w:hanging="264"/>
        <w:spacing w:after="0"/>
        <w:tabs>
          <w:tab w:leader="none" w:pos="70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transfers upon the death of the undersigned, by will or intestacy, including to the transferee’s nominee or custodian;</w:t>
      </w:r>
    </w:p>
    <w:p>
      <w:pPr>
        <w:spacing w:after="0" w:line="225" w:lineRule="exact"/>
        <w:rPr>
          <w:rFonts w:ascii="Arial" w:cs="Arial" w:eastAsia="Arial" w:hAnsi="Arial"/>
          <w:sz w:val="18"/>
          <w:szCs w:val="18"/>
          <w:color w:val="auto"/>
        </w:rPr>
      </w:pPr>
    </w:p>
    <w:p>
      <w:pPr>
        <w:ind w:left="664" w:hanging="224"/>
        <w:spacing w:after="0"/>
        <w:tabs>
          <w:tab w:leader="none" w:pos="664"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distributions of Securities to limited partners or stockholders of the undersigned;</w:t>
      </w:r>
    </w:p>
    <w:p>
      <w:pPr>
        <w:spacing w:after="0" w:line="225" w:lineRule="exact"/>
        <w:rPr>
          <w:rFonts w:ascii="Arial" w:cs="Arial" w:eastAsia="Arial" w:hAnsi="Arial"/>
          <w:sz w:val="18"/>
          <w:szCs w:val="18"/>
          <w:color w:val="auto"/>
        </w:rPr>
      </w:pPr>
    </w:p>
    <w:p>
      <w:pPr>
        <w:ind w:left="4" w:firstLine="436"/>
        <w:spacing w:after="0" w:line="291" w:lineRule="auto"/>
        <w:tabs>
          <w:tab w:leader="none" w:pos="699"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facilitating the establishment of a trading plan on behalf of a shareholder, officer or director of the Company pursuant to Rule 10b5-1 under the Exchange Act for the transfer of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Securities during the Restricted Period and</w:t>
      </w:r>
    </w:p>
    <w:p>
      <w:pPr>
        <w:ind w:left="4" w:hanging="4"/>
        <w:spacing w:after="0" w:line="255" w:lineRule="auto"/>
        <w:tabs>
          <w:tab w:leader="none" w:pos="26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Securities may be made under such plan during the Restricted Period;</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IV-3</w:t>
      </w:r>
    </w:p>
    <w:p>
      <w:pPr>
        <w:sectPr>
          <w:pgSz w:w="11900" w:h="16838" w:orient="portrait"/>
          <w:cols w:equalWidth="0" w:num="1">
            <w:col w:w="11004"/>
          </w:cols>
          <w:pgMar w:left="436" w:top="274" w:right="459" w:bottom="1440" w:gutter="0" w:footer="0" w:header="0"/>
        </w:sectPr>
      </w:pPr>
    </w:p>
    <w:bookmarkStart w:id="62" w:name="page63"/>
    <w:bookmarkEnd w:id="62"/>
    <w:p>
      <w:pPr>
        <w:ind w:firstLine="436"/>
        <w:spacing w:after="0" w:line="277"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transfer of Securities that occurs by operation of law pursuant to a qualified domestic order in connection with a divorce settlement or other court order;</w:t>
      </w:r>
    </w:p>
    <w:p>
      <w:pPr>
        <w:spacing w:after="0" w:line="170" w:lineRule="exact"/>
        <w:rPr>
          <w:rFonts w:ascii="Arial" w:cs="Arial" w:eastAsia="Arial" w:hAnsi="Arial"/>
          <w:sz w:val="18"/>
          <w:szCs w:val="18"/>
          <w:color w:val="auto"/>
        </w:rPr>
      </w:pPr>
    </w:p>
    <w:p>
      <w:pPr>
        <w:ind w:firstLine="436"/>
        <w:spacing w:after="0" w:line="311" w:lineRule="auto"/>
        <w:tabs>
          <w:tab w:leader="none" w:pos="655"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disposition to any trust the beneficiaries of which are the undersigned and/or immediate family members of the undersigned (for purposes of this agreement, except as explicitly provided otherwise herein, “immediate family” shall mean any spouse or domestic partner and relationship by blood, current or former marriage or adoption, not more remote than first cousin), or, if the undersigned is a trust, to any beneficiaries of the undersigned;</w:t>
      </w:r>
    </w:p>
    <w:p>
      <w:pPr>
        <w:spacing w:after="0" w:line="148" w:lineRule="exact"/>
        <w:rPr>
          <w:rFonts w:ascii="Arial" w:cs="Arial" w:eastAsia="Arial" w:hAnsi="Arial"/>
          <w:sz w:val="16"/>
          <w:szCs w:val="16"/>
          <w:color w:val="auto"/>
        </w:rPr>
      </w:pPr>
    </w:p>
    <w:p>
      <w:pPr>
        <w:ind w:right="860" w:firstLine="436"/>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transfers to an immediate family member of the undersigned or a trust formed for the benefit of an immediate family member of the undersigned;</w:t>
      </w:r>
    </w:p>
    <w:p>
      <w:pPr>
        <w:spacing w:after="0" w:line="170" w:lineRule="exact"/>
        <w:rPr>
          <w:rFonts w:ascii="Arial" w:cs="Arial" w:eastAsia="Arial" w:hAnsi="Arial"/>
          <w:sz w:val="18"/>
          <w:szCs w:val="18"/>
          <w:color w:val="auto"/>
        </w:rPr>
      </w:pPr>
    </w:p>
    <w:p>
      <w:pPr>
        <w:ind w:firstLine="436"/>
        <w:spacing w:after="0" w:line="254"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transfer to the Company upon a vesting event of the Company’s restricted stock units or upon the exercise of options to purchase the Company’s securities (x) on a “cashless” or “net exercise” basis (in each case to the extent permitted by the instruments representing such options or other securities), so long as such “cashless” exercise or “net exercise” is effected solely by the surrender to the Company of shares subject to outstanding options or other securities and the Company’s cancellation of all or a portion thereof solely in an amount sufficient to pay the exercise price (or the payment of taxes due as a result of such vesting event or exercise); provided that the shares of Common Stock received upon such vesting event or exercise shall continue to be subject to the terms of this agreement or (y) as a cash settle of any options being settled by the Company, in its sole discretion; or</w:t>
      </w:r>
    </w:p>
    <w:p>
      <w:pPr>
        <w:spacing w:after="0" w:line="194" w:lineRule="exact"/>
        <w:rPr>
          <w:rFonts w:ascii="Arial" w:cs="Arial" w:eastAsia="Arial" w:hAnsi="Arial"/>
          <w:sz w:val="18"/>
          <w:szCs w:val="18"/>
          <w:color w:val="auto"/>
        </w:rPr>
      </w:pPr>
    </w:p>
    <w:p>
      <w:pPr>
        <w:ind w:right="20" w:firstLine="436"/>
        <w:spacing w:after="0" w:line="271" w:lineRule="auto"/>
        <w:tabs>
          <w:tab w:leader="none" w:pos="6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transfer of shares of Securities in connection with a bona fide third-party tender offer, merger, consolidation or other similar transaction that is approved by the Board of Directors of the Company, made to all holders of Common Stock, involving a Change of Control (as defined below), provided that in the event that the tender offer, merger, consolidation or other such transaction is not completed, the Common Stock or Other Securities owned by the undersigned shall remain subject to the restrictions contained in this agreement. For the purposes of this clause (j), “Change of Control” means the transfer (whether by tender offer, merger, consolidation or other similar transaction), in one transaction or a series of related transactions, to a person or group of affiliated persons (other than the Underwriters pursuant to the Public Offering) of shares of Common Stock or Other Securities if, after such transfer, the stockholders of the Company immediately prior to such transfer do not own at least fifty percent (50%) of the outstanding voting securities of the Company (or the surviving entity);</w:t>
      </w:r>
    </w:p>
    <w:p>
      <w:pPr>
        <w:spacing w:after="0" w:line="17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that (A) in the case of any transfer or distribution pursuant to clause (d), (e), (f), (h), (i) or (j), each donee, transferee or distributee shall sign</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 a lock-up agreement substantially in the form of this agreement; (B) in the case of any transfer or distribution pursuant to clause (a), (b), (e), (f), (i) or (j), no public announcement or other filing under Section 16(a) of the Exchange Act, or any other public filing or disclosure reporting a reduction in beneficial ownership of shares of Common Stock, shall be required or shall be voluntarily made during the Restricted Period (other than a Form 5 in the case of clause (b)); and (C) in the case of any transfer pursuant to clause (d), (h) 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IV-4</w:t>
      </w:r>
    </w:p>
    <w:p>
      <w:pPr>
        <w:sectPr>
          <w:pgSz w:w="11900" w:h="16838" w:orient="portrait"/>
          <w:cols w:equalWidth="0" w:num="1">
            <w:col w:w="11000"/>
          </w:cols>
          <w:pgMar w:left="440" w:top="274" w:right="459" w:bottom="1440" w:gutter="0" w:footer="0" w:header="0"/>
        </w:sectPr>
      </w:pPr>
    </w:p>
    <w:bookmarkStart w:id="63" w:name="page64"/>
    <w:bookmarkEnd w:id="63"/>
    <w:p>
      <w:pPr>
        <w:ind w:right="3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 no public announcement or filing under Section 16(a) of the Exchange Act, or any other public filing or disclosure, shall be made during the Restricted Period, unless such filing is required and clearly indicates in the footnotes thereto that the transfer is (1) by bona fide gift, in the case of a transfer pursuant to clause (d), (2) by operation of law, court order, or in connection with a divorce settlement, as the case may be, in the case of a transfer pursuant to clause (h), or (3) pursuant to the circumstances described in clause (k).</w:t>
      </w:r>
    </w:p>
    <w:p>
      <w:pPr>
        <w:spacing w:after="0" w:line="17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In addition, the undersigned agrees that, without the prior written consent of the Representatives on behalf of the Underwriters, it will not, during the Restricted Period, make any demand for or exercise any right with respect to, the registration of any Securities. The undersigned also agrees and consents to the entry of stop transfer instructions with the Company’s transfer agent and registrar against the transfer of the undersigned’s Securities except in compliance with the foregoing restrictions.</w:t>
      </w:r>
    </w:p>
    <w:p>
      <w:pPr>
        <w:spacing w:after="0" w:line="187"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restrictions shall be equally applicable to any issuer-directed Shares the undersigned may purchase in the offering.</w:t>
      </w:r>
    </w:p>
    <w:p>
      <w:pPr>
        <w:spacing w:after="0" w:line="170"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If the undersigned is an officer or director of the Company, (i) the Representatives agree that, at least three business days before the effective date of any release or waiver of the foregoing restrictions in connection with a transfer of shares of Securities,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agreement to the extent and for the duration that such terms remain in effect at the time of the transfer.</w:t>
      </w:r>
    </w:p>
    <w:p>
      <w:pPr>
        <w:spacing w:after="0" w:line="17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IV-5</w:t>
      </w:r>
    </w:p>
    <w:p>
      <w:pPr>
        <w:sectPr>
          <w:pgSz w:w="11900" w:h="16838" w:orient="portrait"/>
          <w:cols w:equalWidth="0" w:num="1">
            <w:col w:w="10980"/>
          </w:cols>
          <w:pgMar w:left="440" w:top="274" w:right="479" w:bottom="1440" w:gutter="0" w:footer="0" w:header="0"/>
        </w:sectPr>
      </w:pPr>
    </w:p>
    <w:bookmarkStart w:id="64" w:name="page65"/>
    <w:bookmarkEnd w:id="64"/>
    <w:p>
      <w:pPr>
        <w:ind w:right="2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46"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Notwithstanding anything herein to the contrary, if (i) the closing of the Public Offering has not occurred prior to December 31, 2021, (ii) the registration statement related to the Public Offering is withdrawn prior to the execution of the Underwriting Agreement, or (iii) the Company notifies the Representatives or the Representatives notify the Company, in either case in writing prior to the execution of the Underwriting Agreement, that the notifying party does not intend to proceed with the Public Offering, this agreement shall automatically terminate and be of no further force or effect.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IV-6</w:t>
      </w:r>
    </w:p>
    <w:p>
      <w:pPr>
        <w:sectPr>
          <w:pgSz w:w="11900" w:h="16838" w:orient="portrait"/>
          <w:cols w:equalWidth="0" w:num="1">
            <w:col w:w="11000"/>
          </w:cols>
          <w:pgMar w:left="440" w:top="274" w:right="4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letter is being delivered [_] in connection with the offering by P10, Inc. (the “</w:t>
      </w:r>
      <w:r>
        <w:rPr>
          <w:rFonts w:ascii="Arial" w:cs="Arial" w:eastAsia="Arial" w:hAnsi="Arial"/>
          <w:sz w:val="16"/>
          <w:szCs w:val="16"/>
          <w:b w:val="1"/>
          <w:bCs w:val="1"/>
          <w:color w:val="auto"/>
        </w:rPr>
        <w:t>Company</w:t>
      </w:r>
      <w:r>
        <w:rPr>
          <w:rFonts w:ascii="Arial" w:cs="Arial" w:eastAsia="Arial" w:hAnsi="Arial"/>
          <w:sz w:val="16"/>
          <w:szCs w:val="16"/>
          <w:color w:val="auto"/>
        </w:rPr>
        <w:t>”) of _____ shares of Class A common stock, $0.001</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par value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and the lock-up agreement dated ____, 20__ (the “Lock-up Agreement”), executed by you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such offering, and your request for a [waiver] [release] dated ____, 20__, with respect to [_]_ shares of Common Stock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23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Morgan Stanley &amp; Co. LLC, J.P. Morgan Securities LLC and Barclays Capital Inc. agree to [waive] [release] the transfer restrictions set forth in the Lock-up Agreement, but only with respect to the Shares, effective _____, 20__; provided, however, that such [waiver] [release] is conditioned on the</w:t>
      </w:r>
    </w:p>
    <w:p>
      <w:pPr>
        <w:ind w:right="120"/>
        <w:spacing w:after="0" w:line="260" w:lineRule="auto"/>
        <w:rPr>
          <w:sz w:val="20"/>
          <w:szCs w:val="20"/>
          <w:color w:val="auto"/>
        </w:rPr>
      </w:pPr>
      <w:r>
        <w:rPr>
          <w:rFonts w:ascii="Arial" w:cs="Arial" w:eastAsia="Arial" w:hAnsi="Arial"/>
          <w:sz w:val="18"/>
          <w:szCs w:val="18"/>
          <w:color w:val="auto"/>
        </w:rPr>
        <w:t>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[waived] [released] hereby, the Lock-up Agreement shall remain in full force and effect.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66" w:name="page67"/>
    <w:bookmarkEnd w:id="66"/>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jc w:val="right"/>
        <w:ind w:right="1379"/>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J.P. Morgan Securities LLC</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74" w:right="1440" w:bottom="1440" w:gutter="0" w:footer="0" w:header="0"/>
        </w:sectPr>
      </w:pPr>
    </w:p>
    <w:bookmarkStart w:id="67" w:name="page68"/>
    <w:bookmarkEnd w:id="67"/>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of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P10,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Morgan Stanley &amp; Co. LLC, J.P. Morgan Securities LLC and Barclays Capital Inc., the lead book-running managers in the Company’s recent public sale of _____ shares of its Class A common stock is [waiving][releasing] a lock-up restriction with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respect to ____ shares of the Company’s Class A common stock held by [certain officers or directors] [an officer or director]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[waiver][release] will take effect on ____, 20__ , and the shares may be sold on or after such date.</w:t>
      </w:r>
    </w:p>
    <w:p>
      <w:pPr>
        <w:spacing w:after="0" w:line="20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440" w:top="270" w:right="71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P10, Inc., organized and existing under the laws of the State of Delaware, DOES HEREBY CERTIFY AS FOLLOWS:</w:t>
      </w:r>
    </w:p>
    <w:p>
      <w:pPr>
        <w:spacing w:after="0" w:line="225" w:lineRule="exact"/>
        <w:rPr>
          <w:sz w:val="20"/>
          <w:szCs w:val="20"/>
          <w:color w:val="auto"/>
        </w:rPr>
      </w:pPr>
    </w:p>
    <w:p>
      <w:pPr>
        <w:ind w:left="620" w:hanging="184"/>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name of the corporation is P10, Inc.</w:t>
      </w:r>
    </w:p>
    <w:p>
      <w:pPr>
        <w:spacing w:after="0" w:line="225" w:lineRule="exact"/>
        <w:rPr>
          <w:rFonts w:ascii="Arial" w:cs="Arial" w:eastAsia="Arial" w:hAnsi="Arial"/>
          <w:sz w:val="18"/>
          <w:szCs w:val="18"/>
          <w:color w:val="auto"/>
        </w:rPr>
      </w:pPr>
    </w:p>
    <w:p>
      <w:pPr>
        <w:ind w:right="260" w:firstLine="436"/>
        <w:spacing w:after="0" w:line="277" w:lineRule="auto"/>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original Certificate of Incorporation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was filed with the Secretary of State of the State of Delaware on January 20, 2021 under the name “P10, Inc.”</w:t>
      </w:r>
    </w:p>
    <w:p>
      <w:pPr>
        <w:spacing w:after="0" w:line="170" w:lineRule="exact"/>
        <w:rPr>
          <w:rFonts w:ascii="Arial" w:cs="Arial" w:eastAsia="Arial" w:hAnsi="Arial"/>
          <w:sz w:val="18"/>
          <w:szCs w:val="18"/>
          <w:color w:val="auto"/>
        </w:rPr>
      </w:pPr>
    </w:p>
    <w:p>
      <w:pPr>
        <w:ind w:right="280" w:firstLine="436"/>
        <w:spacing w:after="0" w:line="263" w:lineRule="auto"/>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(the “</w:t>
      </w:r>
      <w:r>
        <w:rPr>
          <w:rFonts w:ascii="Arial" w:cs="Arial" w:eastAsia="Arial" w:hAnsi="Arial"/>
          <w:sz w:val="18"/>
          <w:szCs w:val="18"/>
          <w:u w:val="single" w:color="auto"/>
          <w:color w:val="auto"/>
        </w:rPr>
        <w:t>Restated Certificate of Incorporation</w:t>
      </w:r>
      <w:r>
        <w:rPr>
          <w:rFonts w:ascii="Arial" w:cs="Arial" w:eastAsia="Arial" w:hAnsi="Arial"/>
          <w:sz w:val="18"/>
          <w:szCs w:val="18"/>
          <w:color w:val="auto"/>
        </w:rPr>
        <w:t>”) restates, integrates and amends the Certificate of Incorporation in its entirety. This Restated Certificate of Incorporation has been duly adopted in accordance with Sections 228, 242 and 245 of the General Corporation Law of the State of Delaware.</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text of the Certificate of Incorporation is hereby amended, integrated and restated to read in its entirety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P10,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w:t>
      </w:r>
    </w:p>
    <w:p>
      <w:pPr>
        <w:spacing w:after="0" w:line="21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Wilmington, New Castle County, Delaware 19801. The name of its registered agent at such address is The Corporation Trust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Stock</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total number of shares of all classes of capital stock that the Corporation has authority to issue is 700,000,000 shares, consisting of: 510,000,000 shares of Class A Common Stock, par value $0.001 per share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and 180,000,000 shares of Class B Common Stock, par value $0.001 per share (“</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and together with Class A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10,000,000 shares of preferred stock, par value $0.001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69" w:name="page70"/>
    <w:bookmarkEnd w:id="6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4.2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70" w:lineRule="auto"/>
        <w:tabs>
          <w:tab w:leader="none" w:pos="1236"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Except as otherwise expressly provided herein or as required by the DGCL, the holders of shares of Class A Common Stock and Class B Common Stock shall vote together as one class on all matters (including the election of directors) submitted to a vote of the stockholders of the Corporation. Except as otherwise expressly provided herein or required by the DGCL, each holder of shares of Class A Common Stock shall be entitled to one vote for each share of Class A Common Stock held of record by such holder as of the applicable record date on any matter submitted to a vote of stockholders generally, and until a Sunset (as defined below) has become effective, each holder of shares of Class B Common Stock shall be entitled to 10 votes for each share of Class B Common Stock held of record by such holder as of the applicable record date on any matter submitted to a vote of stockholders generally. From and after such time when the Sunset has become effective, each share of Class B Common Stock shall automatically, without any further action, convert into one (1) fully paid and nonassessable share of Class A Common Stock in accordance with Section 4.4(b)(iii). The holders of shares of Common Stock shall not have cumulative voting rights.</w:t>
      </w:r>
    </w:p>
    <w:p>
      <w:pPr>
        <w:spacing w:after="0" w:line="72" w:lineRule="exact"/>
        <w:rPr>
          <w:rFonts w:ascii="Arial" w:cs="Arial" w:eastAsia="Arial" w:hAnsi="Arial"/>
          <w:sz w:val="17"/>
          <w:szCs w:val="17"/>
          <w:color w:val="auto"/>
        </w:rPr>
      </w:pPr>
    </w:p>
    <w:p>
      <w:pPr>
        <w:ind w:left="1240" w:hanging="253"/>
        <w:spacing w:after="0"/>
        <w:tabs>
          <w:tab w:leader="none" w:pos="1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purposes of this Restated Certificate of Incorporation:</w:t>
      </w:r>
    </w:p>
    <w:p>
      <w:pPr>
        <w:spacing w:after="0" w:line="117" w:lineRule="exact"/>
        <w:rPr>
          <w:rFonts w:ascii="Arial" w:cs="Arial" w:eastAsia="Arial" w:hAnsi="Arial"/>
          <w:sz w:val="18"/>
          <w:szCs w:val="18"/>
          <w:color w:val="auto"/>
        </w:rPr>
      </w:pPr>
    </w:p>
    <w:p>
      <w:pPr>
        <w:ind w:left="1640" w:hanging="212"/>
        <w:spacing w:after="0"/>
        <w:tabs>
          <w:tab w:leader="none" w:pos="16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Sunset</w:t>
      </w:r>
      <w:r>
        <w:rPr>
          <w:rFonts w:ascii="Arial" w:cs="Arial" w:eastAsia="Arial" w:hAnsi="Arial"/>
          <w:sz w:val="18"/>
          <w:szCs w:val="18"/>
          <w:color w:val="auto"/>
        </w:rPr>
        <w:t>” shall be triggered by the earlier of the following:</w:t>
      </w:r>
    </w:p>
    <w:p>
      <w:pPr>
        <w:spacing w:after="0" w:line="117" w:lineRule="exact"/>
        <w:rPr>
          <w:rFonts w:ascii="Arial" w:cs="Arial" w:eastAsia="Arial" w:hAnsi="Arial"/>
          <w:sz w:val="18"/>
          <w:szCs w:val="18"/>
          <w:color w:val="auto"/>
        </w:rPr>
      </w:pPr>
    </w:p>
    <w:p>
      <w:pPr>
        <w:ind w:right="140" w:firstLine="1979"/>
        <w:spacing w:after="0" w:line="263" w:lineRule="auto"/>
        <w:tabs>
          <w:tab w:leader="none" w:pos="2278"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Sunset Holders (as defined below) collectively cease to maintain direct or indirect beneficial ownership of at least 10% of the outstanding shares of Class A Common Stock (determined assuming all outstanding shares of Class B Common Stock have been converted into Class A Common Stock);</w:t>
      </w:r>
    </w:p>
    <w:p>
      <w:pPr>
        <w:spacing w:after="0" w:line="75" w:lineRule="exact"/>
        <w:rPr>
          <w:rFonts w:ascii="Arial" w:cs="Arial" w:eastAsia="Arial" w:hAnsi="Arial"/>
          <w:sz w:val="18"/>
          <w:szCs w:val="18"/>
          <w:color w:val="auto"/>
        </w:rPr>
      </w:pPr>
    </w:p>
    <w:p>
      <w:pPr>
        <w:ind w:right="80" w:firstLine="1979"/>
        <w:spacing w:after="0" w:line="277" w:lineRule="auto"/>
        <w:tabs>
          <w:tab w:leader="none" w:pos="2268"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Sunset Holders collectively cease to maintain direct or indirect beneficial ownership of at least 25% of the aggregate voting power of the outstanding shares of Common Stock; and</w:t>
      </w:r>
    </w:p>
    <w:p>
      <w:pPr>
        <w:spacing w:after="0" w:line="62" w:lineRule="exact"/>
        <w:rPr>
          <w:rFonts w:ascii="Arial" w:cs="Arial" w:eastAsia="Arial" w:hAnsi="Arial"/>
          <w:sz w:val="18"/>
          <w:szCs w:val="18"/>
          <w:color w:val="auto"/>
        </w:rPr>
      </w:pPr>
    </w:p>
    <w:p>
      <w:pPr>
        <w:ind w:left="2260" w:hanging="281"/>
        <w:spacing w:after="0"/>
        <w:tabs>
          <w:tab w:leader="none" w:pos="22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upon the tenth anniversary of the Effective Time (as defined below).</w:t>
      </w:r>
    </w:p>
    <w:p>
      <w:pPr>
        <w:spacing w:after="0" w:line="117" w:lineRule="exact"/>
        <w:rPr>
          <w:rFonts w:ascii="Arial" w:cs="Arial" w:eastAsia="Arial" w:hAnsi="Arial"/>
          <w:sz w:val="18"/>
          <w:szCs w:val="18"/>
          <w:color w:val="auto"/>
        </w:rPr>
      </w:pPr>
    </w:p>
    <w:p>
      <w:pPr>
        <w:ind w:right="340" w:firstLine="1428"/>
        <w:spacing w:after="0" w:line="342" w:lineRule="auto"/>
        <w:tabs>
          <w:tab w:leader="none" w:pos="1697"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In the case of clauses </w:t>
      </w:r>
      <w:r>
        <w:rPr>
          <w:rFonts w:ascii="Arial" w:cs="Arial" w:eastAsia="Arial" w:hAnsi="Arial"/>
          <w:sz w:val="16"/>
          <w:szCs w:val="16"/>
          <w:u w:val="single" w:color="auto"/>
          <w:color w:val="auto"/>
        </w:rPr>
        <w:t>4.2(b)(i)(A)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a Sunset triggered at any time will become effective at the end of the fiscal quarter in which such trigger occurs. In the case of </w:t>
      </w:r>
      <w:r>
        <w:rPr>
          <w:rFonts w:ascii="Arial" w:cs="Arial" w:eastAsia="Arial" w:hAnsi="Arial"/>
          <w:sz w:val="16"/>
          <w:szCs w:val="16"/>
          <w:u w:val="single" w:color="auto"/>
          <w:color w:val="auto"/>
        </w:rPr>
        <w:t>clause 4.2(b)(i)(C)</w:t>
      </w:r>
      <w:r>
        <w:rPr>
          <w:rFonts w:ascii="Arial" w:cs="Arial" w:eastAsia="Arial" w:hAnsi="Arial"/>
          <w:sz w:val="16"/>
          <w:szCs w:val="16"/>
          <w:color w:val="auto"/>
        </w:rPr>
        <w:t xml:space="preserve"> above, such Sunset will become effective at 12:01 a.m. on such date.</w:t>
      </w:r>
    </w:p>
    <w:p>
      <w:pPr>
        <w:spacing w:after="0" w:line="15" w:lineRule="exact"/>
        <w:rPr>
          <w:rFonts w:ascii="Arial" w:cs="Arial" w:eastAsia="Arial" w:hAnsi="Arial"/>
          <w:sz w:val="16"/>
          <w:szCs w:val="16"/>
          <w:color w:val="auto"/>
        </w:rPr>
      </w:pPr>
    </w:p>
    <w:p>
      <w:pPr>
        <w:ind w:left="1740" w:hanging="312"/>
        <w:spacing w:after="0"/>
        <w:tabs>
          <w:tab w:leader="none" w:pos="17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The following terms have the meanings ascribed to them in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17" w:lineRule="exact"/>
        <w:rPr>
          <w:sz w:val="20"/>
          <w:szCs w:val="20"/>
          <w:color w:val="auto"/>
        </w:rPr>
      </w:pPr>
    </w:p>
    <w:p>
      <w:pPr>
        <w:ind w:firstLine="1432"/>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Transaction</w:t>
      </w:r>
      <w:r>
        <w:rPr>
          <w:rFonts w:ascii="Arial" w:cs="Arial" w:eastAsia="Arial" w:hAnsi="Arial"/>
          <w:sz w:val="17"/>
          <w:szCs w:val="17"/>
          <w:color w:val="auto"/>
        </w:rPr>
        <w:t>” means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the sale, lease or other disposition (other than liens and encumbrances created in the ordinary course of business, including liens or encumbrances to secure indebtedness for borrowed money that are approved by the Board of Directors, so long as no foreclosure occurs in respect of any such lien or encumbrance) of all or substantially all of the Corporation’s property and assets (which shall for such purpose include the property and assets of any direct or indirect subsidiary of the Corporation, taken as a whole), as determined by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sale, lease, exchange, transfer or other disposition of property or assets exclusively between or among the Corporation and any wholly owned direct or indirect subsidiary or subsidiaries of the Corporation shall not be deemed a “Change of Control Transaction”; (</w:t>
      </w:r>
      <w:r>
        <w:rPr>
          <w:rFonts w:ascii="Arial" w:cs="Arial" w:eastAsia="Arial" w:hAnsi="Arial"/>
          <w:sz w:val="17"/>
          <w:szCs w:val="17"/>
          <w:u w:val="single" w:color="auto"/>
          <w:color w:val="auto"/>
        </w:rPr>
        <w:t>ii</w:t>
      </w:r>
      <w:r>
        <w:rPr>
          <w:rFonts w:ascii="Arial" w:cs="Arial" w:eastAsia="Arial" w:hAnsi="Arial"/>
          <w:sz w:val="17"/>
          <w:szCs w:val="17"/>
          <w:color w:val="auto"/>
        </w:rPr>
        <w:t>) the merger, consolidation, business combination or other similar transaction of the Corporation with or into any other entity, other than a merger, consolidation, business combination or other similar transaction that would result in the voting securities outstanding immediately prior thereto continuing to represent (either by remaining outstanding or by being converted into voting securities of the surviving entity or its parent) more than fifty percent (50%) of the total voting power represented by the voting securities, as outstanding immediately after such merger, consolidation, business combination or other similar transaction, and the stockholders of the Corporation immediately prior to the merger, consolidation, business combination or other similar transaction owning voting securities or voting securities of the surviving entity or its parent immediately following the merger, consolidation, business combination or other similar transaction in substantially the same proportions (vis-à-vis each other) as such stockholders owned the voting</w:t>
      </w:r>
    </w:p>
    <w:p>
      <w:pPr>
        <w:sectPr>
          <w:pgSz w:w="11900" w:h="16838" w:orient="portrait"/>
          <w:cols w:equalWidth="0" w:num="1">
            <w:col w:w="11000"/>
          </w:cols>
          <w:pgMar w:left="440" w:top="274" w:right="459" w:bottom="1440" w:gutter="0" w:footer="0" w:header="0"/>
        </w:sectPr>
      </w:pPr>
    </w:p>
    <w:bookmarkStart w:id="70" w:name="page71"/>
    <w:bookmarkEnd w:id="70"/>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immediately prior to the transaction; or (</w:t>
      </w:r>
      <w:r>
        <w:rPr>
          <w:rFonts w:ascii="Arial" w:cs="Arial" w:eastAsia="Arial" w:hAnsi="Arial"/>
          <w:sz w:val="17"/>
          <w:szCs w:val="17"/>
          <w:u w:val="single" w:color="auto"/>
          <w:color w:val="auto"/>
        </w:rPr>
        <w:t>iii</w:t>
      </w:r>
      <w:r>
        <w:rPr>
          <w:rFonts w:ascii="Arial" w:cs="Arial" w:eastAsia="Arial" w:hAnsi="Arial"/>
          <w:sz w:val="17"/>
          <w:szCs w:val="17"/>
          <w:color w:val="auto"/>
        </w:rPr>
        <w:t>) a recapitalization, liquidation, dissolution or other similar transaction involving the Corporation, other than a recapitalization, liquidation, dissolution or other similar transaction that would result in the voting securities outstanding immediately prior thereto continuing to represent (either by remaining outstanding or being converted into voting securities of the surviving entity or its parent) more than fifty percent (50%) of the total combined voting power represented by the voting securities, as outstanding immediately after such recapitalization, liquidation, dissolution or other similar transaction, and the stockholders of the Corporation immediately prior to the recapitalization, liquidation, dissolution or other similar transaction owning voting securities or voting securities of the surviving entity or its parent immediately following the recapitalization, liquidation, dissolution or other similar transaction in substantially the same proportions (vis-à-vis each other) as such stockholders owned the voting securities immediately prior to the transaction.</w:t>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means effectiveness of this Restated Certificate of Incorporation.</w:t>
      </w:r>
    </w:p>
    <w:p>
      <w:pPr>
        <w:spacing w:after="0" w:line="225" w:lineRule="exact"/>
        <w:rPr>
          <w:sz w:val="20"/>
          <w:szCs w:val="20"/>
          <w:color w:val="auto"/>
        </w:rPr>
      </w:pPr>
    </w:p>
    <w:p>
      <w:pPr>
        <w:ind w:right="120" w:firstLine="143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Estate Planning Entities</w:t>
      </w:r>
      <w:r>
        <w:rPr>
          <w:rFonts w:ascii="Arial" w:cs="Arial" w:eastAsia="Arial" w:hAnsi="Arial"/>
          <w:sz w:val="17"/>
          <w:szCs w:val="17"/>
          <w:color w:val="auto"/>
        </w:rPr>
        <w:t>” means (i) any trust, the beneficiaries of which are primarily such individual or any member of his or her Immediate Family and (ii) any corporation, partnership, limited liability company or other entity that is primarily owned and controlled, directly or indirectly, by such individual, any member of such individual’s Immediate Family and or any of the Persons described in clause (i).</w:t>
      </w:r>
    </w:p>
    <w:p>
      <w:pPr>
        <w:spacing w:after="0" w:line="165" w:lineRule="exact"/>
        <w:rPr>
          <w:sz w:val="20"/>
          <w:szCs w:val="20"/>
          <w:color w:val="auto"/>
        </w:rPr>
      </w:pPr>
    </w:p>
    <w:p>
      <w:pPr>
        <w:ind w:right="80" w:firstLine="1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w:t>
      </w:r>
      <w:r>
        <w:rPr>
          <w:rFonts w:ascii="Arial" w:cs="Arial" w:eastAsia="Arial" w:hAnsi="Arial"/>
          <w:sz w:val="18"/>
          <w:szCs w:val="18"/>
          <w:color w:val="auto"/>
        </w:rPr>
        <w:t>” means, with respect to any person, collectively, his or her parents, brothers, sisters, spouse, former spouses, civil union partner, former civil union partners and lineal descendants (and the estates, guardians, custodians or other legal representatives of any of the foregoing).</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means:</w:t>
      </w:r>
    </w:p>
    <w:p>
      <w:pPr>
        <w:spacing w:after="0" w:line="117" w:lineRule="exact"/>
        <w:rPr>
          <w:sz w:val="20"/>
          <w:szCs w:val="20"/>
          <w:color w:val="auto"/>
        </w:rPr>
      </w:pPr>
    </w:p>
    <w:p>
      <w:pPr>
        <w:jc w:val="both"/>
        <w:ind w:right="240" w:firstLine="1428"/>
        <w:spacing w:after="0" w:line="263" w:lineRule="auto"/>
        <w:tabs>
          <w:tab w:leader="none" w:pos="1677"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 Transfer by a holder of Class B Common Stock that is an entity, Permitted Transferees are limited to (i) any corporation, partnership, limited liability company or other entity that is a controlled affiliate of such holder, (ii) any investment funds managed and controlled by such holder and (iii) any Estate Planning Entities.</w:t>
      </w:r>
    </w:p>
    <w:p>
      <w:pPr>
        <w:spacing w:after="0" w:line="75" w:lineRule="exact"/>
        <w:rPr>
          <w:rFonts w:ascii="Arial" w:cs="Arial" w:eastAsia="Arial" w:hAnsi="Arial"/>
          <w:sz w:val="18"/>
          <w:szCs w:val="18"/>
          <w:color w:val="auto"/>
        </w:rPr>
      </w:pPr>
    </w:p>
    <w:p>
      <w:pPr>
        <w:ind w:left="1680" w:hanging="252"/>
        <w:spacing w:after="0"/>
        <w:tabs>
          <w:tab w:leader="none" w:pos="1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a Transfer by a holder of Class B Common Stock that is an individual, Permitted Transferees are limited to Estate Planning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Entities.</w:t>
      </w:r>
    </w:p>
    <w:p>
      <w:pPr>
        <w:spacing w:after="0" w:line="103" w:lineRule="exact"/>
        <w:rPr>
          <w:sz w:val="20"/>
          <w:szCs w:val="20"/>
          <w:color w:val="auto"/>
        </w:rPr>
      </w:pPr>
    </w:p>
    <w:p>
      <w:pPr>
        <w:ind w:firstLine="1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Sunset Holders</w:t>
      </w:r>
      <w:r>
        <w:rPr>
          <w:rFonts w:ascii="Arial" w:cs="Arial" w:eastAsia="Arial" w:hAnsi="Arial"/>
          <w:sz w:val="18"/>
          <w:szCs w:val="18"/>
          <w:color w:val="auto"/>
        </w:rPr>
        <w:t>” means principals of 210 Capital, LLC and certain of their affiliates (the “210 Group”), principals of RCP Advisors 2, LLC and certain of their affiliates and RCP Advisors 3, LLC and certain of their affiliates (the “RCP Group”), and principals of TrueBridge Capital Partners LLC and certain of their affiliates (the “TrueBridge Group”) and their respective Permitted Transferees.</w:t>
      </w:r>
    </w:p>
    <w:p>
      <w:pPr>
        <w:spacing w:after="0" w:line="76" w:lineRule="exact"/>
        <w:rPr>
          <w:sz w:val="20"/>
          <w:szCs w:val="20"/>
          <w:color w:val="auto"/>
        </w:rPr>
      </w:pPr>
    </w:p>
    <w:p>
      <w:pPr>
        <w:ind w:right="320" w:firstLine="1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any direct or indirect sale, exchange, transfer, pledge, participation or assignment (including a pledge or other grant of a security interest), whether voluntary or involuntary or whether through a derivative instrument.</w:t>
      </w:r>
    </w:p>
    <w:p>
      <w:pPr>
        <w:spacing w:after="0" w:line="62" w:lineRule="exact"/>
        <w:rPr>
          <w:sz w:val="20"/>
          <w:szCs w:val="20"/>
          <w:color w:val="auto"/>
        </w:rPr>
      </w:pPr>
    </w:p>
    <w:p>
      <w:pPr>
        <w:ind w:right="20" w:firstLine="987"/>
        <w:spacing w:after="0" w:line="257" w:lineRule="auto"/>
        <w:tabs>
          <w:tab w:leader="none" w:pos="1236"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Unless otherwise required by law, holders of Common Stock, as such, shall not be entitled to vote on any amendment to this Restated Certificate of Incorporation, including any certificate of designations relating to any series of Preferred Stock (each hereinafter referred to as a “</w:t>
      </w:r>
      <w:r>
        <w:rPr>
          <w:rFonts w:ascii="Arial" w:cs="Arial" w:eastAsia="Arial" w:hAnsi="Arial"/>
          <w:sz w:val="18"/>
          <w:szCs w:val="18"/>
          <w:u w:val="single" w:color="auto"/>
          <w:color w:val="auto"/>
        </w:rPr>
        <w:t>Preferred Stock Designation</w:t>
      </w:r>
      <w:r>
        <w:rPr>
          <w:rFonts w:ascii="Arial" w:cs="Arial" w:eastAsia="Arial" w:hAnsi="Arial"/>
          <w:sz w:val="18"/>
          <w:szCs w:val="18"/>
          <w:color w:val="auto"/>
        </w:rPr>
        <w:t>”), that relates solely to the terms of one or more outstanding series of Preferred Stock if the holders of such affected series are entitled, either separately or together with the holders of one or more other such series, to vote thereon pursuant to this Restated Certificate of Incorporation (including any Preferred Stock Designation).</w:t>
      </w:r>
    </w:p>
    <w:p>
      <w:pPr>
        <w:spacing w:after="0" w:line="79" w:lineRule="exact"/>
        <w:rPr>
          <w:rFonts w:ascii="Arial" w:cs="Arial" w:eastAsia="Arial" w:hAnsi="Arial"/>
          <w:sz w:val="18"/>
          <w:szCs w:val="18"/>
          <w:color w:val="auto"/>
        </w:rPr>
      </w:pPr>
    </w:p>
    <w:p>
      <w:pPr>
        <w:ind w:right="20" w:firstLine="987"/>
        <w:spacing w:after="0" w:line="263" w:lineRule="auto"/>
        <w:tabs>
          <w:tab w:leader="none" w:pos="1246" w:val="left"/>
        </w:tabs>
        <w:numPr>
          <w:ilvl w:val="0"/>
          <w:numId w:val="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rights of the holders of any outstanding series of Preferred Stock, the holders of shares of Common Stock shall be entitled to receive equally, on a per share basis, dividends and distributions to the extent permitted by law when, as and if declared by the Board of Directors.</w:t>
      </w:r>
    </w:p>
    <w:p>
      <w:pPr>
        <w:spacing w:after="0" w:line="75" w:lineRule="exact"/>
        <w:rPr>
          <w:rFonts w:ascii="Arial" w:cs="Arial" w:eastAsia="Arial" w:hAnsi="Arial"/>
          <w:sz w:val="18"/>
          <w:szCs w:val="18"/>
          <w:u w:val="single" w:color="auto"/>
          <w:color w:val="auto"/>
        </w:rPr>
      </w:pPr>
    </w:p>
    <w:p>
      <w:pPr>
        <w:ind w:right="120" w:firstLine="987"/>
        <w:spacing w:after="0" w:line="263" w:lineRule="auto"/>
        <w:tabs>
          <w:tab w:leader="none" w:pos="123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Upon the dissolution, liquidation or winding up of the Corporation, the holders of any outstanding series of Preferred Stock, shares of Class A Common Stock and Class B Common Stock shall be entitled to receive the assets of the Corporation available for distribution to its stockholders ratably in proportion to the number of shares held by them.</w:t>
      </w:r>
    </w:p>
    <w:p>
      <w:pPr>
        <w:sectPr>
          <w:pgSz w:w="11900" w:h="16838" w:orient="portrait"/>
          <w:cols w:equalWidth="0" w:num="1">
            <w:col w:w="10960"/>
          </w:cols>
          <w:pgMar w:left="440" w:top="274" w:right="499" w:bottom="1440" w:gutter="0" w:footer="0" w:header="0"/>
        </w:sectPr>
      </w:pPr>
    </w:p>
    <w:bookmarkStart w:id="71" w:name="page72"/>
    <w:bookmarkEnd w:id="71"/>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Preferred Stock may be issued from time to time in one or more series. Subject to limitations prescribed by law and the provisions of this Article IV (including any Preferred Stock Designation), the Board of Directors is hereby authorized to provide by resolution and by causing the filing of a Preferred Stock Designation for the issuance of the shares of Preferred Stock in one or more series, and to establish from time to time the number of shares to be included in each such series, and to fix the designations, powers, preferences, and relative, participating, optional or other rights, if any, and the qualifications, limitations or restrictions, if any, of the shares of each such series.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Conversion of Class B Common Stock</w:t>
      </w:r>
      <w:r>
        <w:rPr>
          <w:rFonts w:ascii="Arial" w:cs="Arial" w:eastAsia="Arial" w:hAnsi="Arial"/>
          <w:sz w:val="18"/>
          <w:szCs w:val="18"/>
          <w:color w:val="auto"/>
        </w:rPr>
        <w:t>.</w:t>
      </w:r>
    </w:p>
    <w:p>
      <w:pPr>
        <w:spacing w:after="0" w:line="117" w:lineRule="exact"/>
        <w:rPr>
          <w:sz w:val="20"/>
          <w:szCs w:val="20"/>
          <w:color w:val="auto"/>
        </w:rPr>
      </w:pPr>
    </w:p>
    <w:p>
      <w:pPr>
        <w:ind w:right="240" w:firstLine="436"/>
        <w:spacing w:after="0" w:line="308" w:lineRule="auto"/>
        <w:tabs>
          <w:tab w:leader="none" w:pos="685"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Voluntary Conversion</w:t>
      </w:r>
      <w:r>
        <w:rPr>
          <w:rFonts w:ascii="Arial" w:cs="Arial" w:eastAsia="Arial" w:hAnsi="Arial"/>
          <w:sz w:val="17"/>
          <w:szCs w:val="17"/>
          <w:color w:val="auto"/>
        </w:rPr>
        <w:t>. Each share of Class B Common Stock shall be convertible into one (1) fully paid and nonassessable share of Class A Common Stock at the option of the holder thereof at any time upon written notice to the transfer agent of the Corporation.</w:t>
      </w:r>
    </w:p>
    <w:p>
      <w:pPr>
        <w:spacing w:after="0" w:line="38" w:lineRule="exact"/>
        <w:rPr>
          <w:rFonts w:ascii="Arial" w:cs="Arial" w:eastAsia="Arial" w:hAnsi="Arial"/>
          <w:sz w:val="17"/>
          <w:szCs w:val="17"/>
          <w:color w:val="auto"/>
        </w:rPr>
      </w:pPr>
    </w:p>
    <w:p>
      <w:pPr>
        <w:ind w:right="220" w:firstLine="436"/>
        <w:spacing w:after="0" w:line="277"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Automatic Conversion</w:t>
      </w:r>
      <w:r>
        <w:rPr>
          <w:rFonts w:ascii="Arial" w:cs="Arial" w:eastAsia="Arial" w:hAnsi="Arial"/>
          <w:sz w:val="18"/>
          <w:szCs w:val="18"/>
          <w:color w:val="auto"/>
        </w:rPr>
        <w:t>. Each share of Class B Common Stock shall automatically, without any further action, convert into one (1) fully paid and nonassessable share of Class A Common Stock upon the earlier of:</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003"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Transfer by (x) a Sunset Holder of such share other than a Transfer to a Permitted Transferee or (y) a Permitted Transferee of such share other than a Transfer to a Sunset Holder or a Permitted Transferee of a Sunset Holder;</w:t>
      </w:r>
    </w:p>
    <w:p>
      <w:pPr>
        <w:spacing w:after="0" w:line="62" w:lineRule="exact"/>
        <w:rPr>
          <w:rFonts w:ascii="Arial" w:cs="Arial" w:eastAsia="Arial" w:hAnsi="Arial"/>
          <w:sz w:val="18"/>
          <w:szCs w:val="18"/>
          <w:color w:val="auto"/>
        </w:rPr>
      </w:pPr>
    </w:p>
    <w:p>
      <w:pPr>
        <w:ind w:left="440" w:right="20" w:firstLine="419"/>
        <w:spacing w:after="0" w:line="255" w:lineRule="auto"/>
        <w:tabs>
          <w:tab w:leader="none" w:pos="1053"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date or the happening of a future event specified by a written notice and certification request of the Corporation to the holder of such share of Class B Common Stock requesting a certification, in a form satisfactory to the Corporation, verifying such holder’s ownership of Class B Common Stock and confirming that a conversion to Class A Common Stock has not occurred, which date shall not be less than sixty (60) calendar days after the date such notice and certification request is sent; provided that no such automatic conversion pursuant to this subsection (ii) shall occur in the case of a holder of Class B Common Stock or its Permitted Transferee that furnishes a certification satisfactory to the Corporation prior to the specified date; and</w:t>
      </w:r>
    </w:p>
    <w:p>
      <w:pPr>
        <w:spacing w:after="0" w:line="84" w:lineRule="exact"/>
        <w:rPr>
          <w:rFonts w:ascii="Arial" w:cs="Arial" w:eastAsia="Arial" w:hAnsi="Arial"/>
          <w:sz w:val="18"/>
          <w:szCs w:val="18"/>
          <w:color w:val="auto"/>
        </w:rPr>
      </w:pPr>
    </w:p>
    <w:p>
      <w:pPr>
        <w:ind w:left="1100" w:hanging="241"/>
        <w:spacing w:after="0"/>
        <w:tabs>
          <w:tab w:leader="none" w:pos="11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such time when the Sunset has become effective.</w:t>
      </w:r>
    </w:p>
    <w:p>
      <w:pPr>
        <w:spacing w:after="0" w:line="117" w:lineRule="exact"/>
        <w:rPr>
          <w:rFonts w:ascii="Arial" w:cs="Arial" w:eastAsia="Arial" w:hAnsi="Arial"/>
          <w:sz w:val="18"/>
          <w:szCs w:val="18"/>
          <w:color w:val="auto"/>
        </w:rPr>
      </w:pPr>
    </w:p>
    <w:p>
      <w:pPr>
        <w:ind w:right="40" w:firstLine="436"/>
        <w:spacing w:after="0" w:line="269" w:lineRule="auto"/>
        <w:tabs>
          <w:tab w:leader="none" w:pos="685"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Procedures</w:t>
      </w:r>
      <w:r>
        <w:rPr>
          <w:rFonts w:ascii="Arial" w:cs="Arial" w:eastAsia="Arial" w:hAnsi="Arial"/>
          <w:sz w:val="17"/>
          <w:szCs w:val="17"/>
          <w:color w:val="auto"/>
        </w:rPr>
        <w:t>. The Corporation shall not be obligated to issue certificates evidencing the shares of Class A Common Stock issuable on such conversion unless the certificates evidencing such shares of Class B Common Stock, if any such certificates have been issued,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 The Corporation may, from time to time, establish such other policies and procedures relating to the conversion of Class B Common Stock to Class A Common Stock and the general administration of this multi-class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The Secretary shall determine whether a Transfer or other event giving rise to a conversion has occurred that results in a conversion to Class A Common Stock, and such determination shall be conclusive and binding.</w:t>
      </w:r>
    </w:p>
    <w:p>
      <w:pPr>
        <w:spacing w:after="0" w:line="73" w:lineRule="exact"/>
        <w:rPr>
          <w:rFonts w:ascii="Arial" w:cs="Arial" w:eastAsia="Arial" w:hAnsi="Arial"/>
          <w:sz w:val="17"/>
          <w:szCs w:val="17"/>
          <w:color w:val="auto"/>
        </w:rPr>
      </w:pPr>
    </w:p>
    <w:p>
      <w:pPr>
        <w:ind w:right="100" w:firstLine="436"/>
        <w:spacing w:after="0" w:line="291" w:lineRule="auto"/>
        <w:tabs>
          <w:tab w:leader="none" w:pos="69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Immediate Effect</w:t>
      </w:r>
      <w:r>
        <w:rPr>
          <w:rFonts w:ascii="Arial" w:cs="Arial" w:eastAsia="Arial" w:hAnsi="Arial"/>
          <w:sz w:val="16"/>
          <w:szCs w:val="16"/>
          <w:color w:val="auto"/>
        </w:rPr>
        <w:t xml:space="preserve">. In the event of a conversion of shares of Class B Common Stock to shares of Class A Common Stock pursuant to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such conversion(s) shall be deemed to have been made at the time of the applicable Transfer or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share issuable or deliverable by the Corporation, upon any of the conversion of another security, the exercise of an option or warrant or similar arrangement, the occurrence or non-occurrence of a contingency, or upon vesting, the conversion of such shares of Class B Common Stock to shares of Class A Common Stock pursuant to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4.4(b)(i)</w:t>
      </w:r>
      <w:r>
        <w:rPr>
          <w:rFonts w:ascii="Arial" w:cs="Arial" w:eastAsia="Arial" w:hAnsi="Arial"/>
          <w:sz w:val="16"/>
          <w:szCs w:val="16"/>
          <w:color w:val="auto"/>
        </w:rPr>
        <w:t xml:space="preserve"> shall occur immediately following issuance or delivery. For the avoidance of doubt, if the conversion is in connection with an underwritten offering of securities registered pursuant to the Securities Act of 1933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conversion may, at the option of any holder tendering Class B Common Stock for conversion, be conditioned upon</w:t>
      </w:r>
    </w:p>
    <w:p>
      <w:pPr>
        <w:sectPr>
          <w:pgSz w:w="11900" w:h="16838" w:orient="portrait"/>
          <w:cols w:equalWidth="0" w:num="1">
            <w:col w:w="11000"/>
          </w:cols>
          <w:pgMar w:left="440" w:top="274" w:right="459" w:bottom="1440" w:gutter="0" w:footer="0" w:header="0"/>
        </w:sectPr>
      </w:pPr>
    </w:p>
    <w:bookmarkStart w:id="72" w:name="page73"/>
    <w:bookmarkEnd w:id="7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closing with the underwriters of the sale of securities pursuant to such offering, in which event the persons entitled to receive the Class A Common Stock upon conversion of the Class B Common Stock shall not be deemed to have converted such Class B Common Stock until immediately prior to the closing of such sale of securities. Upon any conversion of Class B Common Stock to Class A Common Stock, all rights of the holder of shares of Class B Common Stock shall cease and the person or persons in whose name or names the certificate or certificates (or book-entry position(s)) representing the shares of Class A Common Stock are to be issued shall be treated for all purposes as having become the record holder or holders of such shares of Class A Common Stock. Following any such conversion, the reissuance of such shares of Class B Common Stock shall be prohibited, and such shares shall be retired in accordance with Section 243 of the DGCL and the filing by the Secretary of State of the State of Delaware required thereby.</w:t>
      </w:r>
    </w:p>
    <w:p>
      <w:pPr>
        <w:spacing w:after="0" w:line="192"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No Class Vote on Changes in Authorized Number of Shares of Stock</w:t>
      </w:r>
      <w:r>
        <w:rPr>
          <w:rFonts w:ascii="Arial" w:cs="Arial" w:eastAsia="Arial" w:hAnsi="Arial"/>
          <w:sz w:val="17"/>
          <w:szCs w:val="17"/>
          <w:color w:val="auto"/>
        </w:rPr>
        <w:t>. Subject to the rights of the holders of any outstanding series of Preferred Stock, the number of authorized shares of Class A Common Stock, Class B Common Stock, or Preferred Stock may be increased or decreased (but not below the number of shares thereof then outstanding) by the affirmative vote of at least a majority of the voting power of the stock outstanding and entitled to vote thereon irrespective of the provisions of Section 242(b)(2) of the DGCL.</w:t>
      </w:r>
    </w:p>
    <w:p>
      <w:pPr>
        <w:spacing w:after="0" w:line="17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No Preemptive or Subscription Rights</w:t>
      </w:r>
      <w:r>
        <w:rPr>
          <w:rFonts w:ascii="Arial" w:cs="Arial" w:eastAsia="Arial" w:hAnsi="Arial"/>
          <w:sz w:val="18"/>
          <w:szCs w:val="18"/>
          <w:color w:val="auto"/>
        </w:rPr>
        <w:t>. No holder of shares of Common Stock, solely by virtue of such holder’s status as such, shall be entitled to preemptive or subscription rights.</w:t>
      </w:r>
    </w:p>
    <w:p>
      <w:pPr>
        <w:spacing w:after="0" w:line="170"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Reservation of Stock</w:t>
      </w:r>
      <w:r>
        <w:rPr>
          <w:rFonts w:ascii="Arial" w:cs="Arial" w:eastAsia="Arial" w:hAnsi="Arial"/>
          <w:sz w:val="17"/>
          <w:szCs w:val="17"/>
          <w:color w:val="auto"/>
        </w:rPr>
        <w:t>. The Corporation will at all times reserve and keep available out of its authorized but unissued shares of Class A Common Stock, solely for the purpose of effecting the conversion of shares of Class B Common Stock and warrants for Class A Common Stock, such number of shares of Class A Common Stock as will from time to time be sufficient to effect such conversions.</w:t>
      </w:r>
    </w:p>
    <w:p>
      <w:pPr>
        <w:spacing w:after="0" w:line="165"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Reclassifications, Mergers and Other Transactions</w:t>
      </w:r>
      <w:r>
        <w:rPr>
          <w:rFonts w:ascii="Arial" w:cs="Arial" w:eastAsia="Arial" w:hAnsi="Arial"/>
          <w:sz w:val="16"/>
          <w:szCs w:val="16"/>
          <w:color w:val="auto"/>
        </w:rPr>
        <w:t>. If the Corporation in any manner subdivides, combines or reclassifies the outstanding shares of Class A Common Stock or Class B Common Stock, the outstanding shares of the other such class shall, concurrently therewith, be subdivided, combined, or reclassified in the same proportion and manner such that the same proportionate equity ownership between the holders of outstanding Class A Common Stock and Class B Common Stock on the record date for such subdivision, combination or reclassification is preserved, unless different treatment of the shares of each such class is approved by (i) the holders of a majority of the outstanding Class A Common Stock and (ii) the holders of a majority of the outstanding Class B Common Stock, each of (i) and (ii) voting as separate classes.</w:t>
      </w:r>
    </w:p>
    <w:p>
      <w:pPr>
        <w:spacing w:after="0" w:line="164"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No Further Issuances of Class B Common Stock</w:t>
      </w:r>
      <w:r>
        <w:rPr>
          <w:rFonts w:ascii="Arial" w:cs="Arial" w:eastAsia="Arial" w:hAnsi="Arial"/>
          <w:sz w:val="18"/>
          <w:szCs w:val="18"/>
          <w:color w:val="auto"/>
        </w:rPr>
        <w:t>. Except for the issuance of shares of Class B Common Stock in connection with a stock dividend, stock split, reclassification or similar transaction in accordance with the provisions of this Restated Certificate of Incorporation, the Corporation shall not at any time after the filing and effectiveness of this Restated Certificate of Incorporation issue any additional shares of Class B Common Stock.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Treatment in a Change of Control or any Merger Transaction</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93" w:lineRule="auto"/>
        <w:tabs>
          <w:tab w:leader="none" w:pos="685"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Subject to subsection (c) of this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in connection with any Change of Control Transaction, shares of Class A common stock and Class B common stock outstanding immediately prior to such Change of Control Transaction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voting power of the then-outstanding shares of Class A common stock entitled to vote thereon and by the affirmative vote of the holders of a majority of the voting power of the then-outstanding shares of Class B common stock entitled to vote thereon, each voting separately as a class.</w:t>
      </w:r>
    </w:p>
    <w:p>
      <w:pPr>
        <w:spacing w:after="0" w:line="56" w:lineRule="exact"/>
        <w:rPr>
          <w:rFonts w:ascii="Arial" w:cs="Arial" w:eastAsia="Arial" w:hAnsi="Arial"/>
          <w:sz w:val="16"/>
          <w:szCs w:val="16"/>
          <w:color w:val="auto"/>
        </w:rPr>
      </w:pPr>
    </w:p>
    <w:p>
      <w:pPr>
        <w:ind w:right="240" w:firstLine="436"/>
        <w:spacing w:after="0" w:line="275" w:lineRule="auto"/>
        <w:tabs>
          <w:tab w:leader="none" w:pos="695"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Subject to subsection (c) of this </w:t>
      </w:r>
      <w:r>
        <w:rPr>
          <w:rFonts w:ascii="Arial" w:cs="Arial" w:eastAsia="Arial" w:hAnsi="Arial"/>
          <w:sz w:val="17"/>
          <w:szCs w:val="17"/>
          <w:u w:val="single" w:color="auto"/>
          <w:color w:val="auto"/>
        </w:rPr>
        <w:t>Section 4.10</w:t>
      </w:r>
      <w:r>
        <w:rPr>
          <w:rFonts w:ascii="Arial" w:cs="Arial" w:eastAsia="Arial" w:hAnsi="Arial"/>
          <w:sz w:val="17"/>
          <w:szCs w:val="17"/>
          <w:color w:val="auto"/>
        </w:rPr>
        <w:t>, any merger or consolidation of the Corporation with or into any other entity, which is not a Change of Control Transaction, shall require approval by the affirmative vote of the holders of a majority of the voting power of the then-outstanding shares of Class A common stock entitled to vote thereon and by the affirmative vote of the holders of a majority of the voting power of the then-outstanding shares of Class B common stock entitled to vote thereon, each voting separately as a class, unless (i) the shares of Class A common stock and Class B common stock outstanding immediately prior to such merger or consolidation are treated</w:t>
      </w:r>
    </w:p>
    <w:p>
      <w:pPr>
        <w:sectPr>
          <w:pgSz w:w="11900" w:h="16838" w:orient="portrait"/>
          <w:cols w:equalWidth="0" w:num="1">
            <w:col w:w="11000"/>
          </w:cols>
          <w:pgMar w:left="440" w:top="274" w:right="459" w:bottom="1440" w:gutter="0" w:footer="0" w:header="0"/>
        </w:sectPr>
      </w:pPr>
    </w:p>
    <w:bookmarkStart w:id="73" w:name="page74"/>
    <w:bookmarkEnd w:id="73"/>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equally, identically and ratably, on a per share basis, including whether such shares remain outstanding and with respect to any consideration into which such shares are converted or any consideration paid or otherwise distributed to stockholders of the Corporation in respect thereof; or (ii) such shares are converted on a pro rata basis into shares of the surviving entity or its parent in such transaction having identical rights, powers and privileges to the shares of Class A common stock and Class B common stock in effect immediately prior to such merger or consolidation, respectively; provided that if the voting power of the Class B common stock, including the voting power of the Class B common stock relative to the voting power of the Class A common stock would be adversely affected by such merger or consolidation, the approval by the affirmative vote of the holders of a majority of the voting power of the then-outstanding shares of Class B common stock shall be required.</w:t>
      </w:r>
    </w:p>
    <w:p>
      <w:pPr>
        <w:spacing w:after="0" w:line="69" w:lineRule="exact"/>
        <w:rPr>
          <w:sz w:val="20"/>
          <w:szCs w:val="20"/>
          <w:color w:val="auto"/>
        </w:rPr>
      </w:pPr>
    </w:p>
    <w:p>
      <w:pPr>
        <w:ind w:right="20" w:firstLine="436"/>
        <w:spacing w:after="0" w:line="285" w:lineRule="auto"/>
        <w:tabs>
          <w:tab w:leader="none" w:pos="685"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Restated Certificate of Incorporation, (i) for the avoidance of doubt, consideration to be paid to or received by a holder of shares of Class A common stock or Class B common stock in connection with any Change of Control Transaction or any merger or consolidation of the Corporation with or into any other entity, which is not a Change of Control Transaction, pursuant to any employment, consulting, severance or similar services arrangement shall be deemed not to be “paid or otherwise distributed to stockholders” or consideration in respect of shares of the capital stock of the Corporation for purposes of this </w:t>
      </w:r>
      <w:r>
        <w:rPr>
          <w:rFonts w:ascii="Arial" w:cs="Arial" w:eastAsia="Arial" w:hAnsi="Arial"/>
          <w:sz w:val="16"/>
          <w:szCs w:val="16"/>
          <w:u w:val="single" w:color="auto"/>
          <w:color w:val="auto"/>
        </w:rPr>
        <w:t>Section 4.10</w:t>
      </w:r>
      <w:r>
        <w:rPr>
          <w:rFonts w:ascii="Arial" w:cs="Arial" w:eastAsia="Arial" w:hAnsi="Arial"/>
          <w:sz w:val="16"/>
          <w:szCs w:val="16"/>
          <w:color w:val="auto"/>
        </w:rPr>
        <w:t>, and (ii) to the extent all or part of the consideration into which shares of Class A common stock or Class B common stock are converted or any consideration paid or otherwise distributed to stockholders of the Corporation in any Change of Control Transaction or any merger or consolidation of the Corporation with or into any other entity, which is not a Change of Control Transaction, is in the form of securities of another corporation or other entity, then the holders of shares of Class B common stock shall have their shares of Class B common stock converted into, or may otherwise be paid or distributed, such securities with a greater number of votes per share (but in no event greater than ten (10) times; provided that, unless otherwise approved by the affirmative vote of the holders of a majority of the voting power of the then-outstanding shares of Class B common stock entitled to vote thereon, the class or series of securities received by the holders of Class B common stock shall provide for ten (10) votes per share) than such securities into which shares of Class A common stock are converted, or which are otherwise paid or distributed to the holders of shares of Class A common stock (and the provisions governing the securities payable or otherwise distributable to the holders of shares of Class B common stock may also differ from the provision governing the securities payable or otherwise distributable to the holders of shares of Class A Common Stock in the same relative manner as the Class A common stock and Class B common stock differ from each other as set forth in this Restated Certificate of Incorporation, mutatis mutandis, and any other related differences in designations, conversion and share distribution provisions, as applicable), without any requirement that such different treatment be approved by the holders of shares of Class A common stock and Class B common stock, each voting separately as a class.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Number</w:t>
      </w:r>
      <w:r>
        <w:rPr>
          <w:rFonts w:ascii="Arial" w:cs="Arial" w:eastAsia="Arial" w:hAnsi="Arial"/>
          <w:sz w:val="18"/>
          <w:szCs w:val="18"/>
          <w:color w:val="auto"/>
        </w:rPr>
        <w:t xml:space="preserve">. Except as otherwise provided for or fixed pursuant to the provisions of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hereof (including any Preferred Stock Designation), the Board of Directors shall consist of such number of directors as shall be determined from time to time solely by resolution adopted by a majority of the directors then in office;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directors then in office are not less than one-third of the total number of directors then authorized.</w:t>
      </w:r>
    </w:p>
    <w:p>
      <w:pPr>
        <w:spacing w:after="0" w:line="18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Classification</w:t>
      </w:r>
      <w:r>
        <w:rPr>
          <w:rFonts w:ascii="Arial" w:cs="Arial" w:eastAsia="Arial" w:hAnsi="Arial"/>
          <w:sz w:val="17"/>
          <w:szCs w:val="17"/>
          <w:color w:val="auto"/>
        </w:rPr>
        <w:t>. Except as may be otherwise provided with respect to directors elected by the separate vote of the holders of one or more series of Preferred Stock (the “</w:t>
      </w:r>
      <w:r>
        <w:rPr>
          <w:rFonts w:ascii="Arial" w:cs="Arial" w:eastAsia="Arial" w:hAnsi="Arial"/>
          <w:sz w:val="17"/>
          <w:szCs w:val="17"/>
          <w:u w:val="single" w:color="auto"/>
          <w:color w:val="auto"/>
        </w:rPr>
        <w:t>Preferred Stock Directors</w:t>
      </w:r>
      <w:r>
        <w:rPr>
          <w:rFonts w:ascii="Arial" w:cs="Arial" w:eastAsia="Arial" w:hAnsi="Arial"/>
          <w:sz w:val="17"/>
          <w:szCs w:val="17"/>
          <w:color w:val="auto"/>
        </w:rPr>
        <w:t>”), the directors shall be divided into three classes as nearly equal in number as is practicable, hereby designated as Class I, Class II and Class III. The initial assignment of members of the Board of Directors to each such class shall be made by the Board of Directors. The initial term of office of the Class I directors will expire at the Corporation’s first annual meeting of stockholders following the Effective Time; the initial term of office of the Class II directors will expire at the Corporation’s second annual meeting of stockholders following the Effective Time; and the initial term of office of the Class III directors will expire at the Corporation’s third annual meeting of stockholders following the Effective Time. At each annual meeting of stockholders following the Effective Time, directors elected to succeed those directors of the class whose terms then expire will be elected for a term of office to expire at the third succeeding annual meeting of stockholders after their election. Notwithstanding the foregoing provisions of this</w:t>
      </w:r>
    </w:p>
    <w:p>
      <w:pPr>
        <w:sectPr>
          <w:pgSz w:w="11900" w:h="16838" w:orient="portrait"/>
          <w:cols w:equalWidth="0" w:num="1">
            <w:col w:w="10980"/>
          </w:cols>
          <w:pgMar w:left="440" w:top="274" w:right="479" w:bottom="1440" w:gutter="0" w:footer="0" w:header="0"/>
        </w:sectPr>
      </w:pPr>
    </w:p>
    <w:bookmarkStart w:id="74" w:name="page75"/>
    <w:bookmarkEnd w:id="74"/>
    <w:p>
      <w:pPr>
        <w:ind w:left="4"/>
        <w:spacing w:after="0" w:line="27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r>
        <w:rPr>
          <w:rFonts w:ascii="Arial" w:cs="Arial" w:eastAsia="Arial" w:hAnsi="Arial"/>
          <w:sz w:val="17"/>
          <w:szCs w:val="17"/>
          <w:color w:val="auto"/>
        </w:rPr>
        <w:t>, each director shall serve until such director’s successor is duly elected and qualified or until such director’s earlier death, resignation, removal, retirement or disqualification. If the number of directors divided into classes is hereafter changed, any newly created directorships or decrease in directorships shall be so apportioned among the classes as to make all classes as nearly equal in number as is practicable; provided that no decrease in the number of directors constituting the Board of Directors shall shorten the term of any incumbent director. In case of any increase or decrease, from time to time, in the number of directors (other than Preferred Stock Directors), the number of directors in each class shall be fixed solely by the Board of Directors as determined solely by the Board of Directors. The Board of Directors is authorized to assign members of the Board of Directors already in office to Class I, Class II or Class III.</w:t>
      </w:r>
    </w:p>
    <w:p>
      <w:pPr>
        <w:spacing w:after="0" w:line="177" w:lineRule="exact"/>
        <w:rPr>
          <w:sz w:val="20"/>
          <w:szCs w:val="20"/>
          <w:color w:val="auto"/>
        </w:rPr>
      </w:pPr>
    </w:p>
    <w:p>
      <w:pPr>
        <w:jc w:val="both"/>
        <w:ind w:left="4" w:right="80" w:firstLine="440"/>
        <w:spacing w:after="0" w:line="26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Removal</w:t>
      </w:r>
      <w:r>
        <w:rPr>
          <w:rFonts w:ascii="Arial" w:cs="Arial" w:eastAsia="Arial" w:hAnsi="Arial"/>
          <w:sz w:val="18"/>
          <w:szCs w:val="18"/>
          <w:color w:val="auto"/>
        </w:rPr>
        <w:t>. Any director (other than any Preferred Stock Director) serving in Class I, Class II or Class III may be removed from office, but only for cause, by the affirmative vote of holders of a majority of the voting power of the outstanding shares entitled to vote in the election of such directors, voting together as a single class.</w:t>
      </w:r>
    </w:p>
    <w:p>
      <w:pPr>
        <w:spacing w:after="0" w:line="184"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Powers</w:t>
      </w:r>
      <w:r>
        <w:rPr>
          <w:rFonts w:ascii="Arial" w:cs="Arial" w:eastAsia="Arial" w:hAnsi="Arial"/>
          <w:sz w:val="18"/>
          <w:szCs w:val="18"/>
          <w:color w:val="auto"/>
        </w:rPr>
        <w:t>. Except as otherwise required by the DGCL or as provided in this Restated Certificate of Incorporation, the business and affairs of the Corporation shall be managed by or under the direction of the Board of Directors.</w:t>
      </w:r>
    </w:p>
    <w:p>
      <w:pPr>
        <w:spacing w:after="0" w:line="170"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Preferred Stock Directors</w:t>
      </w:r>
      <w:r>
        <w:rPr>
          <w:rFonts w:ascii="Arial" w:cs="Arial" w:eastAsia="Arial" w:hAnsi="Arial"/>
          <w:sz w:val="16"/>
          <w:szCs w:val="16"/>
          <w:color w:val="auto"/>
        </w:rPr>
        <w:t xml:space="preserve"> . During any period when the holders of one or more series of Preferred Stock have the special right to elect additional directors pursuant to the provisions of this Restated Certificate of Incorporation (including any Certificate of Designation), then, notwithstanding anything to the contrary set forth herein, upon commencement and for the duration of the period during which such right continues:</w:t>
      </w:r>
    </w:p>
    <w:p>
      <w:pPr>
        <w:spacing w:after="0" w:line="2" w:lineRule="exact"/>
        <w:rPr>
          <w:sz w:val="20"/>
          <w:szCs w:val="20"/>
          <w:color w:val="auto"/>
        </w:rPr>
      </w:pPr>
    </w:p>
    <w:p>
      <w:pPr>
        <w:ind w:left="4" w:right="20" w:hanging="4"/>
        <w:spacing w:after="0" w:line="268" w:lineRule="auto"/>
        <w:tabs>
          <w:tab w:leader="none" w:pos="249"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total authorized number of directors of the Corporation shall automatically be increased by such specified number of directors, and the holders of such series of Preferred Stock shall be entitled to elect the additional directors so provided for or fixed pursuant to said provisions, and (b) each such additional director shall serve until the next annual meeting for the election of such director and until such director’s successor shall have been duly elected and qualified, or until such director’s right to hold such office terminates pursuant to said provisions, whichever occurs earlier, subject to his or her earlier death, resignation, retirement, disqualification or removal. Notwithstanding anything to the contrary set forth herein, except as otherwise provided by this Restated Certificate of Incorporation (including any Certificate of Designation), whenever the holders of one or more series of Preferred Stock having such right to elect additional directors are divested of such right pursuant to this Restated Certification of Incorporation (including any Certificate of Designation), the terms of office of all such additional directors shall forthwith terminate, such additional directors shall cease to be qualified as, and shall cease to be, directors of the Corporation, and the total authorized number of directors of the Corporation shall be reduced accordingly.</w:t>
      </w:r>
    </w:p>
    <w:p>
      <w:pPr>
        <w:spacing w:after="0" w:line="1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Election; Annual Meeting of Stockholders</w:t>
      </w:r>
      <w:r>
        <w:rPr>
          <w:rFonts w:ascii="Arial" w:cs="Arial" w:eastAsia="Arial" w:hAnsi="Arial"/>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Ballot Not Required</w:t>
      </w:r>
      <w:r>
        <w:rPr>
          <w:rFonts w:ascii="Arial" w:cs="Arial" w:eastAsia="Arial" w:hAnsi="Arial"/>
          <w:sz w:val="18"/>
          <w:szCs w:val="18"/>
          <w:color w:val="auto"/>
        </w:rPr>
        <w:t>. The directors of the Corporation need not be elected by written ballot unless the Bylaws so provide.</w:t>
      </w:r>
    </w:p>
    <w:p>
      <w:pPr>
        <w:spacing w:after="0" w:line="117" w:lineRule="exact"/>
        <w:rPr>
          <w:rFonts w:ascii="Arial" w:cs="Arial" w:eastAsia="Arial" w:hAnsi="Arial"/>
          <w:sz w:val="18"/>
          <w:szCs w:val="18"/>
          <w:color w:val="auto"/>
        </w:rPr>
      </w:pPr>
    </w:p>
    <w:p>
      <w:pPr>
        <w:jc w:val="both"/>
        <w:ind w:left="4" w:right="140" w:firstLine="987"/>
        <w:spacing w:after="0" w:line="259" w:lineRule="auto"/>
        <w:tabs>
          <w:tab w:leader="none" w:pos="125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Subject to the rights of the holders of any series of Preferred Stock under this Restated Certificate of Incorporation (including any Certificate of Designation), advance notice of nominations for the election of directors, and of business other than nominations, to be proposed by stockholders for consideration at a meeting of stockholders of the Corporation shall be given in the manner and to the extent provided in or contemplated by the Bylaws.</w:t>
      </w:r>
    </w:p>
    <w:p>
      <w:pPr>
        <w:spacing w:after="0" w:line="78" w:lineRule="exact"/>
        <w:rPr>
          <w:rFonts w:ascii="Arial" w:cs="Arial" w:eastAsia="Arial" w:hAnsi="Arial"/>
          <w:sz w:val="18"/>
          <w:szCs w:val="18"/>
          <w:color w:val="auto"/>
        </w:rPr>
      </w:pPr>
    </w:p>
    <w:p>
      <w:pPr>
        <w:ind w:left="4" w:right="340" w:firstLine="987"/>
        <w:spacing w:after="0" w:line="263" w:lineRule="auto"/>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Annual Meeting</w:t>
      </w:r>
      <w:r>
        <w:rPr>
          <w:rFonts w:ascii="Arial" w:cs="Arial" w:eastAsia="Arial" w:hAnsi="Arial"/>
          <w:sz w:val="18"/>
          <w:szCs w:val="18"/>
          <w:color w:val="auto"/>
        </w:rPr>
        <w:t>. Any annual meeting of stockholders, for the election of directors to succeed those whose terms expire and for the transaction of such other business as may properly come before the meeting, shall be held at such place, if any, either within or without the State of Delaware, on such date, and at such time as the Board of Directors shall fix.</w:t>
      </w:r>
    </w:p>
    <w:p>
      <w:pPr>
        <w:sectPr>
          <w:pgSz w:w="11900" w:h="16838" w:orient="portrait"/>
          <w:cols w:equalWidth="0" w:num="1">
            <w:col w:w="10984"/>
          </w:cols>
          <w:pgMar w:left="436" w:top="274" w:right="47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ACTION</w:t>
      </w:r>
    </w:p>
    <w:p>
      <w:pPr>
        <w:spacing w:after="0" w:line="21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Any action required or permitted to be taken by the stockholders of the Corporation at any annual or special meeting of stockholders may be taken without a meeting, without prior notice and without a vote, if a consent or consents in writing, setting forth the action so taken, (a) shall be signed by holders of record on the consent record date (established as provided in the bylaws of the Corporation) of the Corporation’s then outstanding capital stock having not less than the minimum number of votes that would be necessary to authorize or take such action at a meeting at which all shares entitled to vote thereon were present and voted and (b) shall be delivered to the secretary of the Corporation in accordance the bylaws of the Corporation.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MEETINGS OF STOCKHOLDERS</w:t>
      </w:r>
    </w:p>
    <w:p>
      <w:pPr>
        <w:spacing w:after="0" w:line="211"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Subject to the special rights of the holders of any series of Preferred Stock under this Restated Certificate of Incorporation (including any Certificate of Designation), and except as otherwise required by law, a special meeting of the stockholders of the Corporation may be called at any time only by the Chief Executive Officer, Board of Directors or the Chairman of the Board of Directors. Only such business shall be conducted at a special meeting of stockholders as shall have been brought before the meeting by or at the direction of the Board of Directors.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COMBINATIONS WITH INTERESTED STOCKHOLDERS</w:t>
      </w:r>
    </w:p>
    <w:p>
      <w:pPr>
        <w:spacing w:after="0" w:line="211" w:lineRule="exact"/>
        <w:rPr>
          <w:sz w:val="20"/>
          <w:szCs w:val="20"/>
          <w:color w:val="auto"/>
        </w:rPr>
      </w:pPr>
    </w:p>
    <w:p>
      <w:pPr>
        <w:ind w:left="1240" w:hanging="253"/>
        <w:spacing w:after="0"/>
        <w:tabs>
          <w:tab w:leader="none" w:pos="124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Opt Out</w:t>
      </w:r>
      <w:r>
        <w:rPr>
          <w:rFonts w:ascii="Arial" w:cs="Arial" w:eastAsia="Arial" w:hAnsi="Arial"/>
          <w:sz w:val="16"/>
          <w:szCs w:val="16"/>
          <w:color w:val="auto"/>
        </w:rPr>
        <w:t>. The Corporation hereby expressly elects that it shall not be governed by, or otherwise subject to, Section 203 of the DGCL.</w:t>
      </w:r>
    </w:p>
    <w:p>
      <w:pPr>
        <w:spacing w:after="0" w:line="140" w:lineRule="exact"/>
        <w:rPr>
          <w:rFonts w:ascii="Arial" w:cs="Arial" w:eastAsia="Arial" w:hAnsi="Arial"/>
          <w:sz w:val="16"/>
          <w:szCs w:val="16"/>
          <w:color w:val="auto"/>
        </w:rPr>
      </w:pPr>
    </w:p>
    <w:p>
      <w:pPr>
        <w:jc w:val="both"/>
        <w:ind w:right="180" w:firstLine="987"/>
        <w:spacing w:after="0" w:line="259" w:lineRule="auto"/>
        <w:tabs>
          <w:tab w:leader="none" w:pos="124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Applicable Restrictions to Business Combinations</w:t>
      </w:r>
      <w:r>
        <w:rPr>
          <w:rFonts w:ascii="Arial" w:cs="Arial" w:eastAsia="Arial" w:hAnsi="Arial"/>
          <w:sz w:val="18"/>
          <w:szCs w:val="18"/>
          <w:color w:val="auto"/>
        </w:rPr>
        <w:t>. Notwithstanding the foregoing, the Corporation shall not engage in any business combination (as defined below), at any point in time at which any class of Common Stock is registered under Section 12(b) or 12(g) of the Securities Exchange Act of 1934, as amended (the “Exchange Act”), with any interested stockholder (as defined below) for a period of three years following the time that such stockholder became an interested stockholder, unless:</w:t>
      </w:r>
    </w:p>
    <w:p>
      <w:pPr>
        <w:spacing w:after="0" w:line="78" w:lineRule="exact"/>
        <w:rPr>
          <w:rFonts w:ascii="Arial" w:cs="Arial" w:eastAsia="Arial" w:hAnsi="Arial"/>
          <w:sz w:val="18"/>
          <w:szCs w:val="18"/>
          <w:color w:val="auto"/>
        </w:rPr>
      </w:pPr>
    </w:p>
    <w:p>
      <w:pPr>
        <w:ind w:right="480" w:firstLine="1428"/>
        <w:spacing w:after="0" w:line="277" w:lineRule="auto"/>
        <w:tabs>
          <w:tab w:leader="none" w:pos="1647" w:val="left"/>
        </w:tabs>
        <w:numPr>
          <w:ilvl w:val="1"/>
          <w:numId w:val="84"/>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spacing w:after="0" w:line="62" w:lineRule="exact"/>
        <w:rPr>
          <w:rFonts w:ascii="Arial" w:cs="Arial" w:eastAsia="Arial" w:hAnsi="Arial"/>
          <w:sz w:val="18"/>
          <w:szCs w:val="18"/>
          <w:color w:val="auto"/>
        </w:rPr>
      </w:pPr>
    </w:p>
    <w:p>
      <w:pPr>
        <w:ind w:right="20" w:firstLine="1428"/>
        <w:spacing w:after="0" w:line="296" w:lineRule="auto"/>
        <w:tabs>
          <w:tab w:leader="none" w:pos="1697" w:val="left"/>
        </w:tabs>
        <w:numPr>
          <w:ilvl w:val="1"/>
          <w:numId w:val="84"/>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eighty-five percent (85%) of the voting stock (as defined below)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53" w:lineRule="exact"/>
        <w:rPr>
          <w:rFonts w:ascii="Arial" w:cs="Arial" w:eastAsia="Arial" w:hAnsi="Arial"/>
          <w:sz w:val="16"/>
          <w:szCs w:val="16"/>
          <w:color w:val="auto"/>
        </w:rPr>
      </w:pPr>
    </w:p>
    <w:p>
      <w:pPr>
        <w:ind w:right="120" w:firstLine="1428"/>
        <w:spacing w:after="0" w:line="263" w:lineRule="auto"/>
        <w:tabs>
          <w:tab w:leader="none" w:pos="1747" w:val="left"/>
        </w:tabs>
        <w:numPr>
          <w:ilvl w:val="1"/>
          <w:numId w:val="84"/>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50% of the outstanding voting stock of the Corporation which is not owned by the interested stockholder.</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references to:</w:t>
      </w:r>
    </w:p>
    <w:p>
      <w:pPr>
        <w:spacing w:after="0" w:line="117" w:lineRule="exact"/>
        <w:rPr>
          <w:rFonts w:ascii="Arial" w:cs="Arial" w:eastAsia="Arial" w:hAnsi="Arial"/>
          <w:sz w:val="18"/>
          <w:szCs w:val="18"/>
          <w:color w:val="auto"/>
        </w:rPr>
      </w:pPr>
    </w:p>
    <w:p>
      <w:pPr>
        <w:ind w:right="80" w:firstLine="1428"/>
        <w:spacing w:after="0" w:line="277" w:lineRule="auto"/>
        <w:tabs>
          <w:tab w:leader="none" w:pos="1647"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of more intermediaries, controls, or is controlled by, or is under common control with, another person.</w:t>
      </w:r>
    </w:p>
    <w:p>
      <w:pPr>
        <w:sectPr>
          <w:pgSz w:w="11900" w:h="16838" w:orient="portrait"/>
          <w:cols w:equalWidth="0" w:num="1">
            <w:col w:w="10980"/>
          </w:cols>
          <w:pgMar w:left="440" w:top="270" w:right="479" w:bottom="1440" w:gutter="0" w:footer="0" w:header="0"/>
        </w:sectPr>
      </w:pPr>
    </w:p>
    <w:bookmarkStart w:id="76" w:name="page77"/>
    <w:bookmarkEnd w:id="76"/>
    <w:p>
      <w:pPr>
        <w:ind w:left="4" w:right="160" w:firstLine="1428"/>
        <w:spacing w:after="0" w:line="301" w:lineRule="auto"/>
        <w:tabs>
          <w:tab w:leader="none" w:pos="1701" w:val="left"/>
        </w:tabs>
        <w:numPr>
          <w:ilvl w:val="1"/>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associate</w:t>
      </w:r>
      <w:r>
        <w:rPr>
          <w:rFonts w:ascii="Arial" w:cs="Arial" w:eastAsia="Arial" w:hAnsi="Arial"/>
          <w:sz w:val="16"/>
          <w:szCs w:val="16"/>
          <w:color w:val="auto"/>
        </w:rPr>
        <w:t>,” when used to indicate a relationship with any person, means: (A) any corporation, partnership, unincorporated association or other entity of which such person is a director, officer or partner or is, directly or indirectly, the owner of 20% or more of any class of voting stock; (B) any trust or other estate in which such person has at least a 20% beneficial interest or as to which such person serves as trustee or in a similar fiduciary capacity; and (C) any relative or spouse of such person, or any relative of such spouse, who has the same residence as such person.</w:t>
      </w:r>
    </w:p>
    <w:p>
      <w:pPr>
        <w:spacing w:after="0" w:line="49" w:lineRule="exact"/>
        <w:rPr>
          <w:rFonts w:ascii="Arial" w:cs="Arial" w:eastAsia="Arial" w:hAnsi="Arial"/>
          <w:sz w:val="16"/>
          <w:szCs w:val="16"/>
          <w:color w:val="auto"/>
        </w:rPr>
      </w:pPr>
    </w:p>
    <w:p>
      <w:pPr>
        <w:ind w:left="1744" w:hanging="312"/>
        <w:spacing w:after="0"/>
        <w:tabs>
          <w:tab w:leader="none" w:pos="1744" w:val="left"/>
        </w:tabs>
        <w:numPr>
          <w:ilvl w:val="1"/>
          <w:numId w:val="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when used in reference to the Corporation and any interested stockholder of the Corporation, means:</w:t>
      </w:r>
    </w:p>
    <w:p>
      <w:pPr>
        <w:spacing w:after="0" w:line="140" w:lineRule="exact"/>
        <w:rPr>
          <w:rFonts w:ascii="Arial" w:cs="Arial" w:eastAsia="Arial" w:hAnsi="Arial"/>
          <w:sz w:val="16"/>
          <w:szCs w:val="16"/>
          <w:color w:val="auto"/>
        </w:rPr>
      </w:pPr>
    </w:p>
    <w:p>
      <w:pPr>
        <w:ind w:left="2284" w:hanging="301"/>
        <w:spacing w:after="0"/>
        <w:tabs>
          <w:tab w:leader="none" w:pos="2284" w:val="left"/>
        </w:tabs>
        <w:numPr>
          <w:ilvl w:val="2"/>
          <w:numId w:val="85"/>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direct or indirect majority-owned subsidiary of the Corporation</w:t>
      </w:r>
    </w:p>
    <w:p>
      <w:pPr>
        <w:spacing w:after="0" w:line="34" w:lineRule="exact"/>
        <w:rPr>
          <w:rFonts w:ascii="Arial" w:cs="Arial" w:eastAsia="Arial" w:hAnsi="Arial"/>
          <w:sz w:val="17"/>
          <w:szCs w:val="17"/>
          <w:color w:val="auto"/>
        </w:rPr>
      </w:pPr>
    </w:p>
    <w:p>
      <w:pPr>
        <w:ind w:left="4" w:right="240" w:hanging="4"/>
        <w:spacing w:after="0" w:line="255" w:lineRule="auto"/>
        <w:tabs>
          <w:tab w:leader="none" w:pos="2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with the interested stockholder, or (2) with any other corporation, partnership, unincorporated association or other entity if the merger or consolidation is caused by the interested stockholder and as a result of such merger or consolidation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is not applicable to the surviving entity;</w:t>
      </w:r>
    </w:p>
    <w:p>
      <w:pPr>
        <w:spacing w:after="0" w:line="81" w:lineRule="exact"/>
        <w:rPr>
          <w:rFonts w:ascii="Arial" w:cs="Arial" w:eastAsia="Arial" w:hAnsi="Arial"/>
          <w:sz w:val="18"/>
          <w:szCs w:val="18"/>
          <w:color w:val="auto"/>
        </w:rPr>
      </w:pPr>
    </w:p>
    <w:p>
      <w:pPr>
        <w:jc w:val="both"/>
        <w:ind w:left="4" w:right="140" w:firstLine="1979"/>
        <w:spacing w:after="0" w:line="257" w:lineRule="auto"/>
        <w:tabs>
          <w:tab w:leader="none" w:pos="2272" w:val="left"/>
        </w:tabs>
        <w:numPr>
          <w:ilvl w:val="2"/>
          <w:numId w:val="86"/>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79" w:lineRule="exact"/>
        <w:rPr>
          <w:rFonts w:ascii="Arial" w:cs="Arial" w:eastAsia="Arial" w:hAnsi="Arial"/>
          <w:sz w:val="18"/>
          <w:szCs w:val="18"/>
          <w:color w:val="auto"/>
        </w:rPr>
      </w:pPr>
    </w:p>
    <w:p>
      <w:pPr>
        <w:ind w:left="4" w:right="200" w:firstLine="1979"/>
        <w:spacing w:after="0" w:line="286" w:lineRule="auto"/>
        <w:tabs>
          <w:tab w:leader="none" w:pos="2272" w:val="left"/>
        </w:tabs>
        <w:numPr>
          <w:ilvl w:val="2"/>
          <w:numId w:val="86"/>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except: (1) pursuant to the exercise, exchange or conversion of securities exercisable for, exchangeable for or convertible into stock of the Corporation or any such subsidiary which securities were outstanding prior to the time that the interested stockholder became such; (2) pursuant to a merger under Section 251(g) of the DGCL;</w:t>
      </w:r>
    </w:p>
    <w:p>
      <w:pPr>
        <w:spacing w:after="0" w:line="1" w:lineRule="exact"/>
        <w:rPr>
          <w:rFonts w:ascii="Arial" w:cs="Arial" w:eastAsia="Arial" w:hAnsi="Arial"/>
          <w:sz w:val="16"/>
          <w:szCs w:val="16"/>
          <w:color w:val="auto"/>
        </w:rPr>
      </w:pPr>
    </w:p>
    <w:p>
      <w:pPr>
        <w:ind w:left="4" w:right="20" w:hanging="4"/>
        <w:spacing w:after="0" w:line="281" w:lineRule="auto"/>
        <w:tabs>
          <w:tab w:leader="none" w:pos="259"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(4) pursuant to an exchange offer by the Corporation to purchase stock made on the same terms to all holders of said stock; or (5) any issuance or transfer of stock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under items</w:t>
      </w:r>
    </w:p>
    <w:p>
      <w:pPr>
        <w:spacing w:after="0" w:line="2" w:lineRule="exact"/>
        <w:rPr>
          <w:rFonts w:ascii="Arial" w:cs="Arial" w:eastAsia="Arial" w:hAnsi="Arial"/>
          <w:sz w:val="16"/>
          <w:szCs w:val="16"/>
          <w:color w:val="auto"/>
        </w:rPr>
      </w:pPr>
    </w:p>
    <w:p>
      <w:pPr>
        <w:ind w:left="4" w:right="240" w:hanging="4"/>
        <w:spacing w:after="0" w:line="323" w:lineRule="auto"/>
        <w:tabs>
          <w:tab w:leader="none" w:pos="259"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through (5) of this subsection (C)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30" w:lineRule="exact"/>
        <w:rPr>
          <w:rFonts w:ascii="Arial" w:cs="Arial" w:eastAsia="Arial" w:hAnsi="Arial"/>
          <w:sz w:val="16"/>
          <w:szCs w:val="16"/>
          <w:color w:val="auto"/>
        </w:rPr>
      </w:pPr>
    </w:p>
    <w:p>
      <w:pPr>
        <w:ind w:left="4" w:firstLine="1979"/>
        <w:spacing w:after="0" w:line="257" w:lineRule="auto"/>
        <w:tabs>
          <w:tab w:leader="none" w:pos="2282" w:val="left"/>
        </w:tabs>
        <w:numPr>
          <w:ilvl w:val="2"/>
          <w:numId w:val="88"/>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79" w:lineRule="exact"/>
        <w:rPr>
          <w:rFonts w:ascii="Arial" w:cs="Arial" w:eastAsia="Arial" w:hAnsi="Arial"/>
          <w:sz w:val="18"/>
          <w:szCs w:val="18"/>
          <w:color w:val="auto"/>
        </w:rPr>
      </w:pPr>
    </w:p>
    <w:p>
      <w:pPr>
        <w:ind w:left="4" w:right="160" w:firstLine="1979"/>
        <w:spacing w:after="0" w:line="291" w:lineRule="auto"/>
        <w:tabs>
          <w:tab w:leader="none" w:pos="2262" w:val="left"/>
        </w:tabs>
        <w:numPr>
          <w:ilvl w:val="2"/>
          <w:numId w:val="88"/>
        </w:numPr>
        <w:rPr>
          <w:rFonts w:ascii="Arial" w:cs="Arial" w:eastAsia="Arial" w:hAnsi="Arial"/>
          <w:sz w:val="16"/>
          <w:szCs w:val="16"/>
          <w:color w:val="auto"/>
        </w:rPr>
      </w:pPr>
      <w:r>
        <w:rPr>
          <w:rFonts w:ascii="Arial" w:cs="Arial" w:eastAsia="Arial" w:hAnsi="Arial"/>
          <w:sz w:val="16"/>
          <w:szCs w:val="16"/>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w:t>
      </w:r>
    </w:p>
    <w:p>
      <w:pPr>
        <w:ind w:left="4"/>
        <w:spacing w:after="0"/>
        <w:rPr>
          <w:rFonts w:ascii="Arial" w:cs="Arial" w:eastAsia="Arial" w:hAnsi="Arial"/>
          <w:sz w:val="16"/>
          <w:szCs w:val="16"/>
          <w:color w:val="auto"/>
        </w:rPr>
      </w:pPr>
      <w:r>
        <w:rPr>
          <w:rFonts w:ascii="Arial" w:cs="Arial" w:eastAsia="Arial" w:hAnsi="Arial"/>
          <w:sz w:val="18"/>
          <w:szCs w:val="18"/>
          <w:color w:val="auto"/>
        </w:rPr>
        <w:t>(A) through (D) above) provided by or through the Corporation or any direct or indirect majority-owned subsidiary.</w:t>
      </w:r>
    </w:p>
    <w:p>
      <w:pPr>
        <w:spacing w:after="0" w:line="102" w:lineRule="exact"/>
        <w:rPr>
          <w:rFonts w:ascii="Arial" w:cs="Arial" w:eastAsia="Arial" w:hAnsi="Arial"/>
          <w:sz w:val="16"/>
          <w:szCs w:val="16"/>
          <w:color w:val="auto"/>
        </w:rPr>
      </w:pPr>
    </w:p>
    <w:p>
      <w:pPr>
        <w:ind w:left="4" w:right="20" w:firstLine="1428"/>
        <w:spacing w:after="0" w:line="255" w:lineRule="auto"/>
        <w:tabs>
          <w:tab w:leader="none" w:pos="1741" w:val="left"/>
        </w:tabs>
        <w:numPr>
          <w:ilvl w:val="1"/>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interested stockholder</w:t>
      </w:r>
      <w:r>
        <w:rPr>
          <w:rFonts w:ascii="Arial" w:cs="Arial" w:eastAsia="Arial" w:hAnsi="Arial"/>
          <w:sz w:val="18"/>
          <w:szCs w:val="18"/>
          <w:color w:val="auto"/>
        </w:rPr>
        <w:t xml:space="preserve">” means any person (other than the Corporation or any direct or indirect majority-owned subsidiary of the Corporation) that (A) is the owner of 15% or more of the outstanding voting stock of the Corporation, or (B)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“interested stockholder” shall not include (1) any Principal Holder, Principal Holder Direct Transferee or Principal Holder Indirect Transferee, (2) a stockholder that</w:t>
      </w:r>
    </w:p>
    <w:p>
      <w:pPr>
        <w:sectPr>
          <w:pgSz w:w="11900" w:h="16838" w:orient="portrait"/>
          <w:cols w:equalWidth="0" w:num="1">
            <w:col w:w="11024"/>
          </w:cols>
          <w:pgMar w:left="436" w:top="274" w:right="439" w:bottom="1440" w:gutter="0" w:footer="0" w:header="0"/>
        </w:sectPr>
      </w:pPr>
    </w:p>
    <w:bookmarkStart w:id="77" w:name="page78"/>
    <w:bookmarkEnd w:id="77"/>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becomes an interested stockholder inadvertently and (x) as soon as practicable divests itself of ownership of sufficient shares so that such stockholder ceases to be an interested stockholder and (y) would not, at any time within the three-year period immediately prior to a business combination between the Corporation and such stockholder, have been an interested stockholder but for the inadvertent acquisition of ownership or (3) any person whose ownership of shares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person specified in this clause (3)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58" w:lineRule="exact"/>
        <w:rPr>
          <w:sz w:val="20"/>
          <w:szCs w:val="20"/>
          <w:color w:val="auto"/>
        </w:rPr>
      </w:pPr>
    </w:p>
    <w:p>
      <w:pPr>
        <w:ind w:right="40" w:firstLine="1428"/>
        <w:spacing w:after="0" w:line="277" w:lineRule="auto"/>
        <w:tabs>
          <w:tab w:leader="none" w:pos="1687"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62" w:lineRule="exact"/>
        <w:rPr>
          <w:rFonts w:ascii="Arial" w:cs="Arial" w:eastAsia="Arial" w:hAnsi="Arial"/>
          <w:sz w:val="18"/>
          <w:szCs w:val="18"/>
          <w:color w:val="auto"/>
        </w:rPr>
      </w:pPr>
    </w:p>
    <w:p>
      <w:pPr>
        <w:ind w:left="2280" w:hanging="301"/>
        <w:spacing w:after="0"/>
        <w:tabs>
          <w:tab w:leader="none" w:pos="22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117" w:lineRule="exact"/>
        <w:rPr>
          <w:rFonts w:ascii="Arial" w:cs="Arial" w:eastAsia="Arial" w:hAnsi="Arial"/>
          <w:sz w:val="18"/>
          <w:szCs w:val="18"/>
          <w:color w:val="auto"/>
        </w:rPr>
      </w:pPr>
    </w:p>
    <w:p>
      <w:pPr>
        <w:ind w:firstLine="1979"/>
        <w:spacing w:after="0" w:line="272" w:lineRule="auto"/>
        <w:tabs>
          <w:tab w:leader="none" w:pos="2268" w:val="left"/>
        </w:tabs>
        <w:numPr>
          <w:ilvl w:val="1"/>
          <w:numId w:val="89"/>
        </w:numPr>
        <w:rPr>
          <w:rFonts w:ascii="Arial" w:cs="Arial" w:eastAsia="Arial" w:hAnsi="Arial"/>
          <w:sz w:val="17"/>
          <w:szCs w:val="17"/>
          <w:color w:val="auto"/>
        </w:rPr>
      </w:pPr>
      <w:r>
        <w:rPr>
          <w:rFonts w:ascii="Arial" w:cs="Arial" w:eastAsia="Arial" w:hAnsi="Arial"/>
          <w:sz w:val="17"/>
          <w:szCs w:val="17"/>
          <w:color w:val="auto"/>
        </w:rPr>
        <w:t xml:space="preserve">has (1)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(2)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69" w:lineRule="exact"/>
        <w:rPr>
          <w:rFonts w:ascii="Arial" w:cs="Arial" w:eastAsia="Arial" w:hAnsi="Arial"/>
          <w:sz w:val="17"/>
          <w:szCs w:val="17"/>
          <w:color w:val="auto"/>
        </w:rPr>
      </w:pPr>
    </w:p>
    <w:p>
      <w:pPr>
        <w:ind w:right="160" w:firstLine="1979"/>
        <w:spacing w:after="0" w:line="263" w:lineRule="auto"/>
        <w:tabs>
          <w:tab w:leader="none" w:pos="2268" w:val="left"/>
        </w:tabs>
        <w:numPr>
          <w:ilvl w:val="1"/>
          <w:numId w:val="89"/>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clause (2) of subsection (B) above), or disposing of such stock with any other person that beneficially owns, or whose affiliates or associates beneficially own, directly or indirectly, such stock.</w:t>
      </w:r>
    </w:p>
    <w:p>
      <w:pPr>
        <w:spacing w:after="0" w:line="75" w:lineRule="exact"/>
        <w:rPr>
          <w:rFonts w:ascii="Arial" w:cs="Arial" w:eastAsia="Arial" w:hAnsi="Arial"/>
          <w:sz w:val="18"/>
          <w:szCs w:val="18"/>
          <w:color w:val="auto"/>
        </w:rPr>
      </w:pPr>
    </w:p>
    <w:p>
      <w:pPr>
        <w:ind w:left="1740" w:hanging="312"/>
        <w:spacing w:after="0"/>
        <w:tabs>
          <w:tab w:leader="none" w:pos="1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117" w:lineRule="exact"/>
        <w:rPr>
          <w:rFonts w:ascii="Arial" w:cs="Arial" w:eastAsia="Arial" w:hAnsi="Arial"/>
          <w:sz w:val="18"/>
          <w:szCs w:val="18"/>
          <w:color w:val="auto"/>
        </w:rPr>
      </w:pPr>
    </w:p>
    <w:p>
      <w:pPr>
        <w:ind w:right="160" w:firstLine="1428"/>
        <w:spacing w:after="0" w:line="308" w:lineRule="auto"/>
        <w:tabs>
          <w:tab w:leader="none" w:pos="1787" w:val="left"/>
        </w:tabs>
        <w:numPr>
          <w:ilvl w:val="0"/>
          <w:numId w:val="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Holder Direct Transferee</w:t>
      </w:r>
      <w:r>
        <w:rPr>
          <w:rFonts w:ascii="Arial" w:cs="Arial" w:eastAsia="Arial" w:hAnsi="Arial"/>
          <w:sz w:val="17"/>
          <w:szCs w:val="17"/>
          <w:color w:val="auto"/>
        </w:rPr>
        <w:t>” means any person that acquires (other than in a registered public offering), directly from one or more of the Principal Holders, beneficial ownership of 15% or more of the then-outstanding voting stock of the Corporation.</w:t>
      </w:r>
    </w:p>
    <w:p>
      <w:pPr>
        <w:spacing w:after="0" w:line="38" w:lineRule="exact"/>
        <w:rPr>
          <w:rFonts w:ascii="Arial" w:cs="Arial" w:eastAsia="Arial" w:hAnsi="Arial"/>
          <w:sz w:val="17"/>
          <w:szCs w:val="17"/>
          <w:color w:val="auto"/>
        </w:rPr>
      </w:pPr>
    </w:p>
    <w:p>
      <w:pPr>
        <w:ind w:right="480" w:firstLine="1428"/>
        <w:spacing w:after="0" w:line="342" w:lineRule="auto"/>
        <w:tabs>
          <w:tab w:leader="none" w:pos="1837"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Holders</w:t>
      </w:r>
      <w:r>
        <w:rPr>
          <w:rFonts w:ascii="Arial" w:cs="Arial" w:eastAsia="Arial" w:hAnsi="Arial"/>
          <w:sz w:val="16"/>
          <w:szCs w:val="16"/>
          <w:color w:val="auto"/>
        </w:rPr>
        <w:t xml:space="preserve">” means the Sunset Holders, affiliates of the Sunset Holders and their respective successors;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“Principal Holders” shall not include the Corporation or any of the Corporation’s direct or indirect subsidiaries.</w:t>
      </w:r>
    </w:p>
    <w:p>
      <w:pPr>
        <w:spacing w:after="0" w:line="15" w:lineRule="exact"/>
        <w:rPr>
          <w:rFonts w:ascii="Arial" w:cs="Arial" w:eastAsia="Arial" w:hAnsi="Arial"/>
          <w:sz w:val="16"/>
          <w:szCs w:val="16"/>
          <w:color w:val="auto"/>
        </w:rPr>
      </w:pPr>
    </w:p>
    <w:p>
      <w:pPr>
        <w:jc w:val="both"/>
        <w:ind w:right="140" w:firstLine="1428"/>
        <w:spacing w:after="0" w:line="263" w:lineRule="auto"/>
        <w:tabs>
          <w:tab w:leader="none" w:pos="1737"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Holder Indirect Transferee</w:t>
      </w:r>
      <w:r>
        <w:rPr>
          <w:rFonts w:ascii="Arial" w:cs="Arial" w:eastAsia="Arial" w:hAnsi="Arial"/>
          <w:sz w:val="18"/>
          <w:szCs w:val="18"/>
          <w:color w:val="auto"/>
        </w:rPr>
        <w:t>” means any person that acquires (other than in a registered public offering) directly from any Principal Holder Direct Transferee or any other Principal Holder Indirect Transferee beneficial ownership of 15% or more of the then-outstanding voting stock of the Corporation.</w:t>
      </w:r>
    </w:p>
    <w:p>
      <w:pPr>
        <w:spacing w:after="0" w:line="75" w:lineRule="exact"/>
        <w:rPr>
          <w:rFonts w:ascii="Arial" w:cs="Arial" w:eastAsia="Arial" w:hAnsi="Arial"/>
          <w:sz w:val="18"/>
          <w:szCs w:val="18"/>
          <w:color w:val="auto"/>
        </w:rPr>
      </w:pPr>
    </w:p>
    <w:p>
      <w:pPr>
        <w:ind w:left="1680" w:hanging="252"/>
        <w:spacing w:after="0"/>
        <w:tabs>
          <w:tab w:leader="none" w:pos="1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117" w:lineRule="exact"/>
        <w:rPr>
          <w:rFonts w:ascii="Arial" w:cs="Arial" w:eastAsia="Arial" w:hAnsi="Arial"/>
          <w:sz w:val="18"/>
          <w:szCs w:val="18"/>
          <w:color w:val="auto"/>
        </w:rPr>
      </w:pPr>
    </w:p>
    <w:p>
      <w:pPr>
        <w:ind w:right="140" w:firstLine="1428"/>
        <w:spacing w:after="0" w:line="311" w:lineRule="auto"/>
        <w:tabs>
          <w:tab w:leader="none" w:pos="1737"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xml:space="preserve">” means stock of any class or series entitled to vote generally in the election of directors and, with respect to any entity that is not a corporation, any equity interest entitled to vote generally in the election of the governing body of such entity. Every reference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to a percentage or proportion of voting stock shall refer to such percentage or other proportion of the votes of such voting stock.</w:t>
      </w:r>
    </w:p>
    <w:p>
      <w:pPr>
        <w:sectPr>
          <w:pgSz w:w="11900" w:h="16838" w:orient="portrait"/>
          <w:cols w:equalWidth="0" w:num="1">
            <w:col w:w="11000"/>
          </w:cols>
          <w:pgMar w:left="440" w:top="274" w:right="4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PROTECTION OF TAX BENEFITS</w:t>
      </w:r>
    </w:p>
    <w:p>
      <w:pPr>
        <w:spacing w:after="0" w:line="211"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the following capitalized terms have the following meanings when used herein with initial capital letters (and any references to any portions of Treas. Reg. § 1.382-2T shall include any successor provisions):</w:t>
      </w:r>
    </w:p>
    <w:p>
      <w:pPr>
        <w:spacing w:after="0" w:line="62" w:lineRule="exact"/>
        <w:rPr>
          <w:sz w:val="20"/>
          <w:szCs w:val="20"/>
          <w:color w:val="auto"/>
        </w:rPr>
      </w:pPr>
    </w:p>
    <w:p>
      <w:pPr>
        <w:ind w:left="1240" w:hanging="253"/>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4.99-percent Transaction</w:t>
      </w:r>
      <w:r>
        <w:rPr>
          <w:rFonts w:ascii="Arial" w:cs="Arial" w:eastAsia="Arial" w:hAnsi="Arial"/>
          <w:sz w:val="18"/>
          <w:szCs w:val="18"/>
          <w:color w:val="auto"/>
        </w:rPr>
        <w:t xml:space="preserve">” means any Transfer described in clause (i) or (ii) of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87"/>
        <w:spacing w:after="0" w:line="311" w:lineRule="auto"/>
        <w:tabs>
          <w:tab w:leader="none" w:pos="1246" w:val="left"/>
        </w:tabs>
        <w:numPr>
          <w:ilvl w:val="0"/>
          <w:numId w:val="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4.99-percent Stockholder</w:t>
      </w:r>
      <w:r>
        <w:rPr>
          <w:rFonts w:ascii="Arial" w:cs="Arial" w:eastAsia="Arial" w:hAnsi="Arial"/>
          <w:sz w:val="16"/>
          <w:szCs w:val="16"/>
          <w:color w:val="auto"/>
        </w:rPr>
        <w:t>” means a Person or group of Persons that is a “5-percent stockholder” of the Corporation pursuant to Treas. Reg. § 1.382-2T(g), as applied by replacing “5-percent” with “4.99-percent” and “five percent” with “4.99 percent,” where applicable, which includes, without limitation, a Person who owns 4.99% or more of the Corporation’s then-outstanding Common Stock, whether directly or indirectly.</w:t>
      </w:r>
    </w:p>
    <w:p>
      <w:pPr>
        <w:spacing w:after="0" w:line="40" w:lineRule="exact"/>
        <w:rPr>
          <w:rFonts w:ascii="Arial" w:cs="Arial" w:eastAsia="Arial" w:hAnsi="Arial"/>
          <w:sz w:val="16"/>
          <w:szCs w:val="16"/>
          <w:color w:val="auto"/>
        </w:rPr>
      </w:pPr>
    </w:p>
    <w:p>
      <w:pPr>
        <w:ind w:left="1240" w:hanging="253"/>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from time to time.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Security</w:t>
      </w:r>
      <w:r>
        <w:rPr>
          <w:rFonts w:ascii="Arial" w:cs="Arial" w:eastAsia="Arial" w:hAnsi="Arial"/>
          <w:sz w:val="18"/>
          <w:szCs w:val="18"/>
          <w:color w:val="auto"/>
        </w:rPr>
        <w:t>” or “</w:t>
      </w:r>
      <w:r>
        <w:rPr>
          <w:rFonts w:ascii="Arial" w:cs="Arial" w:eastAsia="Arial" w:hAnsi="Arial"/>
          <w:sz w:val="18"/>
          <w:szCs w:val="18"/>
          <w:u w:val="single" w:color="auto"/>
          <w:color w:val="auto"/>
        </w:rPr>
        <w:t>Company Securities</w:t>
      </w:r>
      <w:r>
        <w:rPr>
          <w:rFonts w:ascii="Arial" w:cs="Arial" w:eastAsia="Arial" w:hAnsi="Arial"/>
          <w:sz w:val="18"/>
          <w:szCs w:val="18"/>
          <w:color w:val="auto"/>
        </w:rPr>
        <w:t>” means (i) any Common Stock, (ii) shares</w:t>
      </w:r>
    </w:p>
    <w:p>
      <w:pPr>
        <w:spacing w:after="0" w:line="23" w:lineRule="exact"/>
        <w:rPr>
          <w:sz w:val="20"/>
          <w:szCs w:val="20"/>
          <w:color w:val="auto"/>
        </w:rPr>
      </w:pPr>
    </w:p>
    <w:p>
      <w:pPr>
        <w:ind w:left="980" w:right="2480"/>
        <w:spacing w:after="0" w:line="277" w:lineRule="auto"/>
        <w:rPr>
          <w:sz w:val="20"/>
          <w:szCs w:val="20"/>
          <w:color w:val="auto"/>
        </w:rPr>
      </w:pPr>
      <w:r>
        <w:rPr>
          <w:rFonts w:ascii="Arial" w:cs="Arial" w:eastAsia="Arial" w:hAnsi="Arial"/>
          <w:sz w:val="17"/>
          <w:szCs w:val="17"/>
          <w:color w:val="auto"/>
        </w:rPr>
        <w:t>of preferred stock issued by the Corporation (other than preferred stock described in§ 1504(a)(4) of the Code), and (iii) warrants, rights, or options (including options within the meaning of Treas. Reg.§ 1.382-2T(h)(4)(v) or Treas. Reg.§ 1.382-4(d)(9)) to purchase securities of the Corporation.</w:t>
      </w:r>
    </w:p>
    <w:p>
      <w:pPr>
        <w:spacing w:after="0" w:line="65" w:lineRule="exact"/>
        <w:rPr>
          <w:sz w:val="20"/>
          <w:szCs w:val="20"/>
          <w:color w:val="auto"/>
        </w:rPr>
      </w:pPr>
    </w:p>
    <w:p>
      <w:pPr>
        <w:ind w:right="480" w:firstLine="987"/>
        <w:spacing w:after="0" w:line="277" w:lineRule="auto"/>
        <w:tabs>
          <w:tab w:leader="none" w:pos="12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of effectiveness of the filing with the Secretary of State of the State of Delaware of this Restated Certificate of Incorporation.</w:t>
      </w:r>
    </w:p>
    <w:p>
      <w:pPr>
        <w:spacing w:after="0" w:line="62" w:lineRule="exact"/>
        <w:rPr>
          <w:rFonts w:ascii="Arial" w:cs="Arial" w:eastAsia="Arial" w:hAnsi="Arial"/>
          <w:sz w:val="18"/>
          <w:szCs w:val="18"/>
          <w:color w:val="auto"/>
        </w:rPr>
      </w:pPr>
    </w:p>
    <w:p>
      <w:pPr>
        <w:ind w:firstLine="987"/>
        <w:spacing w:after="0" w:line="257" w:lineRule="auto"/>
        <w:tabs>
          <w:tab w:leader="none" w:pos="1216"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means the earliest of (i) the close of business on the date that is the third anniversary of the Effective Date, (ii) the repeal of Section 382 of the Code or any successor statute if the Board of Directors determines that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is no longer necessary or desirable for the preservation of Tax Benefits, (iii) the close of business on the first day of a taxable year of the Corporation as to which the Board of Directors determines that no Tax Benefits may be carried forward or (iv) such date as the Board of Directors shall fix in accordance with </w:t>
      </w:r>
      <w:r>
        <w:rPr>
          <w:rFonts w:ascii="Arial" w:cs="Arial" w:eastAsia="Arial" w:hAnsi="Arial"/>
          <w:sz w:val="18"/>
          <w:szCs w:val="18"/>
          <w:u w:val="single" w:color="auto"/>
          <w:color w:val="auto"/>
        </w:rPr>
        <w:t>Section 9.12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right="40" w:firstLine="987"/>
        <w:spacing w:after="0" w:line="263" w:lineRule="auto"/>
        <w:tabs>
          <w:tab w:leader="none" w:pos="12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Stock Ownership</w:t>
      </w:r>
      <w:r>
        <w:rPr>
          <w:rFonts w:ascii="Arial" w:cs="Arial" w:eastAsia="Arial" w:hAnsi="Arial"/>
          <w:sz w:val="18"/>
          <w:szCs w:val="18"/>
          <w:color w:val="auto"/>
        </w:rPr>
        <w:t>” means the percentage Stock Ownership interest of any Person or group (as the context may require) for purposes of Section 382 of the Code as determined in accordance with Treas. Reg. § 1.382-2T(g), (h), (j) and (k) and Treas. Reg. § 1.382-4, or any successor provisions and other pertinent Internal Revenue Service guidance.</w:t>
      </w:r>
    </w:p>
    <w:p>
      <w:pPr>
        <w:spacing w:after="0" w:line="75" w:lineRule="exact"/>
        <w:rPr>
          <w:rFonts w:ascii="Arial" w:cs="Arial" w:eastAsia="Arial" w:hAnsi="Arial"/>
          <w:sz w:val="18"/>
          <w:szCs w:val="18"/>
          <w:color w:val="auto"/>
        </w:rPr>
      </w:pPr>
    </w:p>
    <w:p>
      <w:pPr>
        <w:jc w:val="both"/>
        <w:ind w:right="100" w:firstLine="987"/>
        <w:spacing w:after="0" w:line="279" w:lineRule="auto"/>
        <w:tabs>
          <w:tab w:leader="none" w:pos="1246" w:val="left"/>
        </w:tabs>
        <w:numPr>
          <w:ilvl w:val="0"/>
          <w:numId w:val="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partnership, joint venture, limited liability company, firm, corporation, unincorporated association or organization, trust or other entity or any group of such “Persons” having a formal or informal understanding among themselves to make a “coordinated acquisition” of shares within the meaning of Treas. Reg.§ 1.382-3(a)(1) or who are otherwise treated as an “entity” within the meaning of Treas. Reg. § 1.382-3(a)(1), and shall include any successor (by merger or otherwise) of any such entity or group.</w:t>
      </w:r>
    </w:p>
    <w:p>
      <w:pPr>
        <w:spacing w:after="0" w:line="63" w:lineRule="exact"/>
        <w:rPr>
          <w:rFonts w:ascii="Arial" w:cs="Arial" w:eastAsia="Arial" w:hAnsi="Arial"/>
          <w:sz w:val="17"/>
          <w:szCs w:val="17"/>
          <w:color w:val="auto"/>
        </w:rPr>
      </w:pPr>
    </w:p>
    <w:p>
      <w:pPr>
        <w:ind w:right="560" w:firstLine="987"/>
        <w:spacing w:after="0" w:line="277" w:lineRule="auto"/>
        <w:tabs>
          <w:tab w:leader="none" w:pos="1206"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Distributions</w:t>
      </w:r>
      <w:r>
        <w:rPr>
          <w:rFonts w:ascii="Arial" w:cs="Arial" w:eastAsia="Arial" w:hAnsi="Arial"/>
          <w:sz w:val="18"/>
          <w:szCs w:val="18"/>
          <w:color w:val="auto"/>
        </w:rPr>
        <w:t>” means any and all dividends or other distributions paid by the Corporation with respect to any Excess Securities received by a Purported Transferee.</w:t>
      </w:r>
    </w:p>
    <w:p>
      <w:pPr>
        <w:spacing w:after="0" w:line="62" w:lineRule="exact"/>
        <w:rPr>
          <w:rFonts w:ascii="Arial" w:cs="Arial" w:eastAsia="Arial" w:hAnsi="Arial"/>
          <w:sz w:val="18"/>
          <w:szCs w:val="18"/>
          <w:color w:val="auto"/>
        </w:rPr>
      </w:pPr>
    </w:p>
    <w:p>
      <w:pPr>
        <w:ind w:right="280" w:firstLine="987"/>
        <w:spacing w:after="0" w:line="277" w:lineRule="auto"/>
        <w:tabs>
          <w:tab w:leader="none" w:pos="1206"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Transfer</w:t>
      </w:r>
      <w:r>
        <w:rPr>
          <w:rFonts w:ascii="Arial" w:cs="Arial" w:eastAsia="Arial" w:hAnsi="Arial"/>
          <w:sz w:val="18"/>
          <w:szCs w:val="18"/>
          <w:color w:val="auto"/>
        </w:rPr>
        <w:t xml:space="preserve">” means any Transfer or purported Transfer of Company Securities to the extent that such Transfer is prohibited and/or void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Group</w:t>
      </w:r>
      <w:r>
        <w:rPr>
          <w:rFonts w:ascii="Arial" w:cs="Arial" w:eastAsia="Arial" w:hAnsi="Arial"/>
          <w:sz w:val="18"/>
          <w:szCs w:val="18"/>
          <w:color w:val="auto"/>
        </w:rPr>
        <w:t>” has the meaning set forth in Treas. Reg. § 1.382-2T(f)(l3).</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any interest that would be treated as “stock” of the Corporation pursuant to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Treas. Reg. § 1.382-2T(f)(l8).</w:t>
      </w:r>
    </w:p>
    <w:p>
      <w:pPr>
        <w:sectPr>
          <w:pgSz w:w="11900" w:h="16838" w:orient="portrait"/>
          <w:cols w:equalWidth="0" w:num="1">
            <w:col w:w="11000"/>
          </w:cols>
          <w:pgMar w:left="440" w:top="270" w:right="459" w:bottom="1440" w:gutter="0" w:footer="0" w:header="0"/>
        </w:sectPr>
      </w:pPr>
    </w:p>
    <w:bookmarkStart w:id="79" w:name="page80"/>
    <w:bookmarkEnd w:id="79"/>
    <w:p>
      <w:pPr>
        <w:ind w:left="4" w:right="20" w:firstLine="987"/>
        <w:spacing w:after="0" w:line="275" w:lineRule="auto"/>
        <w:tabs>
          <w:tab w:leader="none" w:pos="1300" w:val="left"/>
        </w:tabs>
        <w:numPr>
          <w:ilvl w:val="0"/>
          <w:numId w:val="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Stock Ownership</w:t>
      </w:r>
      <w:r>
        <w:rPr>
          <w:rFonts w:ascii="Arial" w:cs="Arial" w:eastAsia="Arial" w:hAnsi="Arial"/>
          <w:sz w:val="17"/>
          <w:szCs w:val="17"/>
          <w:color w:val="auto"/>
        </w:rPr>
        <w:t>” means any direct or indirect ownership of Stock, including any ownership by virtue of application of constructive ownership rules, with such direct, indirect and constructive ownership determined under the provisions of Section 382 of the Code and the Treasury Regulations thereunder, including, for the avoidance of doubt, any ownership whereby a Person owns Stock pursuant to a “coordinated acquisition” treated as a single “entity” as defined in Treas. Reg. § 1.382-3(a)(l), or such Stock is otherwise aggregated with Stock owned by such Person pursuant to the provisions of Section 382 of the Code and the Treasury Regulations thereunder.</w:t>
      </w:r>
    </w:p>
    <w:p>
      <w:pPr>
        <w:spacing w:after="0" w:line="68" w:lineRule="exact"/>
        <w:rPr>
          <w:rFonts w:ascii="Arial" w:cs="Arial" w:eastAsia="Arial" w:hAnsi="Arial"/>
          <w:sz w:val="17"/>
          <w:szCs w:val="17"/>
          <w:color w:val="auto"/>
        </w:rPr>
      </w:pPr>
    </w:p>
    <w:p>
      <w:pPr>
        <w:ind w:left="4" w:right="380" w:firstLine="987"/>
        <w:spacing w:after="0" w:line="286" w:lineRule="auto"/>
        <w:tabs>
          <w:tab w:leader="none" w:pos="125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Benefits</w:t>
      </w:r>
      <w:r>
        <w:rPr>
          <w:rFonts w:ascii="Arial" w:cs="Arial" w:eastAsia="Arial" w:hAnsi="Arial"/>
          <w:sz w:val="17"/>
          <w:szCs w:val="17"/>
          <w:color w:val="auto"/>
        </w:rPr>
        <w:t>” means the net operating loss carryforwards, capital loss carryforwards, general business credit carryforwards, alternative minimum tax credit carryforwards and foreign tax credit carryforwards, as well as any loss or deduction attributable to a “net unrealized built-in loss” of the Corporation or any direct or indirect subsidiary thereof, within the meaning of Section 382 of the Code.</w:t>
      </w:r>
    </w:p>
    <w:p>
      <w:pPr>
        <w:spacing w:after="0" w:line="57" w:lineRule="exact"/>
        <w:rPr>
          <w:rFonts w:ascii="Arial" w:cs="Arial" w:eastAsia="Arial" w:hAnsi="Arial"/>
          <w:sz w:val="17"/>
          <w:szCs w:val="17"/>
          <w:color w:val="auto"/>
        </w:rPr>
      </w:pPr>
    </w:p>
    <w:p>
      <w:pPr>
        <w:ind w:left="4" w:firstLine="987"/>
        <w:spacing w:after="0" w:line="301" w:lineRule="auto"/>
        <w:tabs>
          <w:tab w:leader="none" w:pos="125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means any direct or indirect sale, transfer, assignment, conveyance, pledge or other disposition, event or occurrence or other action taken by a Person, other than the Corporation, that alters the Percentage Stock Ownership of any Person or group. A Transfer also shall include the creation or grant of an option (including an option within the meaning of Treas. Reg. § 1.382-4 (d)). For the avoidance of doubt, a Transfer shall not include the creation or grant of an option by the Corporation, nor shall a Transfer include the issuance of Stock by the Corporation.</w:t>
      </w:r>
    </w:p>
    <w:p>
      <w:pPr>
        <w:spacing w:after="0" w:line="49" w:lineRule="exact"/>
        <w:rPr>
          <w:rFonts w:ascii="Arial" w:cs="Arial" w:eastAsia="Arial" w:hAnsi="Arial"/>
          <w:sz w:val="16"/>
          <w:szCs w:val="16"/>
          <w:color w:val="auto"/>
        </w:rPr>
      </w:pPr>
    </w:p>
    <w:p>
      <w:pPr>
        <w:ind w:left="1244" w:hanging="253"/>
        <w:spacing w:after="0"/>
        <w:tabs>
          <w:tab w:leader="none" w:pos="1244"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Person to whom Company Securities are transferred.</w:t>
      </w:r>
    </w:p>
    <w:p>
      <w:pPr>
        <w:spacing w:after="0" w:line="117" w:lineRule="exact"/>
        <w:rPr>
          <w:rFonts w:ascii="Arial" w:cs="Arial" w:eastAsia="Arial" w:hAnsi="Arial"/>
          <w:sz w:val="18"/>
          <w:szCs w:val="18"/>
          <w:color w:val="auto"/>
        </w:rPr>
      </w:pPr>
    </w:p>
    <w:p>
      <w:pPr>
        <w:ind w:left="4" w:right="680" w:firstLine="987"/>
        <w:spacing w:after="0" w:line="277" w:lineRule="auto"/>
        <w:tabs>
          <w:tab w:leader="none" w:pos="125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or “</w:t>
      </w:r>
      <w:r>
        <w:rPr>
          <w:rFonts w:ascii="Arial" w:cs="Arial" w:eastAsia="Arial" w:hAnsi="Arial"/>
          <w:sz w:val="18"/>
          <w:szCs w:val="18"/>
          <w:u w:val="single" w:color="auto"/>
          <w:color w:val="auto"/>
        </w:rPr>
        <w:t>Treas. Reg</w:t>
      </w:r>
      <w:r>
        <w:rPr>
          <w:rFonts w:ascii="Arial" w:cs="Arial" w:eastAsia="Arial" w:hAnsi="Arial"/>
          <w:sz w:val="18"/>
          <w:szCs w:val="18"/>
          <w:color w:val="auto"/>
        </w:rPr>
        <w:t>.” means the regulations, including temporary regulations or any successor regulations, promulgated under the Code, as amended from time to time.</w:t>
      </w:r>
    </w:p>
    <w:p>
      <w:pPr>
        <w:spacing w:after="0" w:line="170"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Transfer and Ownership Restrictions</w:t>
      </w:r>
      <w:r>
        <w:rPr>
          <w:rFonts w:ascii="Arial" w:cs="Arial" w:eastAsia="Arial" w:hAnsi="Arial"/>
          <w:sz w:val="17"/>
          <w:szCs w:val="17"/>
          <w:color w:val="auto"/>
        </w:rPr>
        <w:t xml:space="preserve">. In order to preserve the Tax Benefits, any attempted Transfer of Company Securities prior to the Expiration Date and any attempted Transfer of Company Securities pursuant to an agreement entered into prior to the Expiration Date shall be prohibited and void ab initio to the extent that, as a result of such Transfer (or any series of Transfers of which such Transfer is a part), either (i) any Person or Persons would become a 4.99-percent Stockholder or (ii) the Percentage Stock Ownership in the Corporation of any 4.99-percent Stockholder would be increased. The prior sentence is not intended to prevent Company Securities from being DTC-eligible and shall not preclude the settlement of any transaction in Company Securities entered into through the facilities of a national securities exchange or trading on an over-the-counter market; provided, however, that the Company Securities and parties involved in any such transaction shall remain subject to the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 respect of such transaction.</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93"/>
        </w:numPr>
        <w:rPr>
          <w:rFonts w:ascii="Arial" w:cs="Arial" w:eastAsia="Arial" w:hAnsi="Arial"/>
          <w:sz w:val="16"/>
          <w:szCs w:val="16"/>
          <w:color w:val="auto"/>
        </w:rPr>
      </w:pPr>
      <w:r>
        <w:rPr>
          <w:rFonts w:ascii="Arial" w:cs="Arial" w:eastAsia="Arial" w:hAnsi="Arial"/>
          <w:sz w:val="16"/>
          <w:szCs w:val="16"/>
          <w:color w:val="auto"/>
        </w:rPr>
        <w:t>Notwithstanding anything to the contrary herein, Transfers to a Public Group (including a new Public Group created under Treas. Reg.</w:t>
      </w:r>
    </w:p>
    <w:p>
      <w:pPr>
        <w:spacing w:after="0" w:line="46" w:lineRule="exact"/>
        <w:rPr>
          <w:rFonts w:ascii="Arial" w:cs="Arial" w:eastAsia="Arial" w:hAnsi="Arial"/>
          <w:sz w:val="16"/>
          <w:szCs w:val="16"/>
          <w:color w:val="auto"/>
        </w:rPr>
      </w:pPr>
    </w:p>
    <w:p>
      <w:pPr>
        <w:ind w:left="144" w:hanging="144"/>
        <w:spacing w:after="0"/>
        <w:tabs>
          <w:tab w:leader="none" w:pos="144" w:val="left"/>
        </w:tabs>
        <w:numPr>
          <w:ilvl w:val="0"/>
          <w:numId w:val="93"/>
        </w:numPr>
        <w:rPr>
          <w:rFonts w:ascii="Arial" w:cs="Arial" w:eastAsia="Arial" w:hAnsi="Arial"/>
          <w:sz w:val="18"/>
          <w:szCs w:val="18"/>
          <w:color w:val="auto"/>
        </w:rPr>
      </w:pPr>
      <w:r>
        <w:rPr>
          <w:rFonts w:ascii="Arial" w:cs="Arial" w:eastAsia="Arial" w:hAnsi="Arial"/>
          <w:sz w:val="18"/>
          <w:szCs w:val="18"/>
          <w:color w:val="auto"/>
        </w:rPr>
        <w:t>l .382-2T(j)(3)(i)) shall be permitted.</w:t>
      </w:r>
    </w:p>
    <w:p>
      <w:pPr>
        <w:spacing w:after="0" w:line="102" w:lineRule="exact"/>
        <w:rPr>
          <w:rFonts w:ascii="Arial" w:cs="Arial" w:eastAsia="Arial" w:hAnsi="Arial"/>
          <w:sz w:val="18"/>
          <w:szCs w:val="18"/>
          <w:color w:val="auto"/>
        </w:rPr>
      </w:pPr>
    </w:p>
    <w:p>
      <w:pPr>
        <w:ind w:left="4" w:right="20" w:firstLine="987"/>
        <w:spacing w:after="0" w:line="287" w:lineRule="auto"/>
        <w:tabs>
          <w:tab w:leader="none" w:pos="1250"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The restrictions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not apply to an attempted Transfer that is a 4.99-percent Transaction if the transferor or the Transferee obtains the written approval of the Board of Directors or a duly authorized committee thereof. As a condition to granting its approval pursuant to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the Board of Directors may, in its discretion, require (at the expense of the transferor and/or Transferee) an opinion of counsel selected by the Board of Directors that the Transfer shall not result in a limitation on the use of the Tax Benefits as a result of the application of Section 382 of the Code; provided that the Board of Directors may grant such approval notwithstanding the effect of such approval on the Tax Benefits if it determines that the approval is in the best interests of the Corporation. The Board of Directors may grant its approval in whole or in part with respect to such Transfer and may impose any conditions that it deems reasonable and appropriate in connection with such approval, including, without limitation, restrictions on the ability of any Transferee to Transfer Stock acquired through a Transfer. Approvals of the Board of Directors hereunder may be given prospectively or retroactively. The Board of Directors, to the fullest extent permitted by law, may exercise the authority granted by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through duly authorized officers or agents of the Corporation. Nothing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be construed to limit or restrict the Board of Directors in the exercise of its fiduciary duties under applicable law.</w:t>
      </w:r>
    </w:p>
    <w:p>
      <w:pPr>
        <w:sectPr>
          <w:pgSz w:w="11900" w:h="16838" w:orient="portrait"/>
          <w:cols w:equalWidth="0" w:num="1">
            <w:col w:w="10984"/>
          </w:cols>
          <w:pgMar w:left="436" w:top="274" w:right="479" w:bottom="1440" w:gutter="0" w:footer="0" w:header="0"/>
        </w:sectPr>
      </w:pPr>
    </w:p>
    <w:bookmarkStart w:id="80" w:name="page81"/>
    <w:bookmarkEnd w:id="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9.4 </w:t>
      </w:r>
      <w:r>
        <w:rPr>
          <w:rFonts w:ascii="Arial" w:cs="Arial" w:eastAsia="Arial" w:hAnsi="Arial"/>
          <w:sz w:val="18"/>
          <w:szCs w:val="18"/>
          <w:u w:val="single" w:color="auto"/>
          <w:color w:val="auto"/>
        </w:rPr>
        <w:t>Excess Securities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0" w:lineRule="auto"/>
        <w:tabs>
          <w:tab w:leader="none" w:pos="1236"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 employee or agent of the Corporation shall record any Prohibited Transfer, and the purported transferee of such a Prohibited Transfer (the “</w:t>
      </w:r>
      <w:r>
        <w:rPr>
          <w:rFonts w:ascii="Arial" w:cs="Arial" w:eastAsia="Arial" w:hAnsi="Arial"/>
          <w:sz w:val="17"/>
          <w:szCs w:val="17"/>
          <w:u w:val="single" w:color="auto"/>
          <w:color w:val="auto"/>
        </w:rPr>
        <w:t>Purported Transferee</w:t>
      </w:r>
      <w:r>
        <w:rPr>
          <w:rFonts w:ascii="Arial" w:cs="Arial" w:eastAsia="Arial" w:hAnsi="Arial"/>
          <w:sz w:val="17"/>
          <w:szCs w:val="17"/>
          <w:color w:val="auto"/>
        </w:rPr>
        <w:t>”) shall not be recognized as a stockholder of the Corporation for any purpose whatsoever in respect of the Company Securities which are the subject of the Prohibited Transfer (the “</w:t>
      </w:r>
      <w:r>
        <w:rPr>
          <w:rFonts w:ascii="Arial" w:cs="Arial" w:eastAsia="Arial" w:hAnsi="Arial"/>
          <w:sz w:val="17"/>
          <w:szCs w:val="17"/>
          <w:u w:val="single" w:color="auto"/>
          <w:color w:val="auto"/>
        </w:rPr>
        <w:t>Excess Securities</w:t>
      </w:r>
      <w:r>
        <w:rPr>
          <w:rFonts w:ascii="Arial" w:cs="Arial" w:eastAsia="Arial" w:hAnsi="Arial"/>
          <w:sz w:val="17"/>
          <w:szCs w:val="17"/>
          <w:color w:val="auto"/>
        </w:rPr>
        <w:t xml:space="preserve">”).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if any, and the Excess Securities shall be deemed to remain with the transferor unless and until the Excess Securities are transferred to the Agent pursuant to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until an approval is obtained under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After the Excess Securities have been acquired in a Transfer that is not a Prohibited Transfer, the Company Securities shall cease to be Excess Securities. For this purpose, any Transfer of Excess Securities not in accordance with the provisions of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also be a Prohibited Transfer.</w:t>
      </w:r>
    </w:p>
    <w:p>
      <w:pPr>
        <w:spacing w:after="0" w:line="72" w:lineRule="exact"/>
        <w:rPr>
          <w:rFonts w:ascii="Arial" w:cs="Arial" w:eastAsia="Arial" w:hAnsi="Arial"/>
          <w:sz w:val="17"/>
          <w:szCs w:val="17"/>
          <w:color w:val="auto"/>
        </w:rPr>
      </w:pPr>
    </w:p>
    <w:p>
      <w:pPr>
        <w:ind w:firstLine="987"/>
        <w:spacing w:after="0" w:line="293" w:lineRule="auto"/>
        <w:tabs>
          <w:tab w:leader="none" w:pos="1246"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Corporation may require as a condition to the registration of the Transfer of any Company Securities or the payment of any distribution on any Company Securities that the proposed Transferee or payee furnish to the Corporation all information reasonably requested by the Corporation with respect to its direct or indirect ownership interests in such Company Securities. The Corporation may make such arrangements or issue such instructions to its stock transfer agent as may be determined by the Board of Directors to be necessary or advisable to implement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including, without limitation, authorizing such transfer agent to require an affidavit from a Purported Transferee regarding such Person’s actual and constructive ownership of Stock and other evidence that a Transfer will not be prohibited by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as a condition to registering any transfer.</w:t>
      </w:r>
    </w:p>
    <w:p>
      <w:pPr>
        <w:spacing w:after="0" w:line="164"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u w:val="single" w:color="auto"/>
          <w:color w:val="auto"/>
        </w:rPr>
        <w:t>Transfer to Agent</w:t>
      </w:r>
      <w:r>
        <w:rPr>
          <w:rFonts w:ascii="Arial" w:cs="Arial" w:eastAsia="Arial" w:hAnsi="Arial"/>
          <w:sz w:val="16"/>
          <w:szCs w:val="16"/>
          <w:color w:val="auto"/>
        </w:rPr>
        <w:t>. If the Board of Directors determines that a Transfer of Company Securities constitutes a Prohibited Transfer, then, upon written demand by the Corporation sent within thirty days of the date on which the Board of Directors determines that the attempted Transfer would result in Excess Securities, the Purported Transferee shall transfer or cause to be transferred any certificate or other evidence of ownership of the Excess Securities within the Purported Transferee’s possession or control, together with any Prohibited Distributions, to an agent designated by the Board of Directors (the “</w:t>
      </w:r>
      <w:r>
        <w:rPr>
          <w:rFonts w:ascii="Arial" w:cs="Arial" w:eastAsia="Arial" w:hAnsi="Arial"/>
          <w:sz w:val="16"/>
          <w:szCs w:val="16"/>
          <w:u w:val="single" w:color="auto"/>
          <w:color w:val="auto"/>
        </w:rPr>
        <w:t>Agent</w:t>
      </w:r>
      <w:r>
        <w:rPr>
          <w:rFonts w:ascii="Arial" w:cs="Arial" w:eastAsia="Arial" w:hAnsi="Arial"/>
          <w:sz w:val="16"/>
          <w:szCs w:val="16"/>
          <w:color w:val="auto"/>
        </w:rPr>
        <w:t xml:space="preserve">”). The Agent shall thereupon sell to a buyer or buyers, which may include the Corporation, the Excess Securities transferred to it in one or more arm’s-length transactions (on the public securities market on which such Excess Securities are traded, if possible, or otherwise privately); provided , however , that any such sale must not constitute a Prohibited Transfer and provided, further, that the Agent shall effect such sale or sales in an orderly fashion and shall not be required to effect any such sale within any specific time frame if, in the Agent’s discretion, such sale or sales would disrupt the market for the Company Securities or otherwise would adversely affect the value of the Company Securities. If the Purported Transferee has resold the Excess Securities before receiving the Corporation’s demand to surrender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 proceeds not exceeding the amount that the Purported Transferee would have received from the Agent pursuant to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if the Agent rather than the Purported Transferee had resold the Excess Securities.</w:t>
      </w:r>
    </w:p>
    <w:p>
      <w:pPr>
        <w:spacing w:after="0" w:line="17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9.6 </w:t>
      </w:r>
      <w:r>
        <w:rPr>
          <w:rFonts w:ascii="Arial" w:cs="Arial" w:eastAsia="Arial" w:hAnsi="Arial"/>
          <w:sz w:val="17"/>
          <w:szCs w:val="17"/>
          <w:u w:val="single" w:color="auto"/>
          <w:color w:val="auto"/>
        </w:rPr>
        <w:t>Application of Proceeds and Prohibited Distributions</w:t>
      </w:r>
      <w:r>
        <w:rPr>
          <w:rFonts w:ascii="Arial" w:cs="Arial" w:eastAsia="Arial" w:hAnsi="Arial"/>
          <w:sz w:val="17"/>
          <w:szCs w:val="17"/>
          <w:color w:val="auto"/>
        </w:rPr>
        <w:t>. The Agent shall apply any proceeds of a sale by it of Excess Securities and, if the Purported Transferee has previously resold the Excess Securities, any amounts received by it from a Purported Transferee, together, in either case, with any Prohibited Distributions, as follows: (i) first, such amounts shall be paid to the Agent to the extent necessary to cover its costs and expenses incurred in connection with its duties hereunder; (ii) second, any remaining amounts shall be paid to the Purported Transferee, up to the amount paid by the Purported Transferee for the Excess Securities (or the fair market value at the time of the Transfer, in the event the purported Transfer of the Excess Securities was, in whole or in part, a gift, inheritance or similar Transfer) which amount (or fair market value) shall be determined at the discretion of the Board of Directors; and (iii) third, any remaining amounts shall be paid to one or more organizations selected by the Board of Directors which is described under Section 501(c)(3) of the Code (or any comparable successor provision) and contributions to which are eligible for deduction under each of Sections 170(b)(l)(A), 2055 and 2552 of the Code. The Purported Transferee of Excess Securities shall have no claim, cause of action or any other recourse</w:t>
      </w:r>
    </w:p>
    <w:p>
      <w:pPr>
        <w:sectPr>
          <w:pgSz w:w="11900" w:h="16838" w:orient="portrait"/>
          <w:cols w:equalWidth="0" w:num="1">
            <w:col w:w="10980"/>
          </w:cols>
          <w:pgMar w:left="440" w:top="274" w:right="479" w:bottom="1440" w:gutter="0" w:footer="0" w:header="0"/>
        </w:sectPr>
      </w:pPr>
    </w:p>
    <w:bookmarkStart w:id="81" w:name="page82"/>
    <w:bookmarkEnd w:id="81"/>
    <w:p>
      <w:pPr>
        <w:ind w:left="4"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whatsoever against any transferor of Excess Securities. The Purported Transferee’s sole right with respect to such shares shall be limited to the amount payable to the Purported Transferee pursuant to this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 no event shall the proceeds of any sale of Excess Securities pursuant to this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inure to the benefit of the Corporation or the Agent, except to the extent used to cover costs and expenses incurred by Agent in performing its duties hereunder.</w:t>
      </w:r>
    </w:p>
    <w:p>
      <w:pPr>
        <w:spacing w:after="0" w:line="187" w:lineRule="exact"/>
        <w:rPr>
          <w:sz w:val="20"/>
          <w:szCs w:val="20"/>
          <w:color w:val="auto"/>
        </w:rPr>
      </w:pPr>
    </w:p>
    <w:p>
      <w:pPr>
        <w:ind w:left="4" w:right="60" w:firstLine="440"/>
        <w:spacing w:after="0" w:line="267"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Modification of Remedies for Certain Indirect Transfers</w:t>
      </w:r>
      <w:r>
        <w:rPr>
          <w:rFonts w:ascii="Arial" w:cs="Arial" w:eastAsia="Arial" w:hAnsi="Arial"/>
          <w:sz w:val="17"/>
          <w:szCs w:val="17"/>
          <w:color w:val="auto"/>
        </w:rPr>
        <w:t xml:space="preserve">. In the event of any Transfer which does not involve a transfer of Company Securities within the meaning of Delaware law but which would cause a 4.99-percent Stockholder to violate a restriction on Transfers provided for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the application of </w:t>
      </w:r>
      <w:r>
        <w:rPr>
          <w:rFonts w:ascii="Arial" w:cs="Arial" w:eastAsia="Arial" w:hAnsi="Arial"/>
          <w:sz w:val="17"/>
          <w:szCs w:val="17"/>
          <w:u w:val="single" w:color="auto"/>
          <w:color w:val="auto"/>
        </w:rPr>
        <w:t>Sections 9.5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9.6</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be modified as described in this </w:t>
      </w:r>
      <w:r>
        <w:rPr>
          <w:rFonts w:ascii="Arial" w:cs="Arial" w:eastAsia="Arial" w:hAnsi="Arial"/>
          <w:sz w:val="17"/>
          <w:szCs w:val="17"/>
          <w:u w:val="single" w:color="auto"/>
          <w:color w:val="auto"/>
        </w:rPr>
        <w:t>Section 9.7</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In such case, no such 4.99-percent Stockholder shall be required to dispose of any interest that is not a Company Security, but such 4.99- percent Stockholder and/or any Person whose ownership of Company Securities is attributed to such 4.99-percent Stockholder (such 4.99-percent Stockholder or other Person, a “</w:t>
      </w:r>
      <w:r>
        <w:rPr>
          <w:rFonts w:ascii="Arial" w:cs="Arial" w:eastAsia="Arial" w:hAnsi="Arial"/>
          <w:sz w:val="17"/>
          <w:szCs w:val="17"/>
          <w:u w:val="single" w:color="auto"/>
          <w:color w:val="auto"/>
        </w:rPr>
        <w:t>Remedial Holder</w:t>
      </w:r>
      <w:r>
        <w:rPr>
          <w:rFonts w:ascii="Arial" w:cs="Arial" w:eastAsia="Arial" w:hAnsi="Arial"/>
          <w:sz w:val="17"/>
          <w:szCs w:val="17"/>
          <w:color w:val="auto"/>
        </w:rPr>
        <w:t xml:space="preserve">”) shall be deemed to have disposed of and shall be required to dispose of sufficient Company Securities (which Company Securities shall be disposed of in the inverse order in which they were acquired) to cause such 4.99-percent Stockholder, following such disposition, not to be in violation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Such disposition shall be deemed to occur simultaneously with the Transfer giving rise to the application of this provision, and such number of Company Securities that are deemed to be disposed of shall be considered Excess Securities and shall be disposed of through the Agent as provided in </w:t>
      </w:r>
      <w:r>
        <w:rPr>
          <w:rFonts w:ascii="Arial" w:cs="Arial" w:eastAsia="Arial" w:hAnsi="Arial"/>
          <w:sz w:val="17"/>
          <w:szCs w:val="17"/>
          <w:u w:val="single" w:color="auto"/>
          <w:color w:val="auto"/>
        </w:rPr>
        <w:t>Sections 9.5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9.6</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except that the maximum aggregate amount payable to a Remedial Holder in connection with such sale shall be the fair market value of such Excess Securities at the time of the purported Transfer. A Remedial Holder shall not be entitled, with respect to such Excess Securities, to any rights of stockholders of the Corporation, including, without limitation, the right to vote such Excess Securities and to receive dividends or distributions, whether liquidating or otherwise, in respect thereof, if any, following the time of the purported Transfer. All expenses incurred by the Agent in disposing of such Excess Stock shall be paid out of any amounts due such 4.99-percent Stockholder or such other Person. The purpose of this </w:t>
      </w:r>
      <w:r>
        <w:rPr>
          <w:rFonts w:ascii="Arial" w:cs="Arial" w:eastAsia="Arial" w:hAnsi="Arial"/>
          <w:sz w:val="17"/>
          <w:szCs w:val="17"/>
          <w:u w:val="single" w:color="auto"/>
          <w:color w:val="auto"/>
        </w:rPr>
        <w:t>Section 9.7</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is to extend the restrictions in </w:t>
      </w:r>
      <w:r>
        <w:rPr>
          <w:rFonts w:ascii="Arial" w:cs="Arial" w:eastAsia="Arial" w:hAnsi="Arial"/>
          <w:sz w:val="17"/>
          <w:szCs w:val="17"/>
          <w:u w:val="single" w:color="auto"/>
          <w:color w:val="auto"/>
        </w:rPr>
        <w:t>Sections 9.2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9.5</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to situations in which there is a 4.99-percent Transaction without a direct Transfer of Company Securities, and this </w:t>
      </w:r>
      <w:r>
        <w:rPr>
          <w:rFonts w:ascii="Arial" w:cs="Arial" w:eastAsia="Arial" w:hAnsi="Arial"/>
          <w:sz w:val="17"/>
          <w:szCs w:val="17"/>
          <w:u w:val="single" w:color="auto"/>
          <w:color w:val="auto"/>
        </w:rPr>
        <w:t>Section 9.7</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along with the other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shall be interpreted to produce the same results, with differences as the context requires, as a direct Transfer of Company Securities.</w:t>
      </w:r>
    </w:p>
    <w:p>
      <w:pPr>
        <w:spacing w:after="0" w:line="190" w:lineRule="exact"/>
        <w:rPr>
          <w:sz w:val="20"/>
          <w:szCs w:val="20"/>
          <w:color w:val="auto"/>
        </w:rPr>
      </w:pPr>
    </w:p>
    <w:p>
      <w:pPr>
        <w:ind w:left="4" w:right="120" w:firstLine="440"/>
        <w:spacing w:after="0" w:line="286"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Legal Proceedings; Prompt Enforcement</w:t>
      </w:r>
      <w:r>
        <w:rPr>
          <w:rFonts w:ascii="Arial" w:cs="Arial" w:eastAsia="Arial" w:hAnsi="Arial"/>
          <w:sz w:val="16"/>
          <w:szCs w:val="16"/>
          <w:color w:val="auto"/>
        </w:rPr>
        <w:t xml:space="preserve">. If the Purported Transferee fails to surrender the Excess Securities or the proceeds of a sale thereof to the Agent within thirty days from the date on which the Corporation makes a written demand pursuant to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(whether or not made within the time specified in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then the Corporation may take such actions as it deems appropriate to enforce the provisions hereof, including the institution of legal proceedings to compel the surrender. Nothing in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w:t>
      </w:r>
    </w:p>
    <w:p>
      <w:pPr>
        <w:spacing w:after="0" w:line="1" w:lineRule="exact"/>
        <w:rPr>
          <w:sz w:val="20"/>
          <w:szCs w:val="20"/>
          <w:color w:val="auto"/>
        </w:rPr>
      </w:pPr>
    </w:p>
    <w:p>
      <w:pPr>
        <w:ind w:left="4" w:right="80" w:hanging="4"/>
        <w:spacing w:after="0" w:line="273" w:lineRule="auto"/>
        <w:tabs>
          <w:tab w:leader="none" w:pos="219"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be deemed inconsistent with any Transfer of the Excess Securities provided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being void ab initio, (ii) preclude the Corporation in its discretion from immediately bringing legal proceedings without a prior demand or (iii) cause any failure of the Corporation to act within the time periods set forth in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to constitute a waiver or loss of any right of the Corporation under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The Board of Directors may authorize such additional actions as it deems advisable to give effect to the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w:t>
      </w:r>
    </w:p>
    <w:p>
      <w:pPr>
        <w:spacing w:after="0" w:line="17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Liability</w:t>
      </w:r>
      <w:r>
        <w:rPr>
          <w:rFonts w:ascii="Arial" w:cs="Arial" w:eastAsia="Arial" w:hAnsi="Arial"/>
          <w:sz w:val="18"/>
          <w:szCs w:val="18"/>
          <w:color w:val="auto"/>
        </w:rPr>
        <w:t xml:space="preserve">. To the fullest extent permitted by law, any stockholder subject to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who knowingly violates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any Persons controlling, controlled by or under common control with such stockholder shall be jointly and severally liable to the Corporation for, and shall indemnify and hold the Corporation harmless against, any and all damages suffered as a result of such violation, including but not limited to damages resulting from a reduction in, or elimination of, the Corporation’s ability to utilize its Tax Benefits, and attorneys’ and auditors’ fees incurred in connection with such violation.</w:t>
      </w:r>
    </w:p>
    <w:p>
      <w:pPr>
        <w:spacing w:after="0" w:line="188"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Obligation to Provide Information.</w:t>
      </w:r>
      <w:r>
        <w:rPr>
          <w:rFonts w:ascii="Arial" w:cs="Arial" w:eastAsia="Arial" w:hAnsi="Arial"/>
          <w:sz w:val="18"/>
          <w:szCs w:val="18"/>
          <w:color w:val="auto"/>
        </w:rPr>
        <w:t xml:space="preserve"> As a condition to the registration of the Transfer of any Stock, any Person who is a beneficial, legal or record holder of Stock, and any proposed Transferee and any Person controlling, controlled by or under common control with the proposed Transferee, shall provide such information as the Corporation may request from time to time in order to determine compliance with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the status of the Tax Benefits of the Corporation.</w:t>
      </w:r>
    </w:p>
    <w:p>
      <w:pPr>
        <w:sectPr>
          <w:pgSz w:w="11900" w:h="16838" w:orient="portrait"/>
          <w:cols w:equalWidth="0" w:num="1">
            <w:col w:w="11004"/>
          </w:cols>
          <w:pgMar w:left="436" w:top="274" w:right="459" w:bottom="1440" w:gutter="0" w:footer="0" w:header="0"/>
        </w:sectPr>
      </w:pPr>
    </w:p>
    <w:bookmarkStart w:id="82" w:name="page83"/>
    <w:bookmarkEnd w:id="82"/>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9.11 </w:t>
      </w:r>
      <w:r>
        <w:rPr>
          <w:rFonts w:ascii="Arial" w:cs="Arial" w:eastAsia="Arial" w:hAnsi="Arial"/>
          <w:sz w:val="18"/>
          <w:szCs w:val="18"/>
          <w:u w:val="single" w:color="auto"/>
          <w:color w:val="auto"/>
        </w:rPr>
        <w:t>Legends</w:t>
      </w:r>
      <w:r>
        <w:rPr>
          <w:rFonts w:ascii="Arial" w:cs="Arial" w:eastAsia="Arial" w:hAnsi="Arial"/>
          <w:sz w:val="18"/>
          <w:szCs w:val="18"/>
          <w:color w:val="auto"/>
        </w:rPr>
        <w:t xml:space="preserve">. The Board of Directors may require that any certificates issued by the Corporation evidencing ownership of shares of Stock that are subject to the restrictions on transfer and ownership contained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bear the following legend:</w:t>
      </w:r>
    </w:p>
    <w:p>
      <w:pPr>
        <w:spacing w:after="0" w:line="62" w:lineRule="exact"/>
        <w:rPr>
          <w:sz w:val="20"/>
          <w:szCs w:val="20"/>
          <w:color w:val="auto"/>
        </w:rPr>
      </w:pPr>
    </w:p>
    <w:p>
      <w:pPr>
        <w:ind w:left="980"/>
        <w:spacing w:after="0" w:line="267" w:lineRule="auto"/>
        <w:rPr>
          <w:sz w:val="20"/>
          <w:szCs w:val="20"/>
          <w:color w:val="auto"/>
        </w:rPr>
      </w:pPr>
      <w:r>
        <w:rPr>
          <w:rFonts w:ascii="Arial" w:cs="Arial" w:eastAsia="Arial" w:hAnsi="Arial"/>
          <w:sz w:val="17"/>
          <w:szCs w:val="17"/>
          <w:color w:val="auto"/>
        </w:rPr>
        <w:t>“THE CERTIFICATE OF INCORPORATION OF THE CORPORATION (THE “CERTIFICATE OF INCORPORATION”) CONTAINS RESTRICTIONS PROHIBITING THE TRANSFER (AS DEFINED IN THE CERTIFICATE OF INCORPORATION) OF STOCK OF THE CORPORATION (INCLUDING THE CREATION OR GRANT OF CERTAIN OPTIONS, RIGHTS AND WARRANTS) WITHOUT THE PRIOR AUTHORIZATION OF THE BOARD OF DIRECTORS OF THE CORPORATION (THE “BOARD OF DIRECTORS”) IF SUCH TRANSFER AFFECTS THE PERCENTAGE OF STOCK OF THE CORPORATION (WITHIN THE MEANING OF SECTION 382 OF THE INTERNAL REVENUE CODE OF 1986, AS AMENDED (THE “CODE”) AND THE TREASURY REGULATIONS PROMULGATED THEREUNDER) THAT IS TREATED AS OWNED BY A 4.99-PERCENT STOCKHOLDER (AS DEFINED IN THE CERTIFICATE OF INCORPORATION). IF THE TRANSFER RESTRICTIONS ARE VIOLATED, THEN THE TRANSFER WILL BE VOID AB INITIO AND THE PURPORTED TRANSFEREE OF THE STOCK WILL BE REQUIRED TO TRANSFER EXCESS SECURITIES (AS DEFINED IN THE CERTIFICATE OF INCORPORATION) TO THE CORPORATION’S AGENT. IN THE EVENT OF A TRANSFER WHICH DOES NOT INVOLVE SECURITIES OF THE CORPORATION WITHIN THE MEANING OF THE GENERAL CORPORATION LAW OF THE STATE OF DELAWARE (“SECURITIES”) BUT WHICH WOULD VIOLATE THE TRANSFER RESTRICTIONS, THE PURPORTED TRANSFEREE (OR THE RECORD OWNER) OF THE SECURITIES THAT VIOLATE THE TRANSFER RESTRICTIONS WILL BE REQUIRED TO TRANSFER SUFFICIENT SECURITIES PURSUANT TO THE TERMS PROVIDED FOR IN THE CERTIFICATE OF INCORPORATION TO CAUSE THE 4.99-PERCENT STOCKHOLDER TO NO LONGER BE IN VIOLATION OF THE TRANSFER RESTRICTIONS. THE CORPORATION WILL FURNISH WITHOUT CHARGE TO THE HOLDER OF RECORD OF THIS CERTIFICATE A COPY OF THE CERTIFICATE OF INCORPORATION CONTAINING THE ABOVE-REFERENCED TRANSFER RESTRICTIONS UPON WRITTEN REQUEST TO THE CORPORATION AT ITS PRINCIPAL PLACE OF BUSINESS.”</w:t>
      </w:r>
    </w:p>
    <w:p>
      <w:pPr>
        <w:spacing w:after="0" w:line="188"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 xml:space="preserve">The Board of Directors may also require that any certificates issued by the Corporation evidencing ownership of shares of Stock that are subject to conditions imposed by the Board of Directors under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also bear a conspicuous legend referencing the applicable restrictions.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Authority of Board of Directors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70" w:lineRule="auto"/>
        <w:tabs>
          <w:tab w:leader="none" w:pos="1236"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The Board of Directors shall have the power to determine all matters necessary for assessing compliance with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including, without limitation, (i) the identification of 4.99-percent Stockholders, (ii) whether a Transfer is a 4.99-percent Transaction or a Prohibited Transfer, (iii) the Percentage Stock Ownership in the Corporation of any 4.99-percent Stockholder, (iv) whether an instrument constitutes a Company Security, (v) the amount (or fair market value) due to a Purported Transferee pursuant to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(vi) any other matters which the Board of Directors determines to be relevant; and the good faith determination of the Board of Directors on such matters shall be conclusive and binding for all the purposes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 addition, the Board of Directors may, to the extent permitted by law, from time to time establish, modify, amend or rescind by- laws, regulations and procedures of the Corporation not inconsistent with the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for purposes of determining whether any Transfer of Company Securities would jeopardize or endanger the Corporation’s ability to preserve and use the Tax Benefits and for the orderly application, administration and implementation of this </w:t>
      </w:r>
      <w:r>
        <w:rPr>
          <w:rFonts w:ascii="Arial" w:cs="Arial" w:eastAsia="Arial" w:hAnsi="Arial"/>
          <w:sz w:val="17"/>
          <w:szCs w:val="17"/>
          <w:u w:val="single" w:color="auto"/>
          <w:color w:val="auto"/>
        </w:rPr>
        <w:t>Article IX</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right="100" w:firstLine="987"/>
        <w:spacing w:after="0" w:line="255" w:lineRule="auto"/>
        <w:tabs>
          <w:tab w:leader="none" w:pos="12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limit the authority of the Board of Directors to take such other action to the extent permitted by law as it deems necessary or advisable to protect the Corporation and its stockholders in preserving the Tax Benefits. Without limiting the generality of the foregoing, in the event of a change in law making one or more of the following actions necessary or desirable, the Board of Directors may, by adopting a written resolution, (i) accelerate the Expiration Date, (ii) modify the ownership interest percentage in the Corporation or the Persons or groups covered by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(iii) modify the definitions of any terms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(iv) modify the terms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as appropriate, in each case, in order to prevent an</w:t>
      </w:r>
    </w:p>
    <w:p>
      <w:pPr>
        <w:sectPr>
          <w:pgSz w:w="11900" w:h="16838" w:orient="portrait"/>
          <w:cols w:equalWidth="0" w:num="1">
            <w:col w:w="11000"/>
          </w:cols>
          <w:pgMar w:left="440" w:top="274" w:right="459" w:bottom="1440" w:gutter="0" w:footer="0" w:header="0"/>
        </w:sectPr>
      </w:pPr>
    </w:p>
    <w:bookmarkStart w:id="83" w:name="page84"/>
    <w:bookmarkEnd w:id="83"/>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ownership change for purposes of Section 382 of the Code as a result of any changes in applicable Treasury Regulations or otherwise; provided, however, that the Board of Directors shall not cause there to be such acceleration or modification unless it determines, by adopting a written resolution, that such action is reasonably necessary or advisable to preserve the Tax Benefits or that the continuation of these restrictions is no longer reasonably necessary for the preservation of the Tax Benefits. Stockholders of the Corporation shall be notified of such determination through a filing with the Securities and Exchange Commission or such other method of notice as the Secretary of the Corporation shall deem appropriate.</w:t>
      </w:r>
    </w:p>
    <w:p>
      <w:pPr>
        <w:spacing w:after="0" w:line="53" w:lineRule="exact"/>
        <w:rPr>
          <w:sz w:val="20"/>
          <w:szCs w:val="20"/>
          <w:color w:val="auto"/>
        </w:rPr>
      </w:pPr>
    </w:p>
    <w:p>
      <w:pPr>
        <w:ind w:firstLine="987"/>
        <w:spacing w:after="0" w:line="269" w:lineRule="auto"/>
        <w:tabs>
          <w:tab w:leader="none" w:pos="1236"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In the case of an ambiguity in the application of any of the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including any definition used herein, the Board of Directors shall have the power to determine the application of such provisions with respect to any situation based on its reasonable belief, understanding or knowledge of the circumstances. In the event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requires an action by the Board of Directors but fails to provide specific guidance with respect to such action, the Board of Directors shall have the power to determine the action to be taken so long as such action is not contrary to the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All such actions, calculations, interpretations and determinations which are done or made by the Board of Directors in good faith shall be conclusive and binding on the Corporation, the Agent, and all other parties for all other purposes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The Board of Directors may delegate all or any portion of its duties and powers under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to a committee of the Board of Directors as it deems necessary or advisable and, to the fullest extent permitted by law, may exercise the authority granted by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through duly authorized officers or agents of the Corporation. Nothing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be construed to limit or restrict the Board of Directors in its exercise of its fiduciary duties under applicable law.</w:t>
      </w:r>
    </w:p>
    <w:p>
      <w:pPr>
        <w:spacing w:after="0" w:line="185"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Reliance</w:t>
      </w:r>
      <w:r>
        <w:rPr>
          <w:rFonts w:ascii="Arial" w:cs="Arial" w:eastAsia="Arial" w:hAnsi="Arial"/>
          <w:sz w:val="17"/>
          <w:szCs w:val="17"/>
          <w:color w:val="auto"/>
        </w:rPr>
        <w:t xml:space="preserve">. To the fullest extent permitted by law, the Corporation and the members of the Board of Directors shall be fully protected in relying in good faith upon the information, opinions, reports or statements of the chief executive officer, the chief financial officer, the chief accounting officer or the corporate controller of the Corporation and the Corporation’s legal counsel, independent auditors, transfer agent, investment bankers or other employees and agents in making the determinations and findings contemplated by this </w:t>
      </w:r>
      <w:r>
        <w:rPr>
          <w:rFonts w:ascii="Arial" w:cs="Arial" w:eastAsia="Arial" w:hAnsi="Arial"/>
          <w:sz w:val="17"/>
          <w:szCs w:val="17"/>
          <w:u w:val="single" w:color="auto"/>
          <w:color w:val="auto"/>
        </w:rPr>
        <w:t>Article IX</w:t>
      </w:r>
      <w:r>
        <w:rPr>
          <w:rFonts w:ascii="Arial" w:cs="Arial" w:eastAsia="Arial" w:hAnsi="Arial"/>
          <w:sz w:val="17"/>
          <w:szCs w:val="17"/>
          <w:color w:val="auto"/>
        </w:rPr>
        <w:t>. The members of the Board of Directors shall not be responsible for any good faith errors made in connection therewith. For purposes of determining the existence and identity of, and the amount of any Company Securities owned by, any stockholder, to the extent permitted by Treas. Reg. § 1.382-2T(k) (and any successor provision) the Corporation is entitled to rely on the existence and absence of filings, if any, of Schedule 13D or 13G under the Securities and Exchange Act of 1934, as amended (or similar filings), as of any date.</w:t>
      </w:r>
    </w:p>
    <w:p>
      <w:pPr>
        <w:spacing w:after="0" w:line="17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Benefits of this Article IX</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construed to give to any Person other than the Corporation or the Agent any legal or equitable right, remedy or claim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for the sole and exclusive benefit of the Corporation and the Agent.</w:t>
      </w:r>
    </w:p>
    <w:p>
      <w:pPr>
        <w:spacing w:after="0" w:line="184"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The purpose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is to facilitate the Corporation’s ability to maintain or preserve its Tax Benefits. If any provision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the application of any such provision to any Person or under any circumstance shall be held invalid, illegal or unenforceable in any respect by a court of competent jurisdiction, such invalidity, illegality or unenforceability shall not affect any other provision of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87"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Waiver</w:t>
      </w:r>
      <w:r>
        <w:rPr>
          <w:rFonts w:ascii="Arial" w:cs="Arial" w:eastAsia="Arial" w:hAnsi="Arial"/>
          <w:sz w:val="17"/>
          <w:szCs w:val="17"/>
          <w:color w:val="auto"/>
        </w:rPr>
        <w:t xml:space="preserve">. With regard to any power, remedy or right provided herein or otherwise available to the Corporation or the Agent under this </w:t>
      </w:r>
      <w:r>
        <w:rPr>
          <w:rFonts w:ascii="Arial" w:cs="Arial" w:eastAsia="Arial" w:hAnsi="Arial"/>
          <w:sz w:val="17"/>
          <w:szCs w:val="17"/>
          <w:u w:val="single" w:color="auto"/>
          <w:color w:val="auto"/>
        </w:rPr>
        <w:t>Article IX</w:t>
      </w:r>
      <w:r>
        <w:rPr>
          <w:rFonts w:ascii="Arial" w:cs="Arial" w:eastAsia="Arial" w:hAnsi="Arial"/>
          <w:sz w:val="17"/>
          <w:szCs w:val="17"/>
          <w:color w:val="auto"/>
        </w:rPr>
        <w:t>, (i) no waiver will be effective unless expressly contained in a writing signed by the waiving party and (ii) no alteration, modification or impairment will be implied by reason of any previous waiver, extension of time, delay or omission in exercise or other indulgence.</w:t>
      </w:r>
    </w:p>
    <w:p>
      <w:pPr>
        <w:sectPr>
          <w:pgSz w:w="11900" w:h="16838" w:orient="portrait"/>
          <w:cols w:equalWidth="0" w:num="1">
            <w:col w:w="11000"/>
          </w:cols>
          <w:pgMar w:left="440" w:top="274" w:right="459" w:bottom="1440" w:gutter="0" w:footer="0" w:header="0"/>
        </w:sectPr>
      </w:pPr>
    </w:p>
    <w:bookmarkStart w:id="84" w:name="page85"/>
    <w:bookmarkEnd w:id="84"/>
    <w:p>
      <w:pPr>
        <w:ind w:left="5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EXISTENCE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 shall have perpetual existence.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11"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Amendment of Restated Certificate of Incorporation</w:t>
      </w:r>
      <w:r>
        <w:rPr>
          <w:rFonts w:ascii="Arial" w:cs="Arial" w:eastAsia="Arial" w:hAnsi="Arial"/>
          <w:sz w:val="17"/>
          <w:szCs w:val="17"/>
          <w:color w:val="auto"/>
        </w:rPr>
        <w:t>. The Corporation reserves the right at any time, and from time to time, to amend, alter, change or repeal any provision contained in this Restated Certificate of Incorporation, and other provisions authorized by the laws of the State of Delaware at the time in force may be added or inserted, in the manner now or hereafter prescribed by the laws of the State of Delaware, and all powers, preferences and rights of any nature conferred upon stockholders, directors or any other persons by and pursuant to this Restated Certificate of Incorporation in its present form or as hereafter amended are granted subject to this reservation.</w:t>
      </w:r>
    </w:p>
    <w:p>
      <w:pPr>
        <w:spacing w:after="0" w:line="17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Amendment of Bylaws</w:t>
      </w:r>
      <w:r>
        <w:rPr>
          <w:rFonts w:ascii="Arial" w:cs="Arial" w:eastAsia="Arial" w:hAnsi="Arial"/>
          <w:sz w:val="18"/>
          <w:szCs w:val="18"/>
          <w:color w:val="auto"/>
        </w:rPr>
        <w:t>. In furtherance and not in limitation of the powers conferred by the laws of the State of Delaware, the Board of Directors is expressly authorized to adopt, amend or repeal the Bylaws. Subject to any greater or additional vote required by this Restated Certificate of Incorporation or the Bylaws, and in addition to any requirements of applicable law, the affirmative vote of the holders of at least a majority in voting power of the outstanding stock entitled to vote thereon, voting together as a single class, shall be required for the stockholders to adopt, amend or repeal, or adopt any provision inconsistent with, any provision of the Bylaws.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LIABILITY OF DIRECTORS</w:t>
      </w:r>
    </w:p>
    <w:p>
      <w:pPr>
        <w:spacing w:after="0" w:line="211"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No Personal Liability</w:t>
      </w:r>
      <w:r>
        <w:rPr>
          <w:rFonts w:ascii="Arial" w:cs="Arial" w:eastAsia="Arial" w:hAnsi="Arial"/>
          <w:sz w:val="16"/>
          <w:szCs w:val="16"/>
          <w:color w:val="auto"/>
        </w:rPr>
        <w:t>. To the fullest extent permitted by the DGCL as the same exists or as may hereafter be amended, no director of the Corporation shall be personally liable to the Corporation or its stockholders for monetary damages for breach of fiduciary duty as a director.</w:t>
      </w:r>
    </w:p>
    <w:p>
      <w:pPr>
        <w:spacing w:after="0" w:line="12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xml:space="preserve">. Any amendment, alteration or repeal of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that adversely affects any right of a director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FOR ADJUDICATION OF DISPUTES</w:t>
      </w:r>
    </w:p>
    <w:p>
      <w:pPr>
        <w:spacing w:after="0" w:line="21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u w:val="single" w:color="auto"/>
          <w:color w:val="auto"/>
        </w:rPr>
        <w:t>Forum</w:t>
      </w:r>
      <w:r>
        <w:rPr>
          <w:rFonts w:ascii="Arial" w:cs="Arial" w:eastAsia="Arial" w:hAnsi="Arial"/>
          <w:sz w:val="17"/>
          <w:szCs w:val="17"/>
          <w:color w:val="auto"/>
        </w:rPr>
        <w:t xml:space="preserve">. Unless the Corporation, in writing, selects or consents to the selection of an alternative forum, (i) the sole and exclusive forum for any complaint asserting any internal corporate claims (as defined below), to the fullest extent permitted by law, and subject to applicable jurisdictional requirements, shall be the Court of Chancery of the State of Delaware (or, if the Court of Chancery does not have, or declines to accept, jurisdiction, another state court or a federal court located within the State of Delaware) and (ii) the sole and exclusive forum for any complaint asserting a cause of action arising under the Securities Act, to the fullest extent permitted by law, shall be the federal district courts of the United States of America. For purposes of this </w:t>
      </w:r>
      <w:r>
        <w:rPr>
          <w:rFonts w:ascii="Arial" w:cs="Arial" w:eastAsia="Arial" w:hAnsi="Arial"/>
          <w:sz w:val="17"/>
          <w:szCs w:val="17"/>
          <w:u w:val="single" w:color="auto"/>
          <w:color w:val="auto"/>
        </w:rPr>
        <w:t>Article XIII</w:t>
      </w:r>
      <w:r>
        <w:rPr>
          <w:rFonts w:ascii="Arial" w:cs="Arial" w:eastAsia="Arial" w:hAnsi="Arial"/>
          <w:sz w:val="17"/>
          <w:szCs w:val="17"/>
          <w:color w:val="auto"/>
        </w:rPr>
        <w:t xml:space="preserve">, the phrase “internal corporate claims” means claims, including claims in the right of the Corporation, that are based upon a violation of a duty by a current or former director, officer, employee or stockholder in such capacity, or as to which the DGCL confers jurisdiction upon the Court of Chancery. To the fullest extent permitted by law, any Person purchasing or otherwise acquiring or holding any interest in shares of capital stock of the Corporation shall be deemed to have notice of and consented to the provisions of this </w:t>
      </w:r>
      <w:r>
        <w:rPr>
          <w:rFonts w:ascii="Arial" w:cs="Arial" w:eastAsia="Arial" w:hAnsi="Arial"/>
          <w:sz w:val="17"/>
          <w:szCs w:val="17"/>
          <w:u w:val="single" w:color="auto"/>
          <w:color w:val="auto"/>
        </w:rPr>
        <w:t>Article XIII</w:t>
      </w:r>
      <w:r>
        <w:rPr>
          <w:rFonts w:ascii="Arial" w:cs="Arial" w:eastAsia="Arial" w:hAnsi="Arial"/>
          <w:sz w:val="17"/>
          <w:szCs w:val="17"/>
          <w:color w:val="auto"/>
        </w:rPr>
        <w:t>. As used herein, “Person” shall mean any individual, corporation, joint-stock company, governmental entity, general or limited partnership, limited liability company, joint venture, trust, association or organization (whether or not formed or incorporated), or any other entity. Notwithstanding the foregoing, the provisions of this Article XIII shall not apply to suits brought to enforce any liability or duty created by the Exchange Act or any other claim for which the federal courts of the United States have exclusive jurisdiction.</w:t>
      </w:r>
    </w:p>
    <w:p>
      <w:pPr>
        <w:spacing w:after="0" w:line="18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u w:val="single" w:color="auto"/>
          <w:color w:val="auto"/>
        </w:rPr>
        <w:t>Enforceability</w:t>
      </w:r>
      <w:r>
        <w:rPr>
          <w:rFonts w:ascii="Arial" w:cs="Arial" w:eastAsia="Arial" w:hAnsi="Arial"/>
          <w:sz w:val="16"/>
          <w:szCs w:val="16"/>
          <w:color w:val="auto"/>
        </w:rPr>
        <w:t xml:space="preserve">. If any provision of this </w:t>
      </w:r>
      <w:r>
        <w:rPr>
          <w:rFonts w:ascii="Arial" w:cs="Arial" w:eastAsia="Arial" w:hAnsi="Arial"/>
          <w:sz w:val="16"/>
          <w:szCs w:val="16"/>
          <w:u w:val="single" w:color="auto"/>
          <w:color w:val="auto"/>
        </w:rPr>
        <w:t>Article XIII</w:t>
      </w:r>
      <w:r>
        <w:rPr>
          <w:rFonts w:ascii="Arial" w:cs="Arial" w:eastAsia="Arial" w:hAnsi="Arial"/>
          <w:sz w:val="16"/>
          <w:szCs w:val="16"/>
          <w:color w:val="auto"/>
        </w:rPr>
        <w:t xml:space="preserve"> shall be held to be invalid, illegal or unenforceable as applied to any person or entity or circumstance for any reason whatsoever, then, to the fullest extent permitted by law, the validity, legality and enforceability of such provision in any other circumstance and of the remaining provisions of this </w:t>
      </w:r>
      <w:r>
        <w:rPr>
          <w:rFonts w:ascii="Arial" w:cs="Arial" w:eastAsia="Arial" w:hAnsi="Arial"/>
          <w:sz w:val="16"/>
          <w:szCs w:val="16"/>
          <w:u w:val="single" w:color="auto"/>
          <w:color w:val="auto"/>
        </w:rPr>
        <w:t>Article XIII</w:t>
      </w:r>
      <w:r>
        <w:rPr>
          <w:rFonts w:ascii="Arial" w:cs="Arial" w:eastAsia="Arial" w:hAnsi="Arial"/>
          <w:sz w:val="16"/>
          <w:szCs w:val="16"/>
          <w:color w:val="auto"/>
        </w:rPr>
        <w:t xml:space="preserve"> (including, without limitation, each portion of any sentence of this</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containing any such provision held to be invalid, illegal or unenforceable that is not itself held to be invalid, illegal or unenforceable) and the application of such provision to other persons or entities or circumstances shall not in any way be affected or impaired thereby.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has been intentionally left blank.]</w:t>
      </w:r>
    </w:p>
    <w:p>
      <w:pPr>
        <w:sectPr>
          <w:pgSz w:w="11900" w:h="16838" w:orient="portrait"/>
          <w:cols w:equalWidth="0" w:num="1">
            <w:col w:w="11000"/>
          </w:cols>
          <w:pgMar w:left="440" w:top="270" w:right="459" w:bottom="1440" w:gutter="0" w:footer="0" w:header="0"/>
        </w:sectPr>
      </w:pPr>
    </w:p>
    <w:bookmarkStart w:id="85" w:name="page86"/>
    <w:bookmarkEnd w:id="8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Restated Certificate of Incorporation has been executed by a duly authorized officer of the Corporation on this 20th day of October, 2021.</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P10,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Amanda Coussens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CFO</w:t>
      </w:r>
    </w:p>
    <w:p>
      <w:pPr>
        <w:spacing w:after="0" w:line="21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C</w:t>
      </w:r>
      <w:r>
        <w:rPr>
          <w:rFonts w:ascii="Arial" w:cs="Arial" w:eastAsia="Arial" w:hAnsi="Arial"/>
          <w:sz w:val="14"/>
          <w:szCs w:val="14"/>
          <w:color w:val="auto"/>
        </w:rPr>
        <w:t>ERTIFICATE OF</w:t>
      </w:r>
      <w:r>
        <w:rPr>
          <w:rFonts w:ascii="Arial" w:cs="Arial" w:eastAsia="Arial" w:hAnsi="Arial"/>
          <w:sz w:val="18"/>
          <w:szCs w:val="18"/>
          <w:color w:val="auto"/>
        </w:rPr>
        <w:t xml:space="preserve"> I</w:t>
      </w:r>
      <w:r>
        <w:rPr>
          <w:rFonts w:ascii="Arial" w:cs="Arial" w:eastAsia="Arial" w:hAnsi="Arial"/>
          <w:sz w:val="14"/>
          <w:szCs w:val="14"/>
          <w:color w:val="auto"/>
        </w:rPr>
        <w:t>NCORPORATION</w:t>
      </w:r>
    </w:p>
    <w:p>
      <w:pPr>
        <w:sectPr>
          <w:pgSz w:w="11900" w:h="16838" w:orient="portrait"/>
          <w:cols w:equalWidth="0" w:num="1">
            <w:col w:w="10680"/>
          </w:cols>
          <w:pgMar w:left="440" w:top="274" w:right="77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OFFICES</w:t>
      </w:r>
    </w:p>
    <w:p>
      <w:pPr>
        <w:spacing w:after="0" w:line="21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P10,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be fixed in the Certificate of Incorporation of the Corporation (as amended and/or restated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170"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an office or offices, and keep the books and records of the Corporation, except as otherwise required by law, at such other place or places, either within or without the State of Delaware, as the Corporation may from time to time determine or the business of the Corporation may require.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MEETINGS OF STOCKHOLDERS</w:t>
      </w:r>
    </w:p>
    <w:p>
      <w:pPr>
        <w:spacing w:after="0" w:line="21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stockholders, for the election of directors to succeed those whose terms expire and for the transaction of such other business as may properly come before the meeting, shall be held at such place, if any, either within or without the State of Delaware, on such date, and at such time as the Board of Directors shall fix. The Corporation may postpone, reschedule or cancel any annual meeting of stockholders previously scheduled by the Board of Directors.</w:t>
      </w:r>
    </w:p>
    <w:p>
      <w:pPr>
        <w:spacing w:after="0" w:line="18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Special Meeting</w:t>
      </w:r>
      <w:r>
        <w:rPr>
          <w:rFonts w:ascii="Arial" w:cs="Arial" w:eastAsia="Arial" w:hAnsi="Arial"/>
          <w:sz w:val="18"/>
          <w:szCs w:val="18"/>
          <w:color w:val="auto"/>
        </w:rPr>
        <w:t>. Except as otherwise required by law, and except as otherwise provided for or fixed pursuant to the Certificate of Incorporation, a special meeting of the stockholders of the Corporation may be called at any time only by the Chief Executive Officer, Board of Directors or the Chairman of the Board of Directors. The Corporation may postpone, reschedule or cancel any special meeting of stockholders previously scheduled by the Board of Directors. Only such business shall be conducted at a special meeting of stockholders as shall have been brought before the meeting by or at the direction of the Board of Directors.</w:t>
      </w:r>
    </w:p>
    <w:p>
      <w:pPr>
        <w:spacing w:after="0" w:line="296"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Notice of Stockholders’ Meetings</w:t>
      </w:r>
      <w:r>
        <w:rPr>
          <w:rFonts w:ascii="Arial" w:cs="Arial" w:eastAsia="Arial" w:hAnsi="Arial"/>
          <w:sz w:val="16"/>
          <w:szCs w:val="16"/>
          <w:color w:val="auto"/>
        </w:rPr>
        <w:t>.</w:t>
      </w:r>
    </w:p>
    <w:p>
      <w:pPr>
        <w:spacing w:after="0" w:line="117" w:lineRule="exact"/>
        <w:rPr>
          <w:sz w:val="20"/>
          <w:szCs w:val="20"/>
          <w:color w:val="auto"/>
        </w:rPr>
      </w:pPr>
    </w:p>
    <w:p>
      <w:pPr>
        <w:ind w:right="40" w:firstLine="987"/>
        <w:spacing w:after="0" w:line="271" w:lineRule="auto"/>
        <w:tabs>
          <w:tab w:leader="none" w:pos="1368"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Whenever stockholders are required or permitted to take any action at a meeting, notice of the place, if any, date, and time of the meeting of stockholders, the record date for determining the stockholders entitled to vote at the meeting (if such date is different from the record date for determining the stockholders entitled to notice of the meeting), the means of remote communications, if any, by which stockholders and proxyholders may be deemed to be present in person and vote at such meeting and, if the meeting is to be held solely by means of remote communications, the means for accessing the list of stockholders contemplated by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of these Bylaws, shall be given. The notice shall be given not less than 10 nor more than 60 days before the date of the meeting to each stockholder entitled to vote at such meeting as of the record date for determining the stockholders entitled to notice of the meeting, except as otherwise provided by law, the Certificate of Incorporation or these Bylaws. In the case of a special meeting, the purpose or purposes for which the meeting is called also shall be set forth in the notice.</w:t>
      </w:r>
    </w:p>
    <w:p>
      <w:pPr>
        <w:spacing w:after="0" w:line="178" w:lineRule="exact"/>
        <w:rPr>
          <w:rFonts w:ascii="Arial" w:cs="Arial" w:eastAsia="Arial" w:hAnsi="Arial"/>
          <w:sz w:val="17"/>
          <w:szCs w:val="17"/>
          <w:color w:val="auto"/>
        </w:rPr>
      </w:pPr>
    </w:p>
    <w:p>
      <w:pPr>
        <w:ind w:right="200" w:firstLine="987"/>
        <w:spacing w:after="0" w:line="263" w:lineRule="auto"/>
        <w:tabs>
          <w:tab w:leader="none" w:pos="1381"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Except as otherwise required by law, notice may be given in writing directed to a stockholder’s mailing address as it appears on the records of the Corporation and shall be given: (i) if mailed, when notice is deposited in the U.S. mail, postage prepaid; and (ii) if delivered by courier service, the earlier of when the notice is received or left at such stockholder’s address.</w:t>
      </w:r>
    </w:p>
    <w:p>
      <w:pPr>
        <w:sectPr>
          <w:pgSz w:w="11900" w:h="16838" w:orient="portrait"/>
          <w:cols w:equalWidth="0" w:num="1">
            <w:col w:w="11020"/>
          </w:cols>
          <w:pgMar w:left="440" w:top="121" w:right="439" w:bottom="1440" w:gutter="0" w:footer="0" w:header="0"/>
        </w:sectPr>
      </w:pPr>
    </w:p>
    <w:bookmarkStart w:id="87" w:name="page88"/>
    <w:bookmarkEnd w:id="87"/>
    <w:p>
      <w:pPr>
        <w:ind w:left="4" w:right="60" w:firstLine="987"/>
        <w:spacing w:after="0" w:line="293" w:lineRule="auto"/>
        <w:tabs>
          <w:tab w:leader="none" w:pos="1375" w:val="left"/>
        </w:tabs>
        <w:numPr>
          <w:ilvl w:val="0"/>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the Corporation is subject to the Securities and Exchange Commission’s proxy rules set forth in Regulation 14A under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notice shall be given in the manner required by such rules. To the extent permitted by such rules,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If notice is given by electronic mail, such notice shall comply with the applicable provisions of Sections 232(a) and 232(d) of the DGCL.</w:t>
      </w:r>
    </w:p>
    <w:p>
      <w:pPr>
        <w:spacing w:after="0" w:line="164" w:lineRule="exact"/>
        <w:rPr>
          <w:rFonts w:ascii="Arial" w:cs="Arial" w:eastAsia="Arial" w:hAnsi="Arial"/>
          <w:sz w:val="16"/>
          <w:szCs w:val="16"/>
          <w:color w:val="auto"/>
        </w:rPr>
      </w:pPr>
    </w:p>
    <w:p>
      <w:pPr>
        <w:ind w:left="1384" w:hanging="393"/>
        <w:spacing w:after="0"/>
        <w:tabs>
          <w:tab w:leader="none" w:pos="138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Notice may be given by other forms of electronic transmission with the consent of a stockholder in the manner permitted by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232(b) of the DGCL and shall be deemed given as provided therein.</w:t>
      </w:r>
    </w:p>
    <w:p>
      <w:pPr>
        <w:spacing w:after="0" w:line="211" w:lineRule="exact"/>
        <w:rPr>
          <w:sz w:val="20"/>
          <w:szCs w:val="20"/>
          <w:color w:val="auto"/>
        </w:rPr>
      </w:pPr>
    </w:p>
    <w:p>
      <w:pPr>
        <w:jc w:val="both"/>
        <w:ind w:left="4" w:right="200" w:firstLine="987"/>
        <w:spacing w:after="0" w:line="259" w:lineRule="auto"/>
        <w:tabs>
          <w:tab w:leader="none" w:pos="136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An affidavit that notice has been given, executed by the Secretary of the Corporation, Assistant Secretary or any transfer agent or other agent of the Corporation,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in the notice in the absence of fraud. Notice shall be deemed to have been given to all stockholders who share an address if notice is given in accordance with the “householding” rules set forth in Rule 14a-3(e) under the Exchange Act and Section 233 of the DGCL.</w:t>
      </w:r>
    </w:p>
    <w:p>
      <w:pPr>
        <w:spacing w:after="0" w:line="186" w:lineRule="exact"/>
        <w:rPr>
          <w:rFonts w:ascii="Arial" w:cs="Arial" w:eastAsia="Arial" w:hAnsi="Arial"/>
          <w:sz w:val="18"/>
          <w:szCs w:val="18"/>
          <w:color w:val="auto"/>
        </w:rPr>
      </w:pPr>
    </w:p>
    <w:p>
      <w:pPr>
        <w:ind w:left="4" w:right="20" w:firstLine="987"/>
        <w:spacing w:after="0" w:line="272" w:lineRule="auto"/>
        <w:tabs>
          <w:tab w:leader="none" w:pos="135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When a meeting is adjourned to another time or place, notice need not be given of the adjourned meeting if the place, if any, date and time thereof, and the means of remote communications, if any, by which stockholders and proxyholders may be deemed to be present in person and vote at such adjourned meeting are announced at the meeting at which the adjournment is taken;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w:t>
      </w:r>
      <w:r>
        <w:rPr>
          <w:rFonts w:ascii="Arial" w:cs="Arial" w:eastAsia="Arial" w:hAnsi="Arial"/>
          <w:sz w:val="17"/>
          <w:szCs w:val="17"/>
          <w:u w:val="single" w:color="auto"/>
          <w:color w:val="auto"/>
        </w:rPr>
        <w:t>Section 7.6(a)</w:t>
      </w:r>
      <w:r>
        <w:rPr>
          <w:rFonts w:ascii="Arial" w:cs="Arial" w:eastAsia="Arial" w:hAnsi="Arial"/>
          <w:sz w:val="17"/>
          <w:szCs w:val="17"/>
          <w:color w:val="auto"/>
        </w:rPr>
        <w:t>, and shall give notice of the adjourned meeting to each stockholder of record entitled to vote at such adjourned meeting as of the record date fixed for notice of such adjourned meeting.</w:t>
      </w:r>
    </w:p>
    <w:p>
      <w:pPr>
        <w:spacing w:after="0" w:line="285" w:lineRule="exact"/>
        <w:rPr>
          <w:sz w:val="20"/>
          <w:szCs w:val="20"/>
          <w:color w:val="auto"/>
        </w:rPr>
      </w:pPr>
    </w:p>
    <w:p>
      <w:pPr>
        <w:ind w:left="444"/>
        <w:spacing w:after="0"/>
        <w:tabs>
          <w:tab w:leader="none" w:pos="1404"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Organization</w:t>
      </w:r>
      <w:r>
        <w:rPr>
          <w:rFonts w:ascii="Arial" w:cs="Arial" w:eastAsia="Arial" w:hAnsi="Arial"/>
          <w:sz w:val="16"/>
          <w:szCs w:val="16"/>
          <w:color w:val="auto"/>
        </w:rPr>
        <w:t>.</w:t>
      </w:r>
    </w:p>
    <w:p>
      <w:pPr>
        <w:spacing w:after="0" w:line="117" w:lineRule="exact"/>
        <w:rPr>
          <w:sz w:val="20"/>
          <w:szCs w:val="20"/>
          <w:color w:val="auto"/>
        </w:rPr>
      </w:pPr>
    </w:p>
    <w:p>
      <w:pPr>
        <w:ind w:left="4" w:right="40" w:firstLine="987"/>
        <w:spacing w:after="0" w:line="301" w:lineRule="auto"/>
        <w:tabs>
          <w:tab w:leader="none" w:pos="137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Unless otherwise determined by the Board of Directors, meetings of stockholders shall be presided over by the Chairman of the Board of Directors, or in his or her absence, by the Chief Executive Officer, or in his or her absence, by another person designated by the Board of Directors. The Secretary of the Corporation, or in his or her absence, an Assistant Secretary, or in the absence of the Secretary and all Assistant Secretaries, a person whom the chairman of the meeting shall appoint, shall act as secretary of the meeting and keep a record of the proceedings thereof.</w:t>
      </w:r>
    </w:p>
    <w:p>
      <w:pPr>
        <w:spacing w:after="0" w:line="157" w:lineRule="exact"/>
        <w:rPr>
          <w:rFonts w:ascii="Arial" w:cs="Arial" w:eastAsia="Arial" w:hAnsi="Arial"/>
          <w:sz w:val="16"/>
          <w:szCs w:val="16"/>
          <w:color w:val="auto"/>
        </w:rPr>
      </w:pPr>
    </w:p>
    <w:p>
      <w:pPr>
        <w:ind w:left="4" w:firstLine="987"/>
        <w:spacing w:after="0" w:line="283" w:lineRule="auto"/>
        <w:tabs>
          <w:tab w:leader="none" w:pos="138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date and time of the opening and the closing of the polls for each matter upon which the stockholders shall vote at a meeting of stockholders shall be announced at the meeting. The Board of Directors may adopt such rules and regulations for the conduct of any meeting of stockholders as it shall deem appropriate. Except to the extent inconsistent with such rules and regulations as adopted by the Board of Directors, the chairman of the meeting shall have the authority to adopt and enforce such rules and regulations for the conduct of any meeting of stockholders and the safety of those in attendance as, in the judgment of the chairman of the meeting, are necessary, appropriate or convenient for the conduct of the meeting. Rules and regulations for the conduct of meetings of stockholders, whether adopted by the Board of Directors or by the chairman of the meeting, may include, without limitation, establishing: (i)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and such other persons as the chairman of the meeting shall permit; (iv) restrictions on entry to the meeting after the time fixed for the commencement thereof; (v) limitations on the time allotted for consideration of each agenda item and for questions and comments by participants; (vi) regulations for the opening and closing of the polls for balloting and matters which are to be voted on by ballot (if any); and</w:t>
      </w:r>
    </w:p>
    <w:p>
      <w:pPr>
        <w:spacing w:after="0" w:line="3" w:lineRule="exact"/>
        <w:rPr>
          <w:rFonts w:ascii="Arial" w:cs="Arial" w:eastAsia="Arial" w:hAnsi="Arial"/>
          <w:sz w:val="16"/>
          <w:szCs w:val="16"/>
          <w:color w:val="auto"/>
        </w:rPr>
      </w:pPr>
    </w:p>
    <w:p>
      <w:pPr>
        <w:ind w:left="4" w:right="260" w:hanging="4"/>
        <w:spacing w:after="0" w:line="253" w:lineRule="auto"/>
        <w:tabs>
          <w:tab w:leader="none" w:pos="35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procedures (if any) requiring attendees to provide the Corporation advance notice of their intent to attend the meeting. Subject to any rules and regulations adopted by the Board of Directors, the chairman of the meeting may convene and, for any or no reason, from time to time, adjourn and/or recess any meeting of stockholders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The chairman of the meeting, in addition to making any other determinations that may be appropriate to the conduct of the meeting, shall have the power to</w:t>
      </w:r>
    </w:p>
    <w:p>
      <w:pPr>
        <w:sectPr>
          <w:pgSz w:w="11900" w:h="16838" w:orient="portrait"/>
          <w:cols w:equalWidth="0" w:num="1">
            <w:col w:w="11004"/>
          </w:cols>
          <w:pgMar w:left="436" w:top="274" w:right="459" w:bottom="1440" w:gutter="0" w:footer="0" w:header="0"/>
        </w:sectPr>
      </w:pPr>
    </w:p>
    <w:bookmarkStart w:id="88" w:name="page89"/>
    <w:bookmarkEnd w:id="8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declare that a nomination or other business was not properly brought before the meeting if the facts warrant (including if a determination is made, pursuant to </w:t>
      </w:r>
      <w:r>
        <w:rPr>
          <w:rFonts w:ascii="Arial" w:cs="Arial" w:eastAsia="Arial" w:hAnsi="Arial"/>
          <w:sz w:val="18"/>
          <w:szCs w:val="18"/>
          <w:u w:val="single" w:color="auto"/>
          <w:color w:val="auto"/>
        </w:rPr>
        <w:t>Section 2.10(c)(i)</w:t>
      </w:r>
      <w:r>
        <w:rPr>
          <w:rFonts w:ascii="Arial" w:cs="Arial" w:eastAsia="Arial" w:hAnsi="Arial"/>
          <w:sz w:val="18"/>
          <w:szCs w:val="18"/>
          <w:color w:val="auto"/>
        </w:rPr>
        <w:t xml:space="preserve"> of these Bylaws, that a nomination or other business was not made or proposed, as the case may be, in accordance with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of these Bylaws), and if such chairman of the meeting should so declare, such nomination shall be disregarded or such other business shall not be transacted.</w:t>
      </w:r>
    </w:p>
    <w:p>
      <w:pPr>
        <w:spacing w:after="0" w:line="187"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xml:space="preserve">. The Corporation shall prepare, at least 10 days before every meeting of stockholders, a complete list of the stockholders entitled to vote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record date for determining the stockholders entitled to vote is less than 10 days before the date of the meeting, the list shall reflect the stockholders entitled to vote as of the 10th day before the meeting date. Such list shall be arranged in alphabetical order and shall show the address of each stockholder and the number of shares registered in the name of each stockholder.</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Nothing in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require the Corporation to include electronic mail addresses or other electronic contact information on such list. Such list shall be open to the examination of any stockholder for any purpose germane to the meeting at least 10 days prior to the meeting: (a) on a reasonably accessible electronic network,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of record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required by law, the stock ledger shall be the only evidence as to who are the stockholders entitled to examine the list of stockholders required by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to vote in person or by proxy at any meeting of stockholders.</w:t>
      </w:r>
    </w:p>
    <w:p>
      <w:pPr>
        <w:spacing w:after="0" w:line="186"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Quorum</w:t>
      </w:r>
      <w:r>
        <w:rPr>
          <w:rFonts w:ascii="Arial" w:cs="Arial" w:eastAsia="Arial" w:hAnsi="Arial"/>
          <w:sz w:val="16"/>
          <w:szCs w:val="16"/>
          <w:color w:val="auto"/>
        </w:rPr>
        <w:t xml:space="preserve">. Except as otherwise required by law, the Certificate of Incorporation or these Bylaws, at any meeting of stockholders, a majority of the voting power of the stock outstanding and entitled to vote at the meeting, present in person or represented by proxy, shall constitute a quorum for the transaction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where a separate vote by a class or series or classes or series is required, a majority of the voting power of the stock of such class or series or classes or series outstanding and entitled to vote on that matter, present in person or represented by proxy, shall constitute a quorum entitled to take action with respect to such matter. If a quorum is not present or represented at any meeting of stockholders, then the chairman of the meeting, or a majority of the voting power of the stock present in person or represented by proxy at the meeting and entitled to vote thereon, shall have power to adjourn or recess the meeting from time to time in accordance with </w:t>
      </w:r>
      <w:r>
        <w:rPr>
          <w:rFonts w:ascii="Arial" w:cs="Arial" w:eastAsia="Arial" w:hAnsi="Arial"/>
          <w:sz w:val="16"/>
          <w:szCs w:val="16"/>
          <w:u w:val="single" w:color="auto"/>
          <w:color w:val="auto"/>
        </w:rPr>
        <w:t>Section 2.7</w:t>
      </w:r>
      <w:r>
        <w:rPr>
          <w:rFonts w:ascii="Arial" w:cs="Arial" w:eastAsia="Arial" w:hAnsi="Arial"/>
          <w:sz w:val="16"/>
          <w:szCs w:val="16"/>
          <w:color w:val="auto"/>
        </w:rPr>
        <w:t>, until a quorum is present or represented. Subject to applicable law, if a quorum initially is present at any meeting of stockholders, the stockholders may continue to transact business until adjournment or recess, notwithstanding the withdrawal of enough stockholders to leave less than a quorum, but if a quorum is not present at least initially, no business other than adjournment or recess may be transacted.</w:t>
      </w:r>
    </w:p>
    <w:p>
      <w:pPr>
        <w:spacing w:after="0" w:line="168"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Adjourned or Recessed Meeting</w:t>
      </w:r>
      <w:r>
        <w:rPr>
          <w:rFonts w:ascii="Arial" w:cs="Arial" w:eastAsia="Arial" w:hAnsi="Arial"/>
          <w:sz w:val="18"/>
          <w:szCs w:val="18"/>
          <w:color w:val="auto"/>
        </w:rPr>
        <w:t xml:space="preserve">. Any annual or special meeting of stockholders, whether or not a quorum is present, may be adjourned or recessed for any or no reason from time to time by the chairman of the meeting, subject to any rules and regulations adopted by the Board of Directors pursuant to </w:t>
      </w:r>
      <w:r>
        <w:rPr>
          <w:rFonts w:ascii="Arial" w:cs="Arial" w:eastAsia="Arial" w:hAnsi="Arial"/>
          <w:sz w:val="18"/>
          <w:szCs w:val="18"/>
          <w:u w:val="single" w:color="auto"/>
          <w:color w:val="auto"/>
        </w:rPr>
        <w:t>Section 2.4(b)</w:t>
      </w:r>
      <w:r>
        <w:rPr>
          <w:rFonts w:ascii="Arial" w:cs="Arial" w:eastAsia="Arial" w:hAnsi="Arial"/>
          <w:sz w:val="18"/>
          <w:szCs w:val="18"/>
          <w:color w:val="auto"/>
        </w:rPr>
        <w:t>. Any such meeting may be adjourned for any or no reason (and may be recessed if a quorum is not present or represented) from time to time by a majority of the voting power of the stock present in person or represented by proxy at the meeting and entitled to vote thereon. At any such adjourned or recessed meeting at which a quorum is present, any business may be transacted that might have been transacted at the meeting as originally called.</w:t>
      </w:r>
    </w:p>
    <w:p>
      <w:pPr>
        <w:spacing w:after="0" w:line="300"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Voting</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63" w:lineRule="auto"/>
        <w:tabs>
          <w:tab w:leader="none" w:pos="137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Except as otherwise required by law or the Certificate of Incorporation, each holder of stock of the Corporation entitled to vote at any meeting of stockholders shall be entitled to one vote for each share of such stock held of record by such holder that has voting power upon the subject matter in question.</w:t>
      </w:r>
    </w:p>
    <w:p>
      <w:pPr>
        <w:spacing w:after="0" w:line="183" w:lineRule="exact"/>
        <w:rPr>
          <w:rFonts w:ascii="Arial" w:cs="Arial" w:eastAsia="Arial" w:hAnsi="Arial"/>
          <w:sz w:val="18"/>
          <w:szCs w:val="18"/>
          <w:color w:val="auto"/>
        </w:rPr>
      </w:pPr>
    </w:p>
    <w:p>
      <w:pPr>
        <w:ind w:right="260" w:firstLine="987"/>
        <w:spacing w:after="0" w:line="277" w:lineRule="auto"/>
        <w:tabs>
          <w:tab w:leader="none" w:pos="138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Except as otherwise required by law, the Certificate of Incorporation, these Bylaws or any law, rule or regulation applicable to the Corporation or its securities, at each meeting of stockholders at which a quorum</w:t>
      </w:r>
    </w:p>
    <w:p>
      <w:pPr>
        <w:sectPr>
          <w:pgSz w:w="11900" w:h="16838" w:orient="portrait"/>
          <w:cols w:equalWidth="0" w:num="1">
            <w:col w:w="10980"/>
          </w:cols>
          <w:pgMar w:left="440" w:top="274" w:right="479" w:bottom="1440" w:gutter="0" w:footer="0" w:header="0"/>
        </w:sectPr>
      </w:pPr>
    </w:p>
    <w:bookmarkStart w:id="89" w:name="page90"/>
    <w:bookmarkEnd w:id="89"/>
    <w:p>
      <w:pPr>
        <w:ind w:left="4"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present, all corporate actions to be taken by vote of the stockholders shall be authorized by the affirmative vote of at least a majority of the voting power of the stock present in person or represented by proxy and entitled to vote on the subject matter, voting as a single class, and where a separate vote by a class or series or classes or series is required, if a quorum of such class or series or classes or series is present, such act shall be authorized by the affirmative vote of at least a majority of the voting power of the stock of such class or series or classes or series present in person or represented by proxy and entitled to vote on the subject matter. Voting at meetings of stockholders need not be by written ballot.</w:t>
      </w:r>
    </w:p>
    <w:p>
      <w:pPr>
        <w:spacing w:after="0" w:line="161" w:lineRule="exact"/>
        <w:rPr>
          <w:sz w:val="20"/>
          <w:szCs w:val="20"/>
          <w:color w:val="auto"/>
        </w:rPr>
      </w:pPr>
    </w:p>
    <w:p>
      <w:pPr>
        <w:ind w:left="4" w:firstLine="987"/>
        <w:spacing w:after="0" w:line="254" w:lineRule="auto"/>
        <w:tabs>
          <w:tab w:leader="none" w:pos="137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Every stockholder entitled to vote for directors, or on any other matter, shall have the right to do so either in person or by one or more persons authorized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delivering to the Secretary of the Corporation a revocation of the proxy or an executed new proxy bearing a later date.</w:t>
      </w:r>
    </w:p>
    <w:p>
      <w:pPr>
        <w:spacing w:after="0" w:line="303" w:lineRule="exact"/>
        <w:rPr>
          <w:sz w:val="20"/>
          <w:szCs w:val="20"/>
          <w:color w:val="auto"/>
        </w:rPr>
      </w:pPr>
    </w:p>
    <w:p>
      <w:pPr>
        <w:ind w:left="444"/>
        <w:spacing w:after="0"/>
        <w:tabs>
          <w:tab w:leader="none" w:pos="1404"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Submission of Information by Director Nominees</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77" w:lineRule="auto"/>
        <w:tabs>
          <w:tab w:leader="none" w:pos="137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be eligible to be a nominee for election or re-election as a director of the Corporation, a person must deliver to the Secretary of the Corporation at the principal executive offices of the Corporation the following information:</w:t>
      </w:r>
    </w:p>
    <w:p>
      <w:pPr>
        <w:spacing w:after="0" w:line="170" w:lineRule="exact"/>
        <w:rPr>
          <w:rFonts w:ascii="Arial" w:cs="Arial" w:eastAsia="Arial" w:hAnsi="Arial"/>
          <w:sz w:val="18"/>
          <w:szCs w:val="18"/>
          <w:color w:val="auto"/>
        </w:rPr>
      </w:pPr>
    </w:p>
    <w:p>
      <w:pPr>
        <w:ind w:left="4" w:right="20" w:firstLine="1428"/>
        <w:spacing w:after="0" w:line="286" w:lineRule="auto"/>
        <w:tabs>
          <w:tab w:leader="none" w:pos="1786" w:val="left"/>
        </w:tabs>
        <w:numPr>
          <w:ilvl w:val="2"/>
          <w:numId w:val="106"/>
        </w:numPr>
        <w:rPr>
          <w:rFonts w:ascii="Arial" w:cs="Arial" w:eastAsia="Arial" w:hAnsi="Arial"/>
          <w:sz w:val="16"/>
          <w:szCs w:val="16"/>
          <w:color w:val="auto"/>
        </w:rPr>
      </w:pPr>
      <w:r>
        <w:rPr>
          <w:rFonts w:ascii="Arial" w:cs="Arial" w:eastAsia="Arial" w:hAnsi="Arial"/>
          <w:sz w:val="16"/>
          <w:szCs w:val="16"/>
          <w:color w:val="auto"/>
        </w:rPr>
        <w:t>a written representation and agreement, which shall be signed by such person and pursuant to which such person shall represent and agree that such person: (A) consents to serving as a director if elected and (if applicable) to being named in the Corporation’s proxy statement and form of proxy as a nominee, and currently intends to serve as a director for the full term for which such person is standing for election; (B) is not and will not become a party to any agreement, arrangement or understanding with, and has not given any commitment or assurance to, any person or entity:</w:t>
      </w:r>
    </w:p>
    <w:p>
      <w:pPr>
        <w:spacing w:after="0" w:line="1" w:lineRule="exact"/>
        <w:rPr>
          <w:rFonts w:ascii="Arial" w:cs="Arial" w:eastAsia="Arial" w:hAnsi="Arial"/>
          <w:sz w:val="16"/>
          <w:szCs w:val="16"/>
          <w:color w:val="auto"/>
        </w:rPr>
      </w:pPr>
    </w:p>
    <w:p>
      <w:pPr>
        <w:ind w:left="4" w:right="40" w:hanging="4"/>
        <w:spacing w:after="0" w:line="252" w:lineRule="auto"/>
        <w:tabs>
          <w:tab w:leader="none" w:pos="25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 to how the person, if elected as a director, will act or vote on any issue or question that has not been disclosed to the Corporation; or (2) that could limit or interfere with the person’s ability to comply, if elected as a director, with such person’s fiduciary duties under applicable law; (C)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and (D)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request therefor); and</w:t>
      </w:r>
    </w:p>
    <w:p>
      <w:pPr>
        <w:spacing w:after="0" w:line="192" w:lineRule="exact"/>
        <w:rPr>
          <w:rFonts w:ascii="Arial" w:cs="Arial" w:eastAsia="Arial" w:hAnsi="Arial"/>
          <w:sz w:val="18"/>
          <w:szCs w:val="18"/>
          <w:color w:val="auto"/>
        </w:rPr>
      </w:pPr>
    </w:p>
    <w:p>
      <w:pPr>
        <w:ind w:left="4" w:right="240" w:firstLine="1428"/>
        <w:spacing w:after="0" w:line="257" w:lineRule="auto"/>
        <w:tabs>
          <w:tab w:leader="none" w:pos="1836"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all completed and signed questionnaires prepared by the Corporation (including those questionnaires required of the Corporation’s directors and any other questionnaire the Corporation determines is necessary or advisable to assess whether a nominee will satisfy any qualifications or requirements imposed by the Certificate of Incorporation or these Bylaws, any law, rule, regulation or listing standard that may be applicable to the Corporation, and the Corporation’s corporate governance policies and guidelines) (all of the foregoing, “</w:t>
      </w:r>
      <w:r>
        <w:rPr>
          <w:rFonts w:ascii="Arial" w:cs="Arial" w:eastAsia="Arial" w:hAnsi="Arial"/>
          <w:sz w:val="18"/>
          <w:szCs w:val="18"/>
          <w:u w:val="single" w:color="auto"/>
          <w:color w:val="auto"/>
        </w:rPr>
        <w:t>Questionnaires</w:t>
      </w:r>
      <w:r>
        <w:rPr>
          <w:rFonts w:ascii="Arial" w:cs="Arial" w:eastAsia="Arial" w:hAnsi="Arial"/>
          <w:sz w:val="18"/>
          <w:szCs w:val="18"/>
          <w:color w:val="auto"/>
        </w:rPr>
        <w:t>”). The Questionnaires will be promptly provided following a request therefor.</w:t>
      </w:r>
    </w:p>
    <w:p>
      <w:pPr>
        <w:spacing w:after="0" w:line="187" w:lineRule="exact"/>
        <w:rPr>
          <w:rFonts w:ascii="Arial" w:cs="Arial" w:eastAsia="Arial" w:hAnsi="Arial"/>
          <w:sz w:val="18"/>
          <w:szCs w:val="18"/>
          <w:color w:val="auto"/>
        </w:rPr>
      </w:pPr>
    </w:p>
    <w:p>
      <w:pPr>
        <w:jc w:val="both"/>
        <w:ind w:left="4" w:right="100" w:firstLine="987"/>
        <w:spacing w:after="0" w:line="259" w:lineRule="auto"/>
        <w:tabs>
          <w:tab w:leader="none" w:pos="137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nominee for election or re-election as a director of the Corporation shall also provide to the Corporation such other information as it may reasonably request. The Corporation may request such additional information as necessary to permit the Corporation to determine the eligibility of such person to serve as a director of the Corporation, including information relevant to a determination whether such person can be considered an independent director.</w:t>
      </w:r>
    </w:p>
    <w:p>
      <w:pPr>
        <w:spacing w:after="0" w:line="186" w:lineRule="exact"/>
        <w:rPr>
          <w:rFonts w:ascii="Arial" w:cs="Arial" w:eastAsia="Arial" w:hAnsi="Arial"/>
          <w:sz w:val="18"/>
          <w:szCs w:val="18"/>
          <w:color w:val="auto"/>
        </w:rPr>
      </w:pPr>
    </w:p>
    <w:p>
      <w:pPr>
        <w:ind w:left="4" w:right="140" w:firstLine="987"/>
        <w:spacing w:after="0" w:line="301" w:lineRule="auto"/>
        <w:tabs>
          <w:tab w:leader="none" w:pos="137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these Bylaws, if a stockholder has submitted notice of an intent to nominate a candidate for election or re-election as a director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the Questionnaires described in </w:t>
      </w:r>
      <w:r>
        <w:rPr>
          <w:rFonts w:ascii="Arial" w:cs="Arial" w:eastAsia="Arial" w:hAnsi="Arial"/>
          <w:sz w:val="16"/>
          <w:szCs w:val="16"/>
          <w:u w:val="single" w:color="auto"/>
          <w:color w:val="auto"/>
        </w:rPr>
        <w:t>Section 2.9(a)(ii)</w:t>
      </w:r>
      <w:r>
        <w:rPr>
          <w:rFonts w:ascii="Arial" w:cs="Arial" w:eastAsia="Arial" w:hAnsi="Arial"/>
          <w:sz w:val="16"/>
          <w:szCs w:val="16"/>
          <w:color w:val="auto"/>
        </w:rPr>
        <w:t xml:space="preserve"> above and the additional information described in </w:t>
      </w:r>
      <w:r>
        <w:rPr>
          <w:rFonts w:ascii="Arial" w:cs="Arial" w:eastAsia="Arial" w:hAnsi="Arial"/>
          <w:sz w:val="16"/>
          <w:szCs w:val="16"/>
          <w:u w:val="single" w:color="auto"/>
          <w:color w:val="auto"/>
        </w:rPr>
        <w:t>Section 2.9(b)</w:t>
      </w:r>
      <w:r>
        <w:rPr>
          <w:rFonts w:ascii="Arial" w:cs="Arial" w:eastAsia="Arial" w:hAnsi="Arial"/>
          <w:sz w:val="16"/>
          <w:szCs w:val="16"/>
          <w:color w:val="auto"/>
        </w:rPr>
        <w:t xml:space="preserve"> above shall be considered timely if provided to the Corporation promptly upon request by the Corporation, but in any event by the later of the close of business on the fifth business day following such request or the close of business on the date on</w:t>
      </w:r>
    </w:p>
    <w:p>
      <w:pPr>
        <w:sectPr>
          <w:pgSz w:w="11900" w:h="16838" w:orient="portrait"/>
          <w:cols w:equalWidth="0" w:num="1">
            <w:col w:w="11004"/>
          </w:cols>
          <w:pgMar w:left="436" w:top="274" w:right="459" w:bottom="1440" w:gutter="0" w:footer="0" w:header="0"/>
        </w:sectPr>
      </w:pPr>
    </w:p>
    <w:bookmarkStart w:id="90" w:name="page91"/>
    <w:bookmarkEnd w:id="90"/>
    <w:p>
      <w:pPr>
        <w:ind w:left="4"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which the stockholder’s notice of nomination is required to be given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below, and all information provided pursuant to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be deemed part of the stockholder’s notice submitted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78"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Notice of Stockholder Business and Nominations</w:t>
      </w:r>
      <w:r>
        <w:rPr>
          <w:rFonts w:ascii="Arial" w:cs="Arial" w:eastAsia="Arial" w:hAnsi="Arial"/>
          <w:sz w:val="16"/>
          <w:szCs w:val="16"/>
          <w:color w:val="auto"/>
        </w:rPr>
        <w:t>.</w:t>
      </w:r>
    </w:p>
    <w:p>
      <w:pPr>
        <w:spacing w:after="0" w:line="117" w:lineRule="exact"/>
        <w:rPr>
          <w:sz w:val="20"/>
          <w:szCs w:val="20"/>
          <w:color w:val="auto"/>
        </w:rPr>
      </w:pPr>
    </w:p>
    <w:p>
      <w:pPr>
        <w:ind w:left="1364" w:hanging="373"/>
        <w:spacing w:after="0"/>
        <w:tabs>
          <w:tab w:leader="none" w:pos="1364"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Annual Meeting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1428"/>
        <w:spacing w:after="0" w:line="291" w:lineRule="auto"/>
        <w:tabs>
          <w:tab w:leader="none" w:pos="1786" w:val="left"/>
        </w:tabs>
        <w:numPr>
          <w:ilvl w:val="2"/>
          <w:numId w:val="108"/>
        </w:numPr>
        <w:rPr>
          <w:rFonts w:ascii="Arial" w:cs="Arial" w:eastAsia="Arial" w:hAnsi="Arial"/>
          <w:sz w:val="16"/>
          <w:szCs w:val="16"/>
          <w:color w:val="auto"/>
        </w:rPr>
      </w:pPr>
      <w:r>
        <w:rPr>
          <w:rFonts w:ascii="Arial" w:cs="Arial" w:eastAsia="Arial" w:hAnsi="Arial"/>
          <w:sz w:val="16"/>
          <w:szCs w:val="16"/>
          <w:color w:val="auto"/>
        </w:rPr>
        <w:t xml:space="preserve">Nominations of persons for election to the Board of Directors and the proposal of business other than nominations to be considered by the stockholders may be made at an annual meeting of stockholders only: (A) pursuant to the Corporation’s notice of meeting (or any supplement thereto); (B) by or at the direction of the Board of Directors (or any authorized committee thereof); or (C) by any stockholder of the Corporation who is a stockholder of record at the time the notice provided for in this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is delivered to the Secretary of the Corporation, who is entitled to vote at the meeting and who complies with the notice procedures set forth in this </w:t>
      </w:r>
      <w:r>
        <w:rPr>
          <w:rFonts w:ascii="Arial" w:cs="Arial" w:eastAsia="Arial" w:hAnsi="Arial"/>
          <w:sz w:val="16"/>
          <w:szCs w:val="16"/>
          <w:u w:val="single" w:color="auto"/>
          <w:color w:val="auto"/>
        </w:rPr>
        <w:t>Section 2.10(a)</w:t>
      </w:r>
      <w:r>
        <w:rPr>
          <w:rFonts w:ascii="Arial" w:cs="Arial" w:eastAsia="Arial" w:hAnsi="Arial"/>
          <w:sz w:val="16"/>
          <w:szCs w:val="16"/>
          <w:color w:val="auto"/>
        </w:rPr>
        <w:t>. For the avoidance of doubt, the foregoing clause (C) shall be the exclusive means for a stockholder to make nominations or propose other business at an annual meeting of stockholders (other than a proposal included in the Corporation’s proxy statement pursuant to and in compliance with Rule 14a-8 under the Exchange Act).</w:t>
      </w:r>
    </w:p>
    <w:p>
      <w:pPr>
        <w:spacing w:after="0" w:line="166" w:lineRule="exact"/>
        <w:rPr>
          <w:rFonts w:ascii="Arial" w:cs="Arial" w:eastAsia="Arial" w:hAnsi="Arial"/>
          <w:sz w:val="16"/>
          <w:szCs w:val="16"/>
          <w:color w:val="auto"/>
        </w:rPr>
      </w:pPr>
    </w:p>
    <w:p>
      <w:pPr>
        <w:ind w:left="4" w:firstLine="1428"/>
        <w:spacing w:after="0" w:line="283" w:lineRule="auto"/>
        <w:tabs>
          <w:tab w:leader="none" w:pos="1836" w:val="left"/>
        </w:tabs>
        <w:numPr>
          <w:ilvl w:val="2"/>
          <w:numId w:val="108"/>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stockholder pursuant to clause (C) of the foregoing paragraph, the stockholder must have given timely notice thereof in writing to the Secretary of the Corporation and, in the case of business other than nominations, such business must be a proper subject for stockholder action. To be timely, a stockholder’s notice must be delivered to the Secretary at the principal executive offices of the Corporation not later than the close of business (as defined in </w:t>
      </w:r>
      <w:r>
        <w:rPr>
          <w:rFonts w:ascii="Arial" w:cs="Arial" w:eastAsia="Arial" w:hAnsi="Arial"/>
          <w:sz w:val="16"/>
          <w:szCs w:val="16"/>
          <w:u w:val="single" w:color="auto"/>
          <w:color w:val="auto"/>
        </w:rPr>
        <w:t>Section 2.10(c)(ii)</w:t>
      </w:r>
      <w:r>
        <w:rPr>
          <w:rFonts w:ascii="Arial" w:cs="Arial" w:eastAsia="Arial" w:hAnsi="Arial"/>
          <w:sz w:val="16"/>
          <w:szCs w:val="16"/>
          <w:color w:val="auto"/>
        </w:rPr>
        <w:t xml:space="preserve"> below) on the 90th day nor earlier than the close of business on the 120th day prior to the first anniversary of the preceding year’s annual meeting (which date of the preceding year’s annual meeting shall, for purposes of the Corporation’s first annual meeting of stockholders after its shares of common stock are first publicly traded, be deemed to have occurred on October 31, 2021);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the date of the annual meeting is more than 30 days before or more than 30 days after such anniversary date,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the date on which public announcement (as defined in </w:t>
      </w:r>
      <w:r>
        <w:rPr>
          <w:rFonts w:ascii="Arial" w:cs="Arial" w:eastAsia="Arial" w:hAnsi="Arial"/>
          <w:sz w:val="16"/>
          <w:szCs w:val="16"/>
          <w:u w:val="single" w:color="auto"/>
          <w:color w:val="auto"/>
        </w:rPr>
        <w:t>Section 2.10(c)</w:t>
      </w:r>
    </w:p>
    <w:p>
      <w:pPr>
        <w:spacing w:after="0" w:line="4" w:lineRule="exact"/>
        <w:rPr>
          <w:rFonts w:ascii="Arial" w:cs="Arial" w:eastAsia="Arial" w:hAnsi="Arial"/>
          <w:sz w:val="16"/>
          <w:szCs w:val="16"/>
          <w:color w:val="auto"/>
        </w:rPr>
      </w:pPr>
    </w:p>
    <w:p>
      <w:pPr>
        <w:ind w:left="4" w:right="180" w:hanging="4"/>
        <w:spacing w:after="0" w:line="290" w:lineRule="auto"/>
        <w:tabs>
          <w:tab w:leader="none" w:pos="269" w:val="left"/>
        </w:tabs>
        <w:numPr>
          <w:ilvl w:val="0"/>
          <w:numId w:val="109"/>
        </w:numPr>
        <w:rPr>
          <w:rFonts w:ascii="Arial" w:cs="Arial" w:eastAsia="Arial" w:hAnsi="Arial"/>
          <w:sz w:val="16"/>
          <w:szCs w:val="16"/>
          <w:u w:val="single" w:color="auto"/>
          <w:color w:val="auto"/>
        </w:rPr>
      </w:pPr>
      <w:r>
        <w:rPr>
          <w:rFonts w:ascii="Arial" w:cs="Arial" w:eastAsia="Arial" w:hAnsi="Arial"/>
          <w:sz w:val="16"/>
          <w:szCs w:val="16"/>
          <w:color w:val="auto"/>
        </w:rPr>
        <w:t>below) of the date of such meeting is first made by the Corporation. In no event shall 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the beneficial owner) shall not exceed the number of directors to be elected at such annual meeting. Such stockholder’s notice shall set forth:</w:t>
      </w:r>
    </w:p>
    <w:p>
      <w:pPr>
        <w:spacing w:after="0" w:line="163" w:lineRule="exact"/>
        <w:rPr>
          <w:rFonts w:ascii="Arial" w:cs="Arial" w:eastAsia="Arial" w:hAnsi="Arial"/>
          <w:sz w:val="16"/>
          <w:szCs w:val="16"/>
          <w:u w:val="single" w:color="auto"/>
          <w:color w:val="auto"/>
        </w:rPr>
      </w:pPr>
    </w:p>
    <w:p>
      <w:pPr>
        <w:ind w:left="4" w:right="340" w:firstLine="1979"/>
        <w:spacing w:after="0" w:line="259" w:lineRule="auto"/>
        <w:tabs>
          <w:tab w:leader="none" w:pos="2417" w:val="left"/>
        </w:tabs>
        <w:numPr>
          <w:ilvl w:val="3"/>
          <w:numId w:val="109"/>
        </w:numPr>
        <w:rPr>
          <w:rFonts w:ascii="Arial" w:cs="Arial" w:eastAsia="Arial" w:hAnsi="Arial"/>
          <w:sz w:val="18"/>
          <w:szCs w:val="18"/>
          <w:color w:val="auto"/>
        </w:rPr>
      </w:pPr>
      <w:r>
        <w:rPr>
          <w:rFonts w:ascii="Arial" w:cs="Arial" w:eastAsia="Arial" w:hAnsi="Arial"/>
          <w:sz w:val="18"/>
          <w:szCs w:val="18"/>
          <w:color w:val="auto"/>
        </w:rPr>
        <w:t xml:space="preserve">as to each person whom the stockholder proposes to nominate for election or re-election as a director: (1) all information relating to such person that is required to be disclosed in solicitations of proxies for election of directors in an election contest, or is otherwise required, in each case pursuant to and in accordance with Regulation 14A under the Exchange Act; and (2) the information required to be submitted by nominees pursuant to </w:t>
      </w:r>
      <w:r>
        <w:rPr>
          <w:rFonts w:ascii="Arial" w:cs="Arial" w:eastAsia="Arial" w:hAnsi="Arial"/>
          <w:sz w:val="18"/>
          <w:szCs w:val="18"/>
          <w:u w:val="single" w:color="auto"/>
          <w:color w:val="auto"/>
        </w:rPr>
        <w:t>Section 2.9(a)(i)</w:t>
      </w:r>
      <w:r>
        <w:rPr>
          <w:rFonts w:ascii="Arial" w:cs="Arial" w:eastAsia="Arial" w:hAnsi="Arial"/>
          <w:sz w:val="18"/>
          <w:szCs w:val="18"/>
          <w:color w:val="auto"/>
        </w:rPr>
        <w:t xml:space="preserve"> above;</w:t>
      </w:r>
    </w:p>
    <w:p>
      <w:pPr>
        <w:spacing w:after="0" w:line="186" w:lineRule="exact"/>
        <w:rPr>
          <w:rFonts w:ascii="Arial" w:cs="Arial" w:eastAsia="Arial" w:hAnsi="Arial"/>
          <w:sz w:val="18"/>
          <w:szCs w:val="18"/>
          <w:color w:val="auto"/>
        </w:rPr>
      </w:pPr>
    </w:p>
    <w:p>
      <w:pPr>
        <w:ind w:left="4" w:right="40" w:firstLine="1979"/>
        <w:spacing w:after="0" w:line="255" w:lineRule="auto"/>
        <w:tabs>
          <w:tab w:leader="none" w:pos="2407" w:val="left"/>
        </w:tabs>
        <w:numPr>
          <w:ilvl w:val="3"/>
          <w:numId w:val="109"/>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substantial interest (within the meaning of Item 5 of Schedule 14A under the Exchange Act) in such business of such stockholder and the beneficial owner (within the meaning of Section 13(d) of the Exchange Act), if any, on whose behalf the proposal is made;</w:t>
      </w:r>
    </w:p>
    <w:p>
      <w:pPr>
        <w:sectPr>
          <w:pgSz w:w="11900" w:h="16838" w:orient="portrait"/>
          <w:cols w:equalWidth="0" w:num="1">
            <w:col w:w="10984"/>
          </w:cols>
          <w:pgMar w:left="436" w:top="274" w:right="479" w:bottom="1440" w:gutter="0" w:footer="0" w:header="0"/>
        </w:sectPr>
      </w:pPr>
    </w:p>
    <w:bookmarkStart w:id="91" w:name="page92"/>
    <w:bookmarkEnd w:id="91"/>
    <w:p>
      <w:pPr>
        <w:ind w:left="2400" w:hanging="421"/>
        <w:spacing w:after="0"/>
        <w:tabs>
          <w:tab w:leader="none" w:pos="24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to the stockholder giving the notice and the beneficial owner, if any, on whose behalf the nomination is made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 is proposed:</w:t>
      </w:r>
    </w:p>
    <w:p>
      <w:pPr>
        <w:spacing w:after="0" w:line="211" w:lineRule="exact"/>
        <w:rPr>
          <w:sz w:val="20"/>
          <w:szCs w:val="20"/>
          <w:color w:val="auto"/>
        </w:rPr>
      </w:pPr>
    </w:p>
    <w:p>
      <w:pPr>
        <w:ind w:left="2800" w:hanging="381"/>
        <w:spacing w:after="0"/>
        <w:tabs>
          <w:tab w:leader="none" w:pos="28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name and address of such stockholder, as they appear on the Corporation’s books, and the name and address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such beneficial owner;</w:t>
      </w:r>
    </w:p>
    <w:p>
      <w:pPr>
        <w:spacing w:after="0" w:line="211" w:lineRule="exact"/>
        <w:rPr>
          <w:sz w:val="20"/>
          <w:szCs w:val="20"/>
          <w:color w:val="auto"/>
        </w:rPr>
      </w:pPr>
    </w:p>
    <w:p>
      <w:pPr>
        <w:ind w:right="20" w:firstLine="2419"/>
        <w:spacing w:after="0" w:line="259" w:lineRule="auto"/>
        <w:tabs>
          <w:tab w:leader="none" w:pos="2813" w:val="left"/>
        </w:tabs>
        <w:numPr>
          <w:ilvl w:val="2"/>
          <w:numId w:val="112"/>
        </w:numPr>
        <w:rPr>
          <w:rFonts w:ascii="Arial" w:cs="Arial" w:eastAsia="Arial" w:hAnsi="Arial"/>
          <w:sz w:val="18"/>
          <w:szCs w:val="18"/>
          <w:color w:val="auto"/>
        </w:rPr>
      </w:pPr>
      <w:r>
        <w:rPr>
          <w:rFonts w:ascii="Arial" w:cs="Arial" w:eastAsia="Arial" w:hAnsi="Arial"/>
          <w:sz w:val="18"/>
          <w:szCs w:val="18"/>
          <w:color w:val="auto"/>
        </w:rPr>
        <w:t>the class or series and number of shares of stock of the Corporation which are owned of record by such stockholder and such beneficial owner as of the date of the notice, and a representation that the stockholder will notify the Corporation in writing within five business days after the record date for such meeting of the class or series and number of shares of stock of the Corporation owned of record by the stockholder and such beneficial owner as of the record date for the meeting; and</w:t>
      </w:r>
    </w:p>
    <w:p>
      <w:pPr>
        <w:spacing w:after="0" w:line="186" w:lineRule="exact"/>
        <w:rPr>
          <w:rFonts w:ascii="Arial" w:cs="Arial" w:eastAsia="Arial" w:hAnsi="Arial"/>
          <w:sz w:val="18"/>
          <w:szCs w:val="18"/>
          <w:color w:val="auto"/>
        </w:rPr>
      </w:pPr>
    </w:p>
    <w:p>
      <w:pPr>
        <w:ind w:right="300" w:firstLine="2419"/>
        <w:spacing w:after="0" w:line="277" w:lineRule="auto"/>
        <w:tabs>
          <w:tab w:leader="none" w:pos="2813"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 representation that the stockholder (or a qualified representative of the stockholder) intends to appear at the meeting to make such nomination or propose such business;</w:t>
      </w:r>
    </w:p>
    <w:p>
      <w:pPr>
        <w:spacing w:after="0" w:line="170" w:lineRule="exact"/>
        <w:rPr>
          <w:rFonts w:ascii="Arial" w:cs="Arial" w:eastAsia="Arial" w:hAnsi="Arial"/>
          <w:sz w:val="18"/>
          <w:szCs w:val="18"/>
          <w:color w:val="auto"/>
        </w:rPr>
      </w:pPr>
    </w:p>
    <w:p>
      <w:pPr>
        <w:jc w:val="both"/>
        <w:ind w:right="280" w:firstLine="1979"/>
        <w:spacing w:after="0" w:line="311" w:lineRule="auto"/>
        <w:tabs>
          <w:tab w:leader="none" w:pos="2413"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as to the stockholder giving the notice or, if the notice is given on behalf of a beneficial owner on whose behalf the nomination is made or the other business is proposed, as to such beneficial owner, and if such stockholder or beneficial owner is an entity, as to each director, executive, managing member or control person of such entity (any such individual or control person, a “</w:t>
      </w:r>
      <w:r>
        <w:rPr>
          <w:rFonts w:ascii="Arial" w:cs="Arial" w:eastAsia="Arial" w:hAnsi="Arial"/>
          <w:sz w:val="16"/>
          <w:szCs w:val="16"/>
          <w:u w:val="single" w:color="auto"/>
          <w:color w:val="auto"/>
        </w:rPr>
        <w:t>control person</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right="120" w:firstLine="2419"/>
        <w:spacing w:after="0" w:line="257" w:lineRule="auto"/>
        <w:tabs>
          <w:tab w:leader="none" w:pos="2813" w:val="left"/>
        </w:tabs>
        <w:numPr>
          <w:ilvl w:val="2"/>
          <w:numId w:val="113"/>
        </w:numPr>
        <w:rPr>
          <w:rFonts w:ascii="Arial" w:cs="Arial" w:eastAsia="Arial" w:hAnsi="Arial"/>
          <w:sz w:val="18"/>
          <w:szCs w:val="18"/>
          <w:color w:val="auto"/>
        </w:rPr>
      </w:pPr>
      <w:r>
        <w:rPr>
          <w:rFonts w:ascii="Arial" w:cs="Arial" w:eastAsia="Arial" w:hAnsi="Arial"/>
          <w:sz w:val="18"/>
          <w:szCs w:val="18"/>
          <w:color w:val="auto"/>
        </w:rPr>
        <w:t xml:space="preserve">the class or series and number of shares of stock of the Corporation which are beneficially owned (as defined in </w:t>
      </w:r>
      <w:r>
        <w:rPr>
          <w:rFonts w:ascii="Arial" w:cs="Arial" w:eastAsia="Arial" w:hAnsi="Arial"/>
          <w:sz w:val="18"/>
          <w:szCs w:val="18"/>
          <w:u w:val="single" w:color="auto"/>
          <w:color w:val="auto"/>
        </w:rPr>
        <w:t>Section 2.10(c)(ii)</w:t>
      </w:r>
      <w:r>
        <w:rPr>
          <w:rFonts w:ascii="Arial" w:cs="Arial" w:eastAsia="Arial" w:hAnsi="Arial"/>
          <w:sz w:val="18"/>
          <w:szCs w:val="18"/>
          <w:color w:val="auto"/>
        </w:rPr>
        <w:t xml:space="preserve"> below) by such stockholder or beneficial owner and by any control person as of the date of the notice, and a representation that the stockholder will notify the Corporation in writing within five business days after the record date for such meeting of the class or series and number of shares of stock of the Corporation beneficially owned by such stockholder or beneficial owner and by any control person as of the record date for the meeting;</w:t>
      </w:r>
    </w:p>
    <w:p>
      <w:pPr>
        <w:spacing w:after="0" w:line="187" w:lineRule="exact"/>
        <w:rPr>
          <w:rFonts w:ascii="Arial" w:cs="Arial" w:eastAsia="Arial" w:hAnsi="Arial"/>
          <w:sz w:val="18"/>
          <w:szCs w:val="18"/>
          <w:color w:val="auto"/>
        </w:rPr>
      </w:pPr>
    </w:p>
    <w:p>
      <w:pPr>
        <w:ind w:firstLine="2419"/>
        <w:spacing w:after="0" w:line="296" w:lineRule="auto"/>
        <w:tabs>
          <w:tab w:leader="none" w:pos="2813" w:val="left"/>
        </w:tabs>
        <w:numPr>
          <w:ilvl w:val="2"/>
          <w:numId w:val="113"/>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with respect to the nomination or other business between or among such stockholder, beneficial owner or control person and any other person, including, without limitation any agreements that would be required to be disclosed pursuant to Item 5 or Item 6 of Exchange Act Schedule 13D (regardless of whether the requirement to file a Schedule 13D is applicable) and a representation that the stockholder will notify the Corporation in writing within five business days after the record date for such meeting of any such agreement, arrangement or understanding in effect as of the record date for the meeting;</w:t>
      </w:r>
    </w:p>
    <w:p>
      <w:pPr>
        <w:spacing w:after="0" w:line="161" w:lineRule="exact"/>
        <w:rPr>
          <w:rFonts w:ascii="Arial" w:cs="Arial" w:eastAsia="Arial" w:hAnsi="Arial"/>
          <w:sz w:val="16"/>
          <w:szCs w:val="16"/>
          <w:color w:val="auto"/>
        </w:rPr>
      </w:pPr>
    </w:p>
    <w:p>
      <w:pPr>
        <w:ind w:firstLine="2419"/>
        <w:spacing w:after="0" w:line="254" w:lineRule="auto"/>
        <w:tabs>
          <w:tab w:leader="none" w:pos="2813" w:val="left"/>
        </w:tabs>
        <w:numPr>
          <w:ilvl w:val="2"/>
          <w:numId w:val="113"/>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(including, without limitation, any derivative or short positions, profit interests, options, hedging transactions, and borrowed or loaned shares) that has been entered into as of the date of the stockholder’s notice by, or on behalf of, such stockholder, beneficial owner or control person, the effect or intent of which is to mitigate loss, manage risk or benefit from changes in the share price of any class or series of the Corporation’s stock, or maintain, increase or decrease the voting power of the stockholder, beneficial owner or control person with respect to securities of the Corporation, and a representation that the stockholder will notify the Corporation in writing within five business days after the record date for such meeting of any such agreement, arrangement or understanding in effect as of the record date for the meeting;</w:t>
      </w:r>
    </w:p>
    <w:p>
      <w:pPr>
        <w:spacing w:after="0" w:line="194" w:lineRule="exact"/>
        <w:rPr>
          <w:rFonts w:ascii="Arial" w:cs="Arial" w:eastAsia="Arial" w:hAnsi="Arial"/>
          <w:sz w:val="18"/>
          <w:szCs w:val="18"/>
          <w:color w:val="auto"/>
        </w:rPr>
      </w:pPr>
    </w:p>
    <w:p>
      <w:pPr>
        <w:ind w:right="40" w:firstLine="2419"/>
        <w:spacing w:after="0" w:line="296" w:lineRule="auto"/>
        <w:tabs>
          <w:tab w:leader="none" w:pos="2813" w:val="left"/>
        </w:tabs>
        <w:numPr>
          <w:ilvl w:val="2"/>
          <w:numId w:val="113"/>
        </w:numPr>
        <w:rPr>
          <w:rFonts w:ascii="Arial" w:cs="Arial" w:eastAsia="Arial" w:hAnsi="Arial"/>
          <w:sz w:val="16"/>
          <w:szCs w:val="16"/>
          <w:color w:val="auto"/>
        </w:rPr>
      </w:pPr>
      <w:r>
        <w:rPr>
          <w:rFonts w:ascii="Arial" w:cs="Arial" w:eastAsia="Arial" w:hAnsi="Arial"/>
          <w:sz w:val="16"/>
          <w:szCs w:val="16"/>
          <w:color w:val="auto"/>
        </w:rPr>
        <w:t>a representation whether the stockholder or the beneficial owner, if any, will engage in a solicitation with respect to the nomination or other business and, if so, the name of each participant in such solicitation (as defined in Item 4 of Schedule 14A under the Exchange Act) and whether such person intends or is part of a group which intends to deliver a proxy statement and/or form of proxy to holders of shares representing at least 50% of the voting power of the stock entitled to vote generally in the election of directors in the case of a nomination, or holders of at least the percentage of the Corporation’s stock required to approve or adopt the business to be proposed in the case of other business.</w:t>
      </w:r>
    </w:p>
    <w:p>
      <w:pPr>
        <w:spacing w:after="0" w:line="161" w:lineRule="exact"/>
        <w:rPr>
          <w:rFonts w:ascii="Arial" w:cs="Arial" w:eastAsia="Arial" w:hAnsi="Arial"/>
          <w:sz w:val="16"/>
          <w:szCs w:val="16"/>
          <w:color w:val="auto"/>
        </w:rPr>
      </w:pPr>
    </w:p>
    <w:p>
      <w:pPr>
        <w:ind w:firstLine="1428"/>
        <w:spacing w:after="0" w:line="293" w:lineRule="auto"/>
        <w:tabs>
          <w:tab w:leader="none" w:pos="188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Notwithstanding anything in </w:t>
      </w:r>
      <w:r>
        <w:rPr>
          <w:rFonts w:ascii="Arial" w:cs="Arial" w:eastAsia="Arial" w:hAnsi="Arial"/>
          <w:sz w:val="16"/>
          <w:szCs w:val="16"/>
          <w:u w:val="single" w:color="auto"/>
          <w:color w:val="auto"/>
        </w:rPr>
        <w:t>Section 2.10(a)(ii)</w:t>
      </w:r>
      <w:r>
        <w:rPr>
          <w:rFonts w:ascii="Arial" w:cs="Arial" w:eastAsia="Arial" w:hAnsi="Arial"/>
          <w:sz w:val="16"/>
          <w:szCs w:val="16"/>
          <w:color w:val="auto"/>
        </w:rPr>
        <w:t xml:space="preserve"> above or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below to the contrary, if the record date for determining the stockholders entitled to vote at any meeting of stockholders is different from the record date for determining the stockholders entitled to notice of the meeting, a stockholder’s notice required by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set forth a representation that the stockholder will notify the Corporation in writing within five business days after the record date for determining the stockholders entitled to vote at the meeting, or by the opening of business on the date of the meeting (whichever is earlier), of the information required under clauses (ii)(C)(2) and (ii)(D)(1)-(3) of this </w:t>
      </w:r>
      <w:r>
        <w:rPr>
          <w:rFonts w:ascii="Arial" w:cs="Arial" w:eastAsia="Arial" w:hAnsi="Arial"/>
          <w:sz w:val="16"/>
          <w:szCs w:val="16"/>
          <w:u w:val="single" w:color="auto"/>
          <w:color w:val="auto"/>
        </w:rPr>
        <w:t>Section 2.10(a)</w:t>
      </w:r>
      <w:r>
        <w:rPr>
          <w:rFonts w:ascii="Arial" w:cs="Arial" w:eastAsia="Arial" w:hAnsi="Arial"/>
          <w:sz w:val="16"/>
          <w:szCs w:val="16"/>
          <w:color w:val="auto"/>
        </w:rPr>
        <w:t>, and such information when provided to the Corporation shall be current as of the record date for determining the stockholders entitled to vote at the meeting.</w:t>
      </w:r>
    </w:p>
    <w:p>
      <w:pPr>
        <w:sectPr>
          <w:pgSz w:w="11900" w:h="16838" w:orient="portrait"/>
          <w:cols w:equalWidth="0" w:num="1">
            <w:col w:w="10960"/>
          </w:cols>
          <w:pgMar w:left="440" w:top="274" w:right="499" w:bottom="1440" w:gutter="0" w:footer="0" w:header="0"/>
        </w:sectPr>
      </w:pPr>
    </w:p>
    <w:bookmarkStart w:id="92" w:name="page93"/>
    <w:bookmarkEnd w:id="92"/>
    <w:p>
      <w:pPr>
        <w:ind w:left="-987" w:right="80" w:firstLine="1428"/>
        <w:spacing w:after="0" w:line="311" w:lineRule="auto"/>
        <w:tabs>
          <w:tab w:leader="none" w:pos="881" w:val="left"/>
        </w:tabs>
        <w:numPr>
          <w:ilvl w:val="1"/>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shall not apply to a proposal proposed to be made by a stockholder if the stockholder has notified the Corporation of his or her intention to present the proposal at an annual or special meeting only pursuant to and in compliance with Rule 14a-8 under the Exchange Act and such proposal has been included in a proxy statement that has been prepared by the Corporation to solicit proxies for such meeting.</w:t>
      </w:r>
    </w:p>
    <w:p>
      <w:pPr>
        <w:spacing w:after="0" w:line="148" w:lineRule="exact"/>
        <w:rPr>
          <w:rFonts w:ascii="Arial" w:cs="Arial" w:eastAsia="Arial" w:hAnsi="Arial"/>
          <w:sz w:val="16"/>
          <w:szCs w:val="16"/>
          <w:color w:val="auto"/>
        </w:rPr>
      </w:pPr>
    </w:p>
    <w:p>
      <w:pPr>
        <w:ind w:left="-987" w:right="40" w:firstLine="1428"/>
        <w:spacing w:after="0" w:line="254" w:lineRule="auto"/>
        <w:tabs>
          <w:tab w:leader="none" w:pos="83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to the contrary, in the event that the number of directors to be elected to the Board of Directors at an annual meeting is increased and there is no public announcement by the Corporation naming all of the nominees for director or specifying the size of the increased Board of Directors made by the Corporation at least 10 days prior to the last day a stockholder may deliver a notice in accordance with </w:t>
      </w:r>
      <w:r>
        <w:rPr>
          <w:rFonts w:ascii="Arial" w:cs="Arial" w:eastAsia="Arial" w:hAnsi="Arial"/>
          <w:sz w:val="18"/>
          <w:szCs w:val="18"/>
          <w:u w:val="single" w:color="auto"/>
          <w:color w:val="auto"/>
        </w:rPr>
        <w:t>Section 2.10(a)(ii)</w:t>
      </w:r>
      <w:r>
        <w:rPr>
          <w:rFonts w:ascii="Arial" w:cs="Arial" w:eastAsia="Arial" w:hAnsi="Arial"/>
          <w:sz w:val="18"/>
          <w:szCs w:val="18"/>
          <w:color w:val="auto"/>
        </w:rPr>
        <w:t xml:space="preserve"> above, a stockholder’s notice required by this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shall also be considered timely, but only with respect to nominees for any new positions created by such increase, if it shall be delivered to the Secretary of the Corporation at the principal executive offices of the Corporation not later than the close of business on the 10th day following the day on which such public announcement is first made by the Corporation.</w:t>
      </w:r>
    </w:p>
    <w:p>
      <w:pPr>
        <w:spacing w:after="0" w:line="194" w:lineRule="exact"/>
        <w:rPr>
          <w:rFonts w:ascii="Arial" w:cs="Arial" w:eastAsia="Arial" w:hAnsi="Arial"/>
          <w:sz w:val="18"/>
          <w:szCs w:val="18"/>
          <w:color w:val="auto"/>
        </w:rPr>
      </w:pPr>
    </w:p>
    <w:p>
      <w:pPr>
        <w:ind w:left="-987" w:firstLine="987"/>
        <w:spacing w:after="0" w:line="286" w:lineRule="auto"/>
        <w:tabs>
          <w:tab w:leader="none" w:pos="394"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Special Meeting</w:t>
      </w:r>
      <w:r>
        <w:rPr>
          <w:rFonts w:ascii="Arial" w:cs="Arial" w:eastAsia="Arial" w:hAnsi="Arial"/>
          <w:sz w:val="16"/>
          <w:szCs w:val="16"/>
          <w:color w:val="auto"/>
        </w:rPr>
        <w:t xml:space="preserve">. Nominations of persons for election to the Board of Directors may be made at a special meeting of stockholders at which directors are to be elected pursuant to the Corporation’s notice of meeting: (i) by or at the direction of the Board of Directors (or any authorized committee thereof); or (ii)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one or more directors are to be elected at such meeting, by any stockholder of the Corporation who is a stockholder of record at the time the notice provided for in this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is delivered to the Secretary of the Corporation, who is entitled to vote at the meeting and upon such election and who delivers notice thereof in writing setting forth the information required by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above and provides the additional information required by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above. In the event the Corporation calls a special meeting of stockholders for the purpose of electing one or more directors to the Board of Directors, any stockholder entitled to vote in such election of directors may nominate a person or persons (as the case may be) for election to such position(s) as specified in the Corporation’s notice of meeting, if the notice required by this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date on which public announcement of the date of the special meeting and of the nominees proposed by the Board of Directors to be elected at such meeting is first made by the Corporation. The number of nominees a stockholder may nominate for election at the special meeting (or in the case of a stockholder giving the notice on behalf of a beneficial owner, the number of nominees a stockholder may nominate for election at the annual meeting on behalf of such beneficial owner) shall not exceed the number of directors to be elected at such special meeting. In no event shall an adjournment, recess or postponement of a special meeting commence a new time period (or extend any time period) for the giving of a stockholder’s notice as described above.</w:t>
      </w:r>
    </w:p>
    <w:p>
      <w:pPr>
        <w:spacing w:after="0" w:line="167" w:lineRule="exact"/>
        <w:rPr>
          <w:rFonts w:ascii="Arial" w:cs="Arial" w:eastAsia="Arial" w:hAnsi="Arial"/>
          <w:sz w:val="16"/>
          <w:szCs w:val="16"/>
          <w:color w:val="auto"/>
        </w:rPr>
      </w:pPr>
    </w:p>
    <w:p>
      <w:pPr>
        <w:ind w:left="373" w:hanging="373"/>
        <w:spacing w:after="0"/>
        <w:tabs>
          <w:tab w:leader="none" w:pos="373"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7" w:firstLine="1428"/>
        <w:spacing w:after="0" w:line="269" w:lineRule="auto"/>
        <w:tabs>
          <w:tab w:leader="none" w:pos="794"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Except as otherwise required by law, only such persons who are nominated in accordance with the procedures set forth in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be eligible to be elected at any meeting of stockholders of the Corporation to serve as directors and only such other business shall be conducted at a meeting of stockholders as shall have been brought before the meeting in accordance with the procedures set forth in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Except as otherwise required by law, each of the Chairman of the Board of Directors, the Board of Directors or the chairman of the meeting shall have the power to determine whether a nomination or any other business proposed to be brought before the meeting was made or proposed, as the case may be, in accordance with the procedures set forth in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(including whether a stockholder or beneficial owner solicited (or is part of a group which solicited) or did not so solicit, as the case may be, proxies in compliance with such stockholder’s representation as required by clause (a)(ii)(D)(4) of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If any proposed nomination or other business is not in compliance with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then except as otherwise required by law, the chairman of the meeting shall have the power to declare that such nomination shall be disregarded or that such other business shall not be transacted. Notwithstanding the foregoing provisions of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unless otherwise required by law, or otherwise determined by the Chairman of the Board of Directors, the Board of Directors or the chairman of the meeting, if the stockholder does not provide the information required under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or clauses (a)(ii)(C)(2) and (a)(ii)(D)(1)-</w:t>
      </w:r>
    </w:p>
    <w:p>
      <w:pPr>
        <w:sectPr>
          <w:pgSz w:w="11900" w:h="16838" w:orient="portrait"/>
          <w:cols w:equalWidth="0" w:num="1">
            <w:col w:w="10013"/>
          </w:cols>
          <w:pgMar w:left="1427" w:top="274" w:right="459" w:bottom="1440" w:gutter="0" w:footer="0" w:header="0"/>
        </w:sectPr>
      </w:pPr>
    </w:p>
    <w:bookmarkStart w:id="93" w:name="page94"/>
    <w:bookmarkEnd w:id="93"/>
    <w:p>
      <w:pPr>
        <w:ind w:left="4" w:hanging="4"/>
        <w:spacing w:after="0" w:line="269" w:lineRule="auto"/>
        <w:tabs>
          <w:tab w:leader="none" w:pos="259" w:val="left"/>
        </w:tabs>
        <w:numPr>
          <w:ilvl w:val="0"/>
          <w:numId w:val="1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to the Corporation within the time frames specified herein, any such nomination shall be disregarded and any such other business shall not be transacted, notwithstanding that proxies in respect of such vote may have been received by the Corporation. Notwithstanding the foregoing provisions of this </w:t>
      </w:r>
      <w:r>
        <w:rPr>
          <w:rFonts w:ascii="Arial" w:cs="Arial" w:eastAsia="Arial" w:hAnsi="Arial"/>
          <w:sz w:val="17"/>
          <w:szCs w:val="17"/>
          <w:u w:val="single" w:color="auto"/>
          <w:color w:val="auto"/>
        </w:rPr>
        <w:t>Section 2.10</w:t>
      </w:r>
      <w:r>
        <w:rPr>
          <w:rFonts w:ascii="Arial" w:cs="Arial" w:eastAsia="Arial" w:hAnsi="Arial"/>
          <w:sz w:val="17"/>
          <w:szCs w:val="17"/>
          <w:color w:val="auto"/>
        </w:rPr>
        <w:t>, unless otherwise required by law, or otherwise determined by the Chairman of the Board of Directors, the Board of Directors or the chairman of the meeting, if the stockholder (or a qualified representative of the stockholder) does not appear at the annual or special meeting of stockholders of the Corporation to present a nomination or other business (whether pursuant to the requirements of these Bylaws or in accordance with Rule 14a-8 under the Exchange Act), such nomination shall be disregarded and such other business shall not be transacted, notwithstanding that proxies in respect of such vote may have been received by the Corporation. To be considered a qualified representative of a stockholder pursuant to the preceding sentence, a person must be a duly authorized officer, manager or partner of such stockholder or authorized by a writing executed by such stockholder (or a reliable reproduction or electronic transmission of the writing) delivered to the Corporation prior to the making of such nomination or proposal at such meeting (and in any event not fewer than five days before the meeting) stating that such person is authorized to act for such stockholder as proxy at the meeting of stockholders.</w:t>
      </w:r>
    </w:p>
    <w:p>
      <w:pPr>
        <w:spacing w:after="0" w:line="181" w:lineRule="exact"/>
        <w:rPr>
          <w:rFonts w:ascii="Arial" w:cs="Arial" w:eastAsia="Arial" w:hAnsi="Arial"/>
          <w:sz w:val="17"/>
          <w:szCs w:val="17"/>
          <w:color w:val="auto"/>
        </w:rPr>
      </w:pPr>
    </w:p>
    <w:p>
      <w:pPr>
        <w:ind w:left="4" w:firstLine="1428"/>
        <w:spacing w:after="0" w:line="270" w:lineRule="auto"/>
        <w:tabs>
          <w:tab w:leader="none" w:pos="1836"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2.10</w:t>
      </w:r>
      <w:r>
        <w:rPr>
          <w:rFonts w:ascii="Arial" w:cs="Arial" w:eastAsia="Arial" w:hAnsi="Arial"/>
          <w:sz w:val="17"/>
          <w:szCs w:val="17"/>
          <w:color w:val="auto"/>
        </w:rPr>
        <w:t>, the “</w:t>
      </w:r>
      <w:r>
        <w:rPr>
          <w:rFonts w:ascii="Arial" w:cs="Arial" w:eastAsia="Arial" w:hAnsi="Arial"/>
          <w:sz w:val="17"/>
          <w:szCs w:val="17"/>
          <w:u w:val="single" w:color="auto"/>
          <w:color w:val="auto"/>
        </w:rPr>
        <w:t>close of business</w:t>
      </w:r>
      <w:r>
        <w:rPr>
          <w:rFonts w:ascii="Arial" w:cs="Arial" w:eastAsia="Arial" w:hAnsi="Arial"/>
          <w:sz w:val="17"/>
          <w:szCs w:val="17"/>
          <w:color w:val="auto"/>
        </w:rPr>
        <w:t>” shall mean 6:00 p.m. local time at the principal executive offices of the Corporation on any calendar day, whether or not the day is a business day, and a “</w:t>
      </w:r>
      <w:r>
        <w:rPr>
          <w:rFonts w:ascii="Arial" w:cs="Arial" w:eastAsia="Arial" w:hAnsi="Arial"/>
          <w:sz w:val="17"/>
          <w:szCs w:val="17"/>
          <w:u w:val="single" w:color="auto"/>
          <w:color w:val="auto"/>
        </w:rPr>
        <w:t>public announcement</w:t>
      </w:r>
      <w:r>
        <w:rPr>
          <w:rFonts w:ascii="Arial" w:cs="Arial" w:eastAsia="Arial" w:hAnsi="Arial"/>
          <w:sz w:val="17"/>
          <w:szCs w:val="17"/>
          <w:color w:val="auto"/>
        </w:rPr>
        <w:t xml:space="preserve">” shall mean disclosure in a press release reported by the Dow Jones News Service, Associated Press or a comparable national news service or in a document publicly filed by the Corporation with the Securities and Exchange Commission pursuant to Sections 13, 14 or 15(d) of the Exchange Act. For purposes of clause (a)(ii)(D)(1) of this </w:t>
      </w:r>
      <w:r>
        <w:rPr>
          <w:rFonts w:ascii="Arial" w:cs="Arial" w:eastAsia="Arial" w:hAnsi="Arial"/>
          <w:sz w:val="17"/>
          <w:szCs w:val="17"/>
          <w:u w:val="single" w:color="auto"/>
          <w:color w:val="auto"/>
        </w:rPr>
        <w:t>Section 2.10</w:t>
      </w:r>
      <w:r>
        <w:rPr>
          <w:rFonts w:ascii="Arial" w:cs="Arial" w:eastAsia="Arial" w:hAnsi="Arial"/>
          <w:sz w:val="17"/>
          <w:szCs w:val="17"/>
          <w:color w:val="auto"/>
        </w:rPr>
        <w:t>, shares shall be treated as “</w:t>
      </w:r>
      <w:r>
        <w:rPr>
          <w:rFonts w:ascii="Arial" w:cs="Arial" w:eastAsia="Arial" w:hAnsi="Arial"/>
          <w:sz w:val="17"/>
          <w:szCs w:val="17"/>
          <w:u w:val="single" w:color="auto"/>
          <w:color w:val="auto"/>
        </w:rPr>
        <w:t>beneficially owned</w:t>
      </w:r>
      <w:r>
        <w:rPr>
          <w:rFonts w:ascii="Arial" w:cs="Arial" w:eastAsia="Arial" w:hAnsi="Arial"/>
          <w:sz w:val="17"/>
          <w:szCs w:val="17"/>
          <w:color w:val="auto"/>
        </w:rPr>
        <w:t>”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and/or (C) investment power with respect to such shares, including the power to dispose of, or to direct the disposition of, such shares.</w:t>
      </w:r>
    </w:p>
    <w:p>
      <w:pPr>
        <w:spacing w:after="0" w:line="181"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Any action required or permitted to be taken by the stockholders of the Corporation at any annual or special meeting of stockholders may be taken without a meeting, without prior notice and without a vote, if a consent or consents in writing, setting forth the action so taken, (a) shall be signed by holders of record on the consent record date (established as provided in these Bylaws of the Corporation) of the Corporation’s then outstanding capital stock having not less than the minimum number of votes that would be necessary to authorize or take such action at a meeting at which all shares entitled to vote thereon were present and voted and (b) shall be delivered to the secretary of the Corporation in accordance these Bylaws of the Corporation.</w:t>
      </w:r>
    </w:p>
    <w:p>
      <w:pPr>
        <w:spacing w:after="0" w:line="192"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Inspectors of Election</w:t>
      </w:r>
      <w:r>
        <w:rPr>
          <w:rFonts w:ascii="Arial" w:cs="Arial" w:eastAsia="Arial" w:hAnsi="Arial"/>
          <w:sz w:val="18"/>
          <w:szCs w:val="18"/>
          <w:color w:val="auto"/>
        </w:rPr>
        <w:t>. Before any meeting of stockholders, the Corporation may, and shall, if required by law, appoint one or more inspectors of election to act at the meeting and make a written report thereof. Inspectors may be employees of the Corporation. The Corporation may designate one or more persons as alternate inspectors to replace any inspector who fails to act. If no inspector or alternate is able to act at a meeting of stockholders, the chairman of the meeting may, and shall, if required by law, appoint one or more inspectors to act at the meeting. Each inspector, before entering upon the discharge of his or her duties, shall take and sign an oath faithfully to execute the duties of inspector with strict impartiality and according to the best of his or her ability. Inspectors need not be stockholders. No director or nominee for the office of director at an election shall be appointed as an inspector at such election.</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Such inspectors shall:</w:t>
      </w:r>
    </w:p>
    <w:p>
      <w:pPr>
        <w:spacing w:after="0" w:line="225" w:lineRule="exact"/>
        <w:rPr>
          <w:sz w:val="20"/>
          <w:szCs w:val="20"/>
          <w:color w:val="auto"/>
        </w:rPr>
      </w:pPr>
    </w:p>
    <w:p>
      <w:pPr>
        <w:ind w:left="4" w:right="500" w:firstLine="987"/>
        <w:spacing w:after="0" w:line="277" w:lineRule="auto"/>
        <w:tabs>
          <w:tab w:leader="none" w:pos="137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determine the number of shares outstanding and the voting power of each, the number of shares represented at the meeting, the existence of a quorum, and the validity of proxies and ballots;</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determine and retain for a reasonable period a record of the disposition of any challenges made to any determination by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inspectors;</w:t>
      </w:r>
    </w:p>
    <w:p>
      <w:pPr>
        <w:spacing w:after="0" w:line="210" w:lineRule="exact"/>
        <w:rPr>
          <w:rFonts w:ascii="Arial" w:cs="Arial" w:eastAsia="Arial" w:hAnsi="Arial"/>
          <w:sz w:val="17"/>
          <w:szCs w:val="17"/>
          <w:color w:val="auto"/>
        </w:rPr>
      </w:pPr>
    </w:p>
    <w:p>
      <w:pPr>
        <w:ind w:left="1364" w:hanging="373"/>
        <w:spacing w:after="0"/>
        <w:tabs>
          <w:tab w:leader="none" w:pos="13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count and tabulate all votes and ballots; and</w:t>
      </w:r>
    </w:p>
    <w:p>
      <w:pPr>
        <w:sectPr>
          <w:pgSz w:w="11900" w:h="16838" w:orient="portrait"/>
          <w:cols w:equalWidth="0" w:num="1">
            <w:col w:w="11004"/>
          </w:cols>
          <w:pgMar w:left="436" w:top="274" w:right="459" w:bottom="1440" w:gutter="0" w:footer="0" w:header="0"/>
        </w:sectPr>
      </w:pPr>
    </w:p>
    <w:bookmarkStart w:id="94" w:name="page95"/>
    <w:bookmarkEnd w:id="94"/>
    <w:p>
      <w:pPr>
        <w:ind w:left="1380" w:hanging="393"/>
        <w:spacing w:after="0"/>
        <w:tabs>
          <w:tab w:leader="none" w:pos="13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certify their determination of the number of shares represented at the meeting, and their count of all votes and ballots.</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Meetings by Remote Communications</w:t>
      </w:r>
      <w:r>
        <w:rPr>
          <w:rFonts w:ascii="Arial" w:cs="Arial" w:eastAsia="Arial" w:hAnsi="Arial"/>
          <w:sz w:val="17"/>
          <w:szCs w:val="17"/>
          <w:color w:val="auto"/>
        </w:rPr>
        <w:t xml:space="preserve">. The Board of Directors may, in its sole discretion, determine that a meeting of stockholders shall not be held at any place, but may instead be held solely by means of remote communication in accordance with Section 211(a)(2) of the DGCL. If authorized by the Board of Directors in its sole discretion, and subject to such guidelines and procedures as the Board of Directors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means of remote communication,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2"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Delivery to the Corporation</w:t>
      </w:r>
      <w:r>
        <w:rPr>
          <w:rFonts w:ascii="Arial" w:cs="Arial" w:eastAsia="Arial" w:hAnsi="Arial"/>
          <w:sz w:val="18"/>
          <w:szCs w:val="18"/>
          <w:color w:val="auto"/>
        </w:rPr>
        <w:t xml:space="preserve">. Whenever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the delivery of information and documents to the Corporation required by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Except as otherwise required by the DGCL or as provided in the Certificate of Incorporation, the business and affairs of the Corporation shall be managed by or under the direction of the Board of Directors. In addition to the powers and authorities these Bylaws expressly confer upon it, the Board of Directors may exercise all such powers of the Corporation and do all such lawful acts and things as are not by law, the Certificate of Incorporation or these Bylaws required to be exercised or done by the stockholders.</w:t>
      </w:r>
    </w:p>
    <w:p>
      <w:pPr>
        <w:spacing w:after="0" w:line="187"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and Election</w:t>
      </w:r>
      <w:r>
        <w:rPr>
          <w:rFonts w:ascii="Arial" w:cs="Arial" w:eastAsia="Arial" w:hAnsi="Arial"/>
          <w:sz w:val="16"/>
          <w:szCs w:val="16"/>
          <w:color w:val="auto"/>
        </w:rPr>
        <w:t xml:space="preserve">. Except as otherwise provided for or fixed pursuant to the Certificate of Incorporation, the Board of Directors shall consist of such number of directors as shall be determined from time to time solely by resolution adopted by a majority of the directors then in office;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directors then in office are not less than one-third of the total number of directors then authorized. At any meeting of stockholders at which directors are to be elected, directors shall be elected by a plurality of the votes cast. Directors need not be stockholders unless so required by the Certificate of Incorporation or these Bylaws, wherein other qualifications for directors may be prescribed.</w:t>
      </w:r>
    </w:p>
    <w:p>
      <w:pPr>
        <w:spacing w:after="0" w:line="16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Unless otherwise required by law, newly created directorships resulting from any increase in the authorized number of directors and any vacancies in the Board of Directors resulting from death, resignation, retirement, disqualification, removal from office or other cause shall be filled solely by the affirmative vote of a majority of the remaining directors then in office, even though less than a quorum, or by the sole remaining director, and any director so chosen shall hold office until the next election of the class for which such director shall have been chosen and until his or her successor shall have been duly elected and qualified or until any such director’s earlier death, resignation, removal, retirement or disqualification.</w:t>
      </w:r>
    </w:p>
    <w:p>
      <w:pPr>
        <w:spacing w:after="0" w:line="192"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may resign at any time upon notice given in writing or by electronic transmission to the Board of Directors, the Chairman of the Board of Directors or the Secretary of the Corporation.</w:t>
      </w:r>
    </w:p>
    <w:p>
      <w:pPr>
        <w:sectPr>
          <w:pgSz w:w="11900" w:h="16838" w:orient="portrait"/>
          <w:cols w:equalWidth="0" w:num="1">
            <w:col w:w="10980"/>
          </w:cols>
          <w:pgMar w:left="440" w:top="274" w:right="479" w:bottom="1440" w:gutter="0" w:footer="0" w:header="0"/>
        </w:sectPr>
      </w:pPr>
    </w:p>
    <w:bookmarkStart w:id="95" w:name="page96"/>
    <w:bookmarkEnd w:id="95"/>
    <w:p>
      <w:pPr>
        <w:ind w:right="3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resignation shall take effect upon delivery, unless the resignation specifies a later effective date or time or an effective date or time determined upon the happening of an event or events. Unless otherwise specified therein, the acceptance of such resignation shall not be necessary to make it effective.</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shall be held at such place or places, within or without the State of Delaware, on such date or dates and at such time or times, as shall have been established by the Board of Directors and publicized among all directors. A notice of each regular meeting shall not be required.</w:t>
      </w:r>
    </w:p>
    <w:p>
      <w:pPr>
        <w:spacing w:after="0" w:line="184"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for any purpose or purposes may be called at any time by the Chairman of the Board of Directors, the Chief Executive Officer or a majority of the directors then in office. The person or persons authorized to call special meetings of the Board of Directors may fix the place, within or without the State of Delaware, date and time of such meetings. Notice of each such meeting shall be given to each director, if by mail, addressed to such director at his or her residence or usual place of business, at least five days before the day on which such meeting is to be held, or shall be sent to such director by electronic transmission, or be delivered personally or by telephone, in each case at least 24 hours prior to the time set for such meeting. A notice of special meeting need not state the purpose of such meeting, and, unless indicated in the notice thereof, any and all business may be transacted at a special meeting.</w:t>
      </w:r>
    </w:p>
    <w:p>
      <w:pPr>
        <w:spacing w:after="0" w:line="177" w:lineRule="exact"/>
        <w:rPr>
          <w:sz w:val="20"/>
          <w:szCs w:val="20"/>
          <w:color w:val="auto"/>
        </w:rPr>
      </w:pPr>
    </w:p>
    <w:p>
      <w:pPr>
        <w:ind w:right="280" w:firstLine="440"/>
        <w:spacing w:after="0" w:line="311"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Participation in Meetings by Conference Telephone</w:t>
      </w:r>
      <w:r>
        <w:rPr>
          <w:rFonts w:ascii="Arial" w:cs="Arial" w:eastAsia="Arial" w:hAnsi="Arial"/>
          <w:sz w:val="16"/>
          <w:szCs w:val="16"/>
          <w:color w:val="auto"/>
        </w:rPr>
        <w:t>. Members of the Board of Directors, or of any committee thereof, may 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w:t>
      </w:r>
    </w:p>
    <w:p>
      <w:pPr>
        <w:spacing w:after="0" w:line="149"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Quorum and Voting</w:t>
      </w:r>
      <w:r>
        <w:rPr>
          <w:rFonts w:ascii="Arial" w:cs="Arial" w:eastAsia="Arial" w:hAnsi="Arial"/>
          <w:sz w:val="16"/>
          <w:szCs w:val="16"/>
          <w:color w:val="auto"/>
        </w:rPr>
        <w:t>. Except as otherwise required by law, the Certificate of Incorporation or these Bylaws, a majority of the total number of directors then authorized shall constitute a quorum for the transaction of business at any meeting of the Board of Directors, and the vote of a majority of the directors present at a duly held meeting at which a quorum is present shall be the act of the Board of Directors. The chairman of the meeting or a majority of the directors present may adjourn the meeting to another time and place whether or not a quorum is present. At any adjourned meeting at which a quorum is present, any business may be transacted which might have been transacted at the meeting as originally called.</w:t>
      </w:r>
    </w:p>
    <w:p>
      <w:pPr>
        <w:spacing w:after="0" w:line="16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Action by Consent Without a Meeting</w:t>
      </w:r>
      <w:r>
        <w:rPr>
          <w:rFonts w:ascii="Arial" w:cs="Arial" w:eastAsia="Arial" w:hAnsi="Arial"/>
          <w:sz w:val="16"/>
          <w:szCs w:val="16"/>
          <w:color w:val="auto"/>
        </w:rPr>
        <w:t xml:space="preserve">. Unless otherwise restricted by the Certificate of Incorporation or these Bylaws, any action required or permitted to be taken at any meeting of the Board of Directors, or any committee thereof, may be taken without a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members of the Board of Directors or committee, as the case may be, consent in writing or by electronic transmission to such action. After an action is taken, the consent or consents relating thereto shall be filed with the minutes or proceedings of the Board of Directors or committee in the same paper or electronic form as the minutes are maintained.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w:t>
      </w:r>
    </w:p>
    <w:p>
      <w:pPr>
        <w:spacing w:after="0" w:line="16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of Directors shall preside at meetings of the stockholders and at all meetings of the Board of Directors, unless otherwise provided in these Bylaws, and shall perform such other duties as the Board of Directors may from time to time determine. In the event the Chairman of the Board of Directors is unable to perform the duties of the Chairman of the Board of Directors, such other independent director as the Board of Directors may designate shall exercise the powers and discharge the duties of the Chairman of the Board of Directors.</w:t>
      </w:r>
    </w:p>
    <w:p>
      <w:pPr>
        <w:spacing w:after="0" w:line="188"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Rules and Regulations</w:t>
      </w:r>
      <w:r>
        <w:rPr>
          <w:rFonts w:ascii="Arial" w:cs="Arial" w:eastAsia="Arial" w:hAnsi="Arial"/>
          <w:sz w:val="18"/>
          <w:szCs w:val="18"/>
          <w:color w:val="auto"/>
        </w:rPr>
        <w:t>. The Board of Directors shall adopt such rules and regulations not inconsistent with the provisions of law, the Certificate of Incorporation or these Bylaws for the conduct of its meetings and management of the affairs of the Corporation as the Board of Directors shall deem proper.</w:t>
      </w:r>
    </w:p>
    <w:p>
      <w:pPr>
        <w:sectPr>
          <w:pgSz w:w="11900" w:h="16838" w:orient="portrait"/>
          <w:cols w:equalWidth="0" w:num="1">
            <w:col w:w="11000"/>
          </w:cols>
          <w:pgMar w:left="440" w:top="274" w:right="459" w:bottom="1440" w:gutter="0" w:footer="0" w:header="0"/>
        </w:sectPr>
      </w:pPr>
    </w:p>
    <w:bookmarkStart w:id="96" w:name="page97"/>
    <w:bookmarkEnd w:id="96"/>
    <w:p>
      <w:pPr>
        <w:ind w:right="3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3.12 </w:t>
      </w:r>
      <w:r>
        <w:rPr>
          <w:rFonts w:ascii="Arial" w:cs="Arial" w:eastAsia="Arial" w:hAnsi="Arial"/>
          <w:sz w:val="18"/>
          <w:szCs w:val="18"/>
          <w:u w:val="single" w:color="auto"/>
          <w:color w:val="auto"/>
        </w:rPr>
        <w:t>Fees and Compensation of Directors</w:t>
      </w:r>
      <w:r>
        <w:rPr>
          <w:rFonts w:ascii="Arial" w:cs="Arial" w:eastAsia="Arial" w:hAnsi="Arial"/>
          <w:sz w:val="18"/>
          <w:szCs w:val="18"/>
          <w:color w:val="auto"/>
        </w:rPr>
        <w:t>. Unless otherwise restricted by the Certificate of Incorporation, directors may receive such compensation, if any, for their services on the Board of Directors and its committees, and such reimbursement of expenses, as may be fixed or determined by resolution of the Board of Directors. Nothing herein shall preclude any director from serving the Corporation in another capacity and receiving compensation for such service.</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Emergency Bylaws</w:t>
      </w:r>
      <w:r>
        <w:rPr>
          <w:rFonts w:ascii="Arial" w:cs="Arial" w:eastAsia="Arial" w:hAnsi="Arial"/>
          <w:sz w:val="18"/>
          <w:szCs w:val="18"/>
          <w:color w:val="auto"/>
        </w:rPr>
        <w:t>. In the event of any emergency, disaster or catastrophe, as referred to in Section 110 of the DGCL, or other similar emergency condition, as a result of which a quorum of the Board of Directors or a standing committee of the Board of Directors cannot readily be convened for action, then the director or directors in attendance at the meeting shall constitute a quorum. Such director or directors in attendance may further take action to appoint one or more of themselves or other directors to membership on any standing or temporary committees of the Board of Directors as they shall deem necessary and appropriate.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Committees of the Board of Directors</w:t>
      </w:r>
      <w:r>
        <w:rPr>
          <w:rFonts w:ascii="Arial" w:cs="Arial" w:eastAsia="Arial" w:hAnsi="Arial"/>
          <w:sz w:val="17"/>
          <w:szCs w:val="17"/>
          <w:color w:val="auto"/>
        </w:rPr>
        <w:t>. The Board of Directors may designate one or more committees, each such committee to consist of one or more of the directors of the Corporation. The Board of Directors may designate one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of Directors to act at the meeting in the place of any such absent or disqualified member. Any such committee, to the extent permitted by law and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w:t>
      </w:r>
    </w:p>
    <w:p>
      <w:pPr>
        <w:spacing w:after="0" w:line="17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Meetings and Action of Committees</w:t>
      </w:r>
      <w:r>
        <w:rPr>
          <w:rFonts w:ascii="Arial" w:cs="Arial" w:eastAsia="Arial" w:hAnsi="Arial"/>
          <w:sz w:val="16"/>
          <w:szCs w:val="16"/>
          <w:color w:val="auto"/>
        </w:rPr>
        <w:t xml:space="preserve">. Unless the Board of Directors provides otherwise by resolution, any committee of the Board of Directors may adopt, alter and repeal such rules and regulations not inconsistent with the provisions of law, the Certificate of Incorporation or these Bylaws for the conduct of its meetings as such committee may deem proper. A majority of the directors then serving on a committee shall constitute a quorum for the transaction of business by the committee except as otherwise required by law, the Certificate of Incorporation or these Bylaws, and except as otherwise provided in a resolution of the Board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a quorum be less than one-third of the directors then serving on the committee. Unless the Certificate of Incorporation, these Bylaws or a resolution of the Board of Directors requires a greater number, the vote of a majority of the members of a committee present at a meeting at which a quorum is present shall be the act of the committee.</w:t>
      </w:r>
    </w:p>
    <w:p>
      <w:pPr>
        <w:spacing w:after="0" w:line="37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the Corporation shall consist of one or more Chief Executive Officers and a Secretary. The Board of Directors, in its sole discretion, may also elect one or more Chief Financial Officers, Chief Operating Officers, Presidents, Treasurers, Controllers, Assistant Secretaries, Assistant Treasurers and such other officers as the Board of Directors may from time to time determine, each of whom shall be elected by the Board of Directors, each to have such authority, functions or duties as set forth in these Bylaws or as determined by the Board of Directors. Each officer shall be elected by the Board of Directors and shall hold office for such term as may be prescribed by the Board of Directors and until such person’s successor shall have been duly elected and qualified, or until such person’s earlier death, disqualification, resignation or removal. Any number of offices may</w:t>
      </w:r>
    </w:p>
    <w:p>
      <w:pPr>
        <w:sectPr>
          <w:pgSz w:w="11900" w:h="16838" w:orient="portrait"/>
          <w:cols w:equalWidth="0" w:num="1">
            <w:col w:w="11000"/>
          </w:cols>
          <w:pgMar w:left="440" w:top="274" w:right="459" w:bottom="1440" w:gutter="0" w:footer="0" w:header="0"/>
        </w:sectPr>
      </w:pPr>
    </w:p>
    <w:bookmarkStart w:id="97" w:name="page98"/>
    <w:bookmarkEnd w:id="97"/>
    <w:p>
      <w:pPr>
        <w:ind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held by the same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officer shall execute, acknowledge or verify any instrument in more than one capacity if such instrument is required by law, the Certificate of Incorporation or these Bylaws to be executed, acknowledged or verified by two or more officers.</w:t>
      </w:r>
    </w:p>
    <w:p>
      <w:pPr>
        <w:spacing w:after="0" w:line="12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Compensation</w:t>
      </w:r>
      <w:r>
        <w:rPr>
          <w:rFonts w:ascii="Arial" w:cs="Arial" w:eastAsia="Arial" w:hAnsi="Arial"/>
          <w:sz w:val="18"/>
          <w:szCs w:val="18"/>
          <w:color w:val="auto"/>
        </w:rPr>
        <w:t>. The salaries of the officers of the Corporation and the manner and time of the payment of such salaries shall be fixed and determined by the Board of Directors or by a duly authorized officer and may be altered by the Board of Directors from time to time as it deems appropriate, subject to the rights, if any, of such officers under any contract of employment.</w:t>
      </w:r>
    </w:p>
    <w:p>
      <w:pPr>
        <w:spacing w:after="0" w:line="184"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Removal, Resignation and Vacancies</w:t>
      </w:r>
      <w:r>
        <w:rPr>
          <w:rFonts w:ascii="Arial" w:cs="Arial" w:eastAsia="Arial" w:hAnsi="Arial"/>
          <w:sz w:val="17"/>
          <w:szCs w:val="17"/>
          <w:color w:val="auto"/>
        </w:rPr>
        <w:t>. Any officer of the Corporation may be removed, with or without cause, by the Board of Directors or by a duly authorized officer, without prejudice to the rights, if any, of such officer under any contract to which it is a party. Any officer may resign at any time upon notice given in writing or by electronic transmission to the Corporation, without prejudice to the rights, if any, of the Corporation under any contract to which such officer is a party. If any vacancy occurs in any office of the Corporation, the Board of Directors may elect a successor to fill such vacancy for the remainder of the unexpired term and until a successor shall have been duly elected and qualified.</w:t>
      </w:r>
    </w:p>
    <w:p>
      <w:pPr>
        <w:spacing w:after="0" w:line="17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have general supervision and direction of the business and affairs of the Corporation, shall be responsible for corporate policy and strategy, and shall report directly to the Board of Directors. Unless otherwise provided in these Bylaws or determined by the Board of Directors, all other officers of the Corporation shall report directly to the Chief Executive Officer or as otherwise determined by the Chief Executive Officer. For the avoidance of doubt, to the extent the Board appoints more than one Chief Executive Officer, reference to each “Chief Executive Officer” in these Bylaws means any Chief Executive Officer acting alone.</w:t>
      </w:r>
    </w:p>
    <w:p>
      <w:pPr>
        <w:spacing w:after="0" w:line="176"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exercise all the powers and perform the duties of the office of the chief financial officer and in general have overall supervision of the financial operations of the Corporation. The Chief Financial Officer shall, when requested, counsel with and advise the other officers of the Corporation and shall perform such other duties as the Board of Directors or the Chief Executive Officer may from time to time determine.</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Chief Operating Officer shall have general responsibility for the management and control of the operations of the Corporation. The Chief Operating Officer shall, when requested, counsel with and advise the other officers of the Corporation and shall perform such other duties as the Board of Directors or the Chief Executive Officer may from time to time determine. For the avoidance of doubt, to the extent the Board appoints more than one Chief Operating Officer, reference to each “Chief Operating Officer” in these Bylaws means any Chief Operating Officer acting alone.</w:t>
      </w:r>
    </w:p>
    <w:p>
      <w:pPr>
        <w:spacing w:after="0" w:line="188"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have such powers and perform such duties as from time to time may be prescribed for him or her by the Board of Directors or are incident to the office of President.</w:t>
      </w:r>
    </w:p>
    <w:p>
      <w:pPr>
        <w:spacing w:after="0" w:line="170"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the Board of Directors, the Chief Executive Officer or the Chief Financial Officer may from time to time determine.</w:t>
      </w:r>
    </w:p>
    <w:p>
      <w:pPr>
        <w:spacing w:after="0" w:line="178"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Controller</w:t>
      </w:r>
      <w:r>
        <w:rPr>
          <w:rFonts w:ascii="Arial" w:cs="Arial" w:eastAsia="Arial" w:hAnsi="Arial"/>
          <w:sz w:val="18"/>
          <w:szCs w:val="18"/>
          <w:color w:val="auto"/>
        </w:rPr>
        <w:t>. The Controller shall be the chief accounting officer of the Corporation. The Controller shall, when requested, counsel with and advise the other officers of the Corporation and shall perform such other duties as the Board of Directors, the Chief Executive Officer, the Chief Financial Officer or the Treasurer may from time to time determine.</w:t>
      </w:r>
    </w:p>
    <w:p>
      <w:pPr>
        <w:sectPr>
          <w:pgSz w:w="11900" w:h="16838" w:orient="portrait"/>
          <w:cols w:equalWidth="0" w:num="1">
            <w:col w:w="11020"/>
          </w:cols>
          <w:pgMar w:left="440" w:top="274" w:right="439" w:bottom="1440" w:gutter="0" w:footer="0" w:header="0"/>
        </w:sectPr>
      </w:pPr>
    </w:p>
    <w:bookmarkStart w:id="98" w:name="page99"/>
    <w:bookmarkEnd w:id="98"/>
    <w:p>
      <w:pPr>
        <w:ind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5.10 </w:t>
      </w:r>
      <w:r>
        <w:rPr>
          <w:rFonts w:ascii="Arial" w:cs="Arial" w:eastAsia="Arial" w:hAnsi="Arial"/>
          <w:sz w:val="18"/>
          <w:szCs w:val="18"/>
          <w:u w:val="single" w:color="auto"/>
          <w:color w:val="auto"/>
        </w:rPr>
        <w:t>Secretary</w:t>
      </w:r>
      <w:r>
        <w:rPr>
          <w:rFonts w:ascii="Arial" w:cs="Arial" w:eastAsia="Arial" w:hAnsi="Arial"/>
          <w:sz w:val="18"/>
          <w:szCs w:val="18"/>
          <w:color w:val="auto"/>
        </w:rPr>
        <w:t>. The powers and duties of the Secretary are: (i) to act as Secretary at all meetings of the Board of Directors, of the committees of the Board of Directors and of the stockholders and to record the proceedings of such meetings in a book or books to be kept for that purpose; (ii) to see that all notices required to be given by the Corporation are duly given and served; (iii) to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to have charge of the books, records and papers of the Corporation and see that the reports, statements and other documents required by law to be kept and filed are properly kept and filed; and (v) to perform all of the duties incident to the office of Secretary. The Secretary shall, when requested, counsel with and advise the other officers of the Corporation and shall perform such other duties as the Board of Directors, the Chief Executive Officer or the Chief Operating Officer may from time to time determine.</w:t>
      </w:r>
    </w:p>
    <w:p>
      <w:pPr>
        <w:spacing w:after="0" w:line="196" w:lineRule="exact"/>
        <w:rPr>
          <w:sz w:val="20"/>
          <w:szCs w:val="20"/>
          <w:color w:val="auto"/>
        </w:rPr>
      </w:pPr>
    </w:p>
    <w:p>
      <w:pPr>
        <w:jc w:val="both"/>
        <w:ind w:right="280" w:firstLine="440"/>
        <w:spacing w:after="0" w:line="27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Additional Matters</w:t>
      </w:r>
      <w:r>
        <w:rPr>
          <w:rFonts w:ascii="Arial" w:cs="Arial" w:eastAsia="Arial" w:hAnsi="Arial"/>
          <w:sz w:val="17"/>
          <w:szCs w:val="17"/>
          <w:color w:val="auto"/>
        </w:rPr>
        <w:t>. The Chief Executive Officer and the Chief Financial Officer of the Corporation shall have the authority to designate employees of the Corporation to have the title of Vice President, Assistant Vice President, Assistant Treasurer or Assistant Secretary. Any employee so designated shall have the powers and duties determined by the officer making such designation. The persons upon whom such titles are conferred shall not be deemed officers of the Corporation unless elected by the Board of Directors.</w:t>
      </w:r>
    </w:p>
    <w:p>
      <w:pPr>
        <w:spacing w:after="0" w:line="17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Checks; Drafts; Evidences of Indebtedness</w:t>
      </w:r>
      <w:r>
        <w:rPr>
          <w:rFonts w:ascii="Arial" w:cs="Arial" w:eastAsia="Arial" w:hAnsi="Arial"/>
          <w:sz w:val="18"/>
          <w:szCs w:val="18"/>
          <w:color w:val="auto"/>
        </w:rPr>
        <w:t>. From time to time, the Board of Directors shall determine the method, and designate (or authorize officers of the Corporation to designate) the person or persons who shall have authority, to sign or endorse all checks, drafts, other orders for payment of money and notes, bonds, debentures or other evidences of indebtedness that are issued in the name of or payable by the Corporation, and only the persons so authorized shall sign or endorse such instruments.</w:t>
      </w:r>
    </w:p>
    <w:p>
      <w:pPr>
        <w:spacing w:after="0" w:line="187"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Corporate Contracts and Instruments; How Executed</w:t>
      </w:r>
      <w:r>
        <w:rPr>
          <w:rFonts w:ascii="Arial" w:cs="Arial" w:eastAsia="Arial" w:hAnsi="Arial"/>
          <w:sz w:val="16"/>
          <w:szCs w:val="16"/>
          <w:color w:val="auto"/>
        </w:rPr>
        <w:t>. Except as otherwise provided in these Bylaws, the Board of Directors may determine the method, and designate (or authorize officers of the Corporation to designate) the person or persons who shall have authority to enter into any contract or execute any instrument in the name of and on behalf of the Corporation. Such authority may be general or confined to specific instances. Unless so authorized, or within the power incident to a person’s office or other position with the Corporation, no person shall have any power or authority to bind the Corporation by any contract or engagement or to pledge its credit or to render it liable for any purpose or for any amount.</w:t>
      </w:r>
    </w:p>
    <w:p>
      <w:pPr>
        <w:spacing w:after="0" w:line="161"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Signature Authority</w:t>
      </w:r>
      <w:r>
        <w:rPr>
          <w:rFonts w:ascii="Arial" w:cs="Arial" w:eastAsia="Arial" w:hAnsi="Arial"/>
          <w:sz w:val="17"/>
          <w:szCs w:val="17"/>
          <w:color w:val="auto"/>
        </w:rPr>
        <w:t>. Unless otherwise determined by the Board of Directors or otherwise provided by law or these Bylaws, contracts, evidences of indebtedness and other instruments or documents of the Corporation may be executed, signed or endorsed: (i) by the Chief Executive Officer or the Chief Operating Officer; or (ii) by the Chief Financial Officer, President, Treasurer, Secretary or Controller, in each case only with regard to such instruments or documents that pertain to or relate to such person’s duties or business functions.</w:t>
      </w:r>
    </w:p>
    <w:p>
      <w:pPr>
        <w:spacing w:after="0" w:line="17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Action with Respect to Securities of Other Corporations or Entities</w:t>
      </w:r>
      <w:r>
        <w:rPr>
          <w:rFonts w:ascii="Arial" w:cs="Arial" w:eastAsia="Arial" w:hAnsi="Arial"/>
          <w:sz w:val="18"/>
          <w:szCs w:val="18"/>
          <w:color w:val="auto"/>
        </w:rPr>
        <w:t>. The Chief Executive Officer or any other officer of the Corporation authorized by the Board of Directors or the Chief Executive Officer is authorized to vote, represent, and exercise on behalf of the Corporation all rights incident to any and all shares or other equity interests of any other corporation or entity or corporations or entities, standing in the name of the Corporation. The authority herein granted may be exercised either by such person directly or by any other person authorized to do so by proxy or power of attorney duly executed by the person having such authority.</w:t>
      </w:r>
    </w:p>
    <w:p>
      <w:pPr>
        <w:spacing w:after="0" w:line="188"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Delegation</w:t>
      </w:r>
      <w:r>
        <w:rPr>
          <w:rFonts w:ascii="Arial" w:cs="Arial" w:eastAsia="Arial" w:hAnsi="Arial"/>
          <w:sz w:val="18"/>
          <w:szCs w:val="18"/>
          <w:color w:val="auto"/>
        </w:rPr>
        <w:t xml:space="preserve">. The Board of Directors may from time to time delegate the powers or duties of any officer to any other officers or agents, notwithstanding the foregoing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AND ADVANCEMENT OF EXPENSES</w:t>
      </w:r>
    </w:p>
    <w:p>
      <w:pPr>
        <w:spacing w:after="0" w:line="211"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w:t>
      </w:r>
    </w:p>
    <w:p>
      <w:pPr>
        <w:spacing w:after="0" w:line="117" w:lineRule="exact"/>
        <w:rPr>
          <w:sz w:val="20"/>
          <w:szCs w:val="20"/>
          <w:color w:val="auto"/>
        </w:rPr>
      </w:pPr>
    </w:p>
    <w:p>
      <w:pPr>
        <w:ind w:right="460" w:firstLine="987"/>
        <w:spacing w:after="0" w:line="263" w:lineRule="auto"/>
        <w:tabs>
          <w:tab w:leader="none" w:pos="137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person who was or is a party or is threatened to be made a party to, or was or is otherwise involved in, any action, suit, arbitration, alternative dispute resolution mechanism, investigation, inquiry, judicial, administrative or legislative hearing, or any other threatened, pending or completed proceeding, whether brought by</w:t>
      </w:r>
    </w:p>
    <w:p>
      <w:pPr>
        <w:sectPr>
          <w:pgSz w:w="11900" w:h="16838" w:orient="portrait"/>
          <w:cols w:equalWidth="0" w:num="1">
            <w:col w:w="10980"/>
          </w:cols>
          <w:pgMar w:left="440" w:top="274" w:right="47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in the right of the Corporation or otherwise, including any and all appeals, whether of a civil, criminal, administrative, legislative, investigative 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other nature (hereinafter a “</w:t>
      </w:r>
      <w:r>
        <w:rPr>
          <w:rFonts w:ascii="Arial" w:cs="Arial" w:eastAsia="Arial" w:hAnsi="Arial"/>
          <w:sz w:val="17"/>
          <w:szCs w:val="17"/>
          <w:u w:val="single" w:color="auto"/>
          <w:color w:val="auto"/>
        </w:rPr>
        <w:t>proceeding</w:t>
      </w:r>
      <w:r>
        <w:rPr>
          <w:rFonts w:ascii="Arial" w:cs="Arial" w:eastAsia="Arial" w:hAnsi="Arial"/>
          <w:sz w:val="17"/>
          <w:szCs w:val="17"/>
          <w:color w:val="auto"/>
        </w:rPr>
        <w:t>”), by reason of the fact that he or she is or was a director or officer of the Corporation or while a director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officer of the Corporation is or was serving at the request of the Corporation as a director, officer, employee, agent, fiduciary or trustee of another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or of a partnership, joint venture, trust or other enterprise, including service with respect to an employee benefit plan (hereinafter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indemnitee</w:t>
      </w:r>
      <w:r>
        <w:rPr>
          <w:rFonts w:ascii="Arial" w:cs="Arial" w:eastAsia="Arial" w:hAnsi="Arial"/>
          <w:sz w:val="16"/>
          <w:szCs w:val="16"/>
          <w:color w:val="auto"/>
        </w:rPr>
        <w:t>”), or by reason of anything done or not done by him or her in any such capacity, shall be indemnified and held harmless by the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fullest extent authorized by the DGCL, as the same exists or may hereafter be amended, against all expense, liability and loss (including attorneys’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fees, judgments, fines, ERISA excise taxes, penalties and amounts paid in settlement by or on behalf of the indemnitee) actually and reasonably incurred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such indemnitee in connection therewith, all on the terms and conditions set forth in these Bylaws;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required by law or provided in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with respect to suits to enforce rights under this </w:t>
      </w:r>
      <w:r>
        <w:rPr>
          <w:rFonts w:ascii="Arial" w:cs="Arial" w:eastAsia="Arial" w:hAnsi="Arial"/>
          <w:sz w:val="17"/>
          <w:szCs w:val="17"/>
          <w:u w:val="single" w:color="auto"/>
          <w:color w:val="auto"/>
        </w:rPr>
        <w:t>Article VI</w:t>
      </w:r>
      <w:r>
        <w:rPr>
          <w:rFonts w:ascii="Arial" w:cs="Arial" w:eastAsia="Arial" w:hAnsi="Arial"/>
          <w:sz w:val="17"/>
          <w:szCs w:val="17"/>
          <w:color w:val="auto"/>
        </w:rPr>
        <w:t>, the Corporation shall indemnify any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indemnitee in connection with a proceeding, or part thereof, voluntarily initiated by such indemnitee (including claims and counterclaims, whether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counterclaims are asserted by: (i) such indemnitee; or (ii) the Corporation in a proceeding initiated by such indemnitee) only if such proceeding, or part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thereof, was authorized or ratified by the Board of Directors or the Board of Directors otherwise determines that indemnification or advancement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expenses is appropriate. Any reference to an officer of the Corporation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be deemed to refer exclusively to the Chief Executive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Officer(s) and Secretary and any Chief Financial Officer, Chief Operating Officer, President, Chief Accounting Officer, Treasurer, Controller, Assistant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Secretary, Assistant Treasurer or other officer of the Corporation appointed by the Board of Directors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and any reference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officer of any other enterprise shall be deemed to refer exclusively to an officer appointed by the board of directors or equivalent governing body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enterprise pursuant to the certificate of incorporation and bylaws (or equivalent organizational documents) of such other enterprise. The fact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person who is or was an employee of the Corporation or an employee of any other enterprise has been given or has used the title of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any other title that could be construed to suggest or imply that such person is or may be an officer of the Corporation or of such other enterprise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by itself, result in such person being constituted as, or being deemed to be, an officer of the Corporation or of such other enterprise for purposes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211" w:lineRule="exact"/>
        <w:rPr>
          <w:sz w:val="20"/>
          <w:szCs w:val="20"/>
          <w:color w:val="auto"/>
        </w:rPr>
      </w:pPr>
    </w:p>
    <w:p>
      <w:pPr>
        <w:ind w:firstLine="987"/>
        <w:spacing w:after="0" w:line="267" w:lineRule="auto"/>
        <w:tabs>
          <w:tab w:leader="none" w:pos="137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To receive indemnification under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 indemnitee shall submit a written request to the Secretary of the Corporation. Such request shall include documentation or information that is necessary to determine the entitlement of the indemnitee to indemnification and that is reasonably available to the indemnitee. Upon receipt by the Secretary of the Corporation of such a written request, the entitlement of the indemnitee to indemnification shall be determined by the following person or persons who shall be empowered to make such determination, as selected by the Board of Directors (except with respect to clause (v) of this </w:t>
      </w: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(i) the Board of Directors by a majority vote of the directors who are not parties to such proceeding, whether or not such majority constitutes a quorum; (ii) a committee of such directors designated by a majority vote of such directors, whether or not such majority constitutes a quorum; (iii) if there are no such directors, or if such directors so direct, by independent legal counsel in a written opinion to the Board of Directors, a copy of which shall be delivered to the indemnitee; (iv) the stockholders of the Corporation; or (v) in the event that a change of control (as defined below) has occurred, by independent legal counsel in a written opinion to the Board of Directors, a copy of which shall be delivered to the indemnitee. The determination of entitlement to indemnification shall be made and, unless a contrary determination is made, such indemnification shall be paid in full by the Corporation not later than 60 days after receipt by the Secretary of the Corporation of a written request for indemnification. For purposes of this </w:t>
      </w:r>
      <w:r>
        <w:rPr>
          <w:rFonts w:ascii="Arial" w:cs="Arial" w:eastAsia="Arial" w:hAnsi="Arial"/>
          <w:sz w:val="17"/>
          <w:szCs w:val="17"/>
          <w:u w:val="single" w:color="auto"/>
          <w:color w:val="auto"/>
        </w:rPr>
        <w:t>Section 6.1(b)</w:t>
      </w:r>
      <w:r>
        <w:rPr>
          <w:rFonts w:ascii="Arial" w:cs="Arial" w:eastAsia="Arial" w:hAnsi="Arial"/>
          <w:sz w:val="17"/>
          <w:szCs w:val="17"/>
          <w:color w:val="auto"/>
        </w:rPr>
        <w:t>, a “</w:t>
      </w:r>
      <w:r>
        <w:rPr>
          <w:rFonts w:ascii="Arial" w:cs="Arial" w:eastAsia="Arial" w:hAnsi="Arial"/>
          <w:sz w:val="17"/>
          <w:szCs w:val="17"/>
          <w:u w:val="single" w:color="auto"/>
          <w:color w:val="auto"/>
        </w:rPr>
        <w:t>change of control</w:t>
      </w:r>
      <w:r>
        <w:rPr>
          <w:rFonts w:ascii="Arial" w:cs="Arial" w:eastAsia="Arial" w:hAnsi="Arial"/>
          <w:sz w:val="17"/>
          <w:szCs w:val="17"/>
          <w:color w:val="auto"/>
        </w:rPr>
        <w:t>” will be deemed to have occurred if, with respect to any particular 24-month period, the individuals who, at the beginning of such 24-month period, constituted the Board of Directors (the “</w:t>
      </w:r>
      <w:r>
        <w:rPr>
          <w:rFonts w:ascii="Arial" w:cs="Arial" w:eastAsia="Arial" w:hAnsi="Arial"/>
          <w:sz w:val="17"/>
          <w:szCs w:val="17"/>
          <w:u w:val="single" w:color="auto"/>
          <w:color w:val="auto"/>
        </w:rPr>
        <w:t>incumbent board</w:t>
      </w:r>
      <w:r>
        <w:rPr>
          <w:rFonts w:ascii="Arial" w:cs="Arial" w:eastAsia="Arial" w:hAnsi="Arial"/>
          <w:sz w:val="17"/>
          <w:szCs w:val="17"/>
          <w:color w:val="auto"/>
        </w:rPr>
        <w:t xml:space="preserve">”), cease for any reason to constitute at least a majority of the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individual becoming a director subsequent to the beginning of such 24-month period whose election, or nomination for election by the stockholders of the Corporation,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sectPr>
          <w:pgSz w:w="11900" w:h="16838" w:orient="portrait"/>
          <w:cols w:equalWidth="0" w:num="1">
            <w:col w:w="11020"/>
          </w:cols>
          <w:pgMar w:left="440" w:top="274" w:right="439" w:bottom="1440" w:gutter="0" w:footer="0" w:header="0"/>
        </w:sectPr>
      </w:pPr>
    </w:p>
    <w:bookmarkStart w:id="100" w:name="page101"/>
    <w:bookmarkEnd w:id="100"/>
    <w:p>
      <w:pPr>
        <w:ind w:left="44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6.2</w:t>
      </w:r>
      <w:r>
        <w:rPr>
          <w:sz w:val="20"/>
          <w:szCs w:val="20"/>
          <w:color w:val="auto"/>
        </w:rPr>
        <w:tab/>
      </w:r>
      <w:r>
        <w:rPr>
          <w:rFonts w:ascii="Arial" w:cs="Arial" w:eastAsia="Arial" w:hAnsi="Arial"/>
          <w:sz w:val="16"/>
          <w:szCs w:val="16"/>
          <w:u w:val="single" w:color="auto"/>
          <w:color w:val="auto"/>
        </w:rPr>
        <w:t>Right to Advancement of Expenses</w:t>
      </w:r>
      <w:r>
        <w:rPr>
          <w:rFonts w:ascii="Arial" w:cs="Arial" w:eastAsia="Arial" w:hAnsi="Arial"/>
          <w:sz w:val="16"/>
          <w:szCs w:val="16"/>
          <w:color w:val="auto"/>
        </w:rPr>
        <w:t>.</w:t>
      </w:r>
    </w:p>
    <w:p>
      <w:pPr>
        <w:spacing w:after="0" w:line="117" w:lineRule="exact"/>
        <w:rPr>
          <w:sz w:val="20"/>
          <w:szCs w:val="20"/>
          <w:color w:val="auto"/>
        </w:rPr>
      </w:pPr>
    </w:p>
    <w:p>
      <w:pPr>
        <w:ind w:right="40" w:firstLine="987"/>
        <w:spacing w:after="0" w:line="293" w:lineRule="auto"/>
        <w:tabs>
          <w:tab w:leader="none" w:pos="137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In addition to the right to indemnification conferred in </w:t>
      </w:r>
      <w:r>
        <w:rPr>
          <w:rFonts w:ascii="Arial" w:cs="Arial" w:eastAsia="Arial" w:hAnsi="Arial"/>
          <w:sz w:val="16"/>
          <w:szCs w:val="16"/>
          <w:u w:val="single" w:color="auto"/>
          <w:color w:val="auto"/>
        </w:rPr>
        <w:t>Section 6.1</w:t>
      </w:r>
      <w:r>
        <w:rPr>
          <w:rFonts w:ascii="Arial" w:cs="Arial" w:eastAsia="Arial" w:hAnsi="Arial"/>
          <w:sz w:val="16"/>
          <w:szCs w:val="16"/>
          <w:color w:val="auto"/>
        </w:rPr>
        <w:t>, an indemnitee shall, to the fullest extent permitted by law, also have the right to be paid by the Corporation the expenses (including attorneys’ fees) incurred by indemnitee in defending any proceeding in advance of its final disposition (hereinafter an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advancement of expenses shall be made only upon delivery to the Corporation of an undertaking (hereinafter an “</w:t>
      </w:r>
      <w:r>
        <w:rPr>
          <w:rFonts w:ascii="Arial" w:cs="Arial" w:eastAsia="Arial" w:hAnsi="Arial"/>
          <w:sz w:val="16"/>
          <w:szCs w:val="16"/>
          <w:u w:val="single" w:color="auto"/>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of a court of competent jurisdiction from which there is no further right to appeal (hereinafter a “</w:t>
      </w:r>
      <w:r>
        <w:rPr>
          <w:rFonts w:ascii="Arial" w:cs="Arial" w:eastAsia="Arial" w:hAnsi="Arial"/>
          <w:sz w:val="16"/>
          <w:szCs w:val="16"/>
          <w:u w:val="single" w:color="auto"/>
          <w:color w:val="auto"/>
        </w:rPr>
        <w:t>final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adjudication</w:t>
      </w:r>
      <w:r>
        <w:rPr>
          <w:rFonts w:ascii="Arial" w:cs="Arial" w:eastAsia="Arial" w:hAnsi="Arial"/>
          <w:sz w:val="16"/>
          <w:szCs w:val="16"/>
          <w:color w:val="auto"/>
        </w:rPr>
        <w:t xml:space="preserve">”) that such indemnitee is not entitled to be indemnified for such expenses under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otherwise.</w:t>
      </w:r>
    </w:p>
    <w:p>
      <w:pPr>
        <w:spacing w:after="0" w:line="164" w:lineRule="exact"/>
        <w:rPr>
          <w:rFonts w:ascii="Arial" w:cs="Arial" w:eastAsia="Arial" w:hAnsi="Arial"/>
          <w:sz w:val="16"/>
          <w:szCs w:val="16"/>
          <w:color w:val="auto"/>
        </w:rPr>
      </w:pPr>
    </w:p>
    <w:p>
      <w:pPr>
        <w:jc w:val="both"/>
        <w:ind w:right="200" w:firstLine="987"/>
        <w:spacing w:after="0" w:line="259" w:lineRule="auto"/>
        <w:tabs>
          <w:tab w:leader="none" w:pos="137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To receive an advancement of expenses under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an indemnitee shall submit a written request to the Secretary of the Corporation. Such request shall reasonably evidence the expenses incurred by the indemnitee and shall include or be accompanied by the undertaking required by </w:t>
      </w:r>
      <w:r>
        <w:rPr>
          <w:rFonts w:ascii="Arial" w:cs="Arial" w:eastAsia="Arial" w:hAnsi="Arial"/>
          <w:sz w:val="18"/>
          <w:szCs w:val="18"/>
          <w:u w:val="single" w:color="auto"/>
          <w:color w:val="auto"/>
        </w:rPr>
        <w:t>Section 6.2(a)</w:t>
      </w:r>
      <w:r>
        <w:rPr>
          <w:rFonts w:ascii="Arial" w:cs="Arial" w:eastAsia="Arial" w:hAnsi="Arial"/>
          <w:sz w:val="18"/>
          <w:szCs w:val="18"/>
          <w:color w:val="auto"/>
        </w:rPr>
        <w:t>. Each such advancement of expenses shall be made within 20 days after the receipt by the Secretary of the Corporation of a written request for advancement of expenses.</w:t>
      </w:r>
    </w:p>
    <w:p>
      <w:pPr>
        <w:spacing w:after="0" w:line="186" w:lineRule="exact"/>
        <w:rPr>
          <w:rFonts w:ascii="Arial" w:cs="Arial" w:eastAsia="Arial" w:hAnsi="Arial"/>
          <w:sz w:val="18"/>
          <w:szCs w:val="18"/>
          <w:color w:val="auto"/>
        </w:rPr>
      </w:pPr>
    </w:p>
    <w:p>
      <w:pPr>
        <w:ind w:firstLine="987"/>
        <w:spacing w:after="0" w:line="269" w:lineRule="auto"/>
        <w:tabs>
          <w:tab w:leader="none" w:pos="137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Notwithstanding the foregoing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the Corporation shall not make or continue to make advancements of expenses to an indemnitee (except by reason of the fact that the indemnitee is or was a director of the Corporation or, while a director of the Corporation, is or was serving at the request of the Corporation as a director, officer, employee or agent of another enterprise, in which event this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shall not apply) if a determination is reasonably made that the facts known at the time such determination is made demonstrate clearly and convincingly that the indemnitee acted in bad faith or in a manner that the indemnitee did not reasonably believe to be in or not opposed to the best interests of the Corporation, or, with respect to any criminal proceeding, that the indemnitee had reasonable cause to believe his or her conduct was unlawful. Such determination shall be made: (i) by the Board of Directors by a majority vote of directors who are not parties to such proceeding, whether or not such majority constitutes a quorum; (ii) by a committee of such directors designated by a majority vote of such directors, whether or not such majority constitutes a quorum; or (iii) if there are no such directors, or if such directors so direct, by independent legal counsel in a written opinion to the Board of Directors, a copy of which shall be delivered to the indemnitee.</w:t>
      </w:r>
    </w:p>
    <w:p>
      <w:pPr>
        <w:spacing w:after="0" w:line="18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Right of Indemnitee to Bring Suit</w:t>
      </w:r>
      <w:r>
        <w:rPr>
          <w:rFonts w:ascii="Arial" w:cs="Arial" w:eastAsia="Arial" w:hAnsi="Arial"/>
          <w:sz w:val="16"/>
          <w:szCs w:val="16"/>
          <w:color w:val="auto"/>
        </w:rPr>
        <w:t xml:space="preserve">. In the event that a determination is made that the indemnitee is not entitled to indemnification or if payment is not timely made following a determination of entitlement to indemnification pursuant to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if an advancement of expenses is not timely made under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the indemnitee may at any time thereafter bring suit against the Corporation in a court of competent jurisdiction in the State of Delaware seeking an adjudication of entitlement to such indemnification or advancement of expenses. If successful in whole or in part in any such suit, or in a suit brought by the Corporation to recover an advancement of expenses pursuant to the terms of an undertaking, the indemnitee shall be entitled to be paid also the expense of prosecuting or defending such suit to the fullest extent permitted by law. In any suit brought by the indemnitee to enforce a right to indemnification hereunder (but not in a suit brought by the indemnitee to enforce a right to an advancement of expenses) it shall be a defense that the indemnitee has not met any applicable standard of conduct for indemnification set forth in the DGCL. Further, in any suit brought by the Corporation to recover an advancement of expenses pursuant to the terms of an undertaking, the Corporation shall be entitled to recover such expenses upon a final adjudication that the indemnitee has not met any applicable standard of conduct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applicable law,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otherwise shall be on the Corporation.</w:t>
      </w:r>
    </w:p>
    <w:p>
      <w:pPr>
        <w:sectPr>
          <w:pgSz w:w="11900" w:h="16838" w:orient="portrait"/>
          <w:cols w:equalWidth="0" w:num="1">
            <w:col w:w="11000"/>
          </w:cols>
          <w:pgMar w:left="440" w:top="274" w:right="459" w:bottom="1440" w:gutter="0" w:footer="0" w:header="0"/>
        </w:sectPr>
      </w:pPr>
    </w:p>
    <w:bookmarkStart w:id="101" w:name="page102"/>
    <w:bookmarkEnd w:id="101"/>
    <w:p>
      <w:pPr>
        <w:ind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6.4 </w:t>
      </w: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xml:space="preserve">. The rights to indemnification and to the advancement of expenses conferred in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shall not be exclusive of any other right which any person may have or hereafter acquire under any law, agreement (including any partnership agreement or limited liability company agreement), vote of stockholders or disinterested directors, provisions of a certificate of incorporation or bylaws, or otherwise.</w:t>
      </w:r>
    </w:p>
    <w:p>
      <w:pPr>
        <w:spacing w:after="0" w:line="149"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maintain insurance, at its expense, to protect itself and any director, officer, employee, agent or fiduciary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6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Indemnification of Employees and Agents of the Corporation</w:t>
      </w:r>
      <w:r>
        <w:rPr>
          <w:rFonts w:ascii="Arial" w:cs="Arial" w:eastAsia="Arial" w:hAnsi="Arial"/>
          <w:sz w:val="18"/>
          <w:szCs w:val="18"/>
          <w:color w:val="auto"/>
        </w:rPr>
        <w:t>. The Corporation may, to the extent and in the manner permitted by law, and to the extent authorized from time to time, grant rights to indemnification and to the advancement of expenses to any employee, agent or fiduciary of the Corporation.</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Nature of Rights</w:t>
      </w:r>
      <w:r>
        <w:rPr>
          <w:rFonts w:ascii="Arial" w:cs="Arial" w:eastAsia="Arial" w:hAnsi="Arial"/>
          <w:sz w:val="18"/>
          <w:szCs w:val="18"/>
          <w:color w:val="auto"/>
        </w:rPr>
        <w:t xml:space="preserve">. The rights conferred upon indemnitees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be contract rights and such rights shall continue as to an indemnitee who has ceased to be a director or officer and shall inure to the benefit of the indemnitee’s heirs, executors and administrators. Any amendment, alteration or repeal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188"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Settlement of Claims</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to the contrary, the Corporation shall not be liable to indemnify any indemnitee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for any amounts paid in settlement of any proceeding effected without the Corporation’s written consent, which consent shall not be unreasonably withheld.</w:t>
      </w:r>
    </w:p>
    <w:p>
      <w:pPr>
        <w:spacing w:after="0" w:line="18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Subrogation</w:t>
      </w:r>
      <w:r>
        <w:rPr>
          <w:rFonts w:ascii="Arial" w:cs="Arial" w:eastAsia="Arial" w:hAnsi="Arial"/>
          <w:sz w:val="18"/>
          <w:szCs w:val="18"/>
          <w:color w:val="auto"/>
        </w:rPr>
        <w:t xml:space="preserve">. In the event of payment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the Corporation shall be subrogated to the extent of such payment to all of the rights of recovery of the indemnitee (excluding insurance obtained on the indemnitee’s own behalf), and the indemnitee shall execute all papers required and shall do everything that may be necessary to secure such rights, including the execution of such documents necessary to enable the Corporation effectively to bring suit to enforce such rights.</w:t>
      </w:r>
    </w:p>
    <w:p>
      <w:pPr>
        <w:spacing w:after="0" w:line="187"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or provisions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shall be held to be invalid, illegal or unenforceable as applied to any person or entity or circumstance for any reason whatsoever, then, to the fullest extent permitted by law: (a) the validity, legality and enforceability of such provision in any other circumstance and of the remaining provisions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(including, without limitation, all portions of any paragraph of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containing any such provision held to be invalid, illegal or unenforceable, that are not by themselves invalid, illegal or unenforceable) and the application of such provision to other persons or entities or circumstances shall not in any way be affected or impaired thereby; and (b) to the fullest extent possible, the provisions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(including, without limitation, all portions of any paragraph of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containing any such provision held to be invalid, illegal or unenforceable, that are not themselves invalid, illegal or unenforceable) shall be construed so as to give effect to the intent of the parties that the Corporation provide protection to the indemnitee to the fullest extent set forth in this </w:t>
      </w:r>
      <w:r>
        <w:rPr>
          <w:rFonts w:ascii="Arial" w:cs="Arial" w:eastAsia="Arial" w:hAnsi="Arial"/>
          <w:sz w:val="16"/>
          <w:szCs w:val="16"/>
          <w:u w:val="single" w:color="auto"/>
          <w:color w:val="auto"/>
        </w:rPr>
        <w:t>Article VI</w:t>
      </w:r>
      <w:r>
        <w:rPr>
          <w:rFonts w:ascii="Arial" w:cs="Arial" w:eastAsia="Arial" w:hAnsi="Arial"/>
          <w:sz w:val="16"/>
          <w:szCs w:val="16"/>
          <w:color w:val="auto"/>
        </w:rPr>
        <w:t>.</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 STOCK</w:t>
      </w:r>
    </w:p>
    <w:p>
      <w:pPr>
        <w:spacing w:after="0" w:line="211"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xml:space="preserve">. The shares of the Corporation shall be represented by certificates;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any two authorized officers of the Corporation certifying the number of shares owned by such holder in the Corporation. Each of the Chief Executive Officer, the Chief Financial Officer, the Chief Operating Officer, the President, the Chief Accounting Officer, the Treasurer, the Controller, the Secretary, or an Assistant Treasurer or Assistant</w:t>
      </w:r>
    </w:p>
    <w:p>
      <w:pPr>
        <w:sectPr>
          <w:pgSz w:w="11900" w:h="16838" w:orient="portrait"/>
          <w:cols w:equalWidth="0" w:num="1">
            <w:col w:w="10960"/>
          </w:cols>
          <w:pgMar w:left="440" w:top="274" w:right="499" w:bottom="1440" w:gutter="0" w:footer="0" w:header="0"/>
        </w:sectPr>
      </w:pPr>
    </w:p>
    <w:bookmarkStart w:id="102" w:name="page103"/>
    <w:bookmarkEnd w:id="10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Secretary shall be deemed to have the authority to sign stock certificates. Any or all such signatures may be facsimiles or otherwise electronic signatures.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187"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Special Designation on Certificates</w:t>
      </w:r>
      <w:r>
        <w:rPr>
          <w:rFonts w:ascii="Arial" w:cs="Arial" w:eastAsia="Arial" w:hAnsi="Arial"/>
          <w:sz w:val="16"/>
          <w:szCs w:val="16"/>
          <w:color w:val="auto"/>
        </w:rPr>
        <w:t xml:space="preserve">.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or Sections 151, 156, 202(a) or 218(a) of the DGCL or with respect to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Section 151 of the DGCL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71"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Transfers of Stock</w:t>
      </w:r>
      <w:r>
        <w:rPr>
          <w:rFonts w:ascii="Arial" w:cs="Arial" w:eastAsia="Arial" w:hAnsi="Arial"/>
          <w:sz w:val="17"/>
          <w:szCs w:val="17"/>
          <w:color w:val="auto"/>
        </w:rPr>
        <w:t xml:space="preserve">. Transfers of shares of stock of the Corporation shall be made only on the books of the Corporation upon authorization by the registered holder thereof or by such holder’s attorney thereunto authorized by a power of attorney duly executed and filed with the Secretary of the Corporation or a transfer agent for such stock, and if such shares are represented by a certificate, upon surrender of the certificate or certificates for such shares properly endorsed or accompanied by a duly executed stock transfer power and the payment of any taxes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Corporation shall be entitled to recognize and enforce any lawful restriction on transfer. Transfers may also be made in any manner authorized by the Corporation (or its authorized transfer agent) and permitted by Section 224 of the DGCL.</w:t>
      </w:r>
    </w:p>
    <w:p>
      <w:pPr>
        <w:spacing w:after="0" w:line="17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Lost Certificates</w:t>
      </w:r>
      <w:r>
        <w:rPr>
          <w:rFonts w:ascii="Arial" w:cs="Arial" w:eastAsia="Arial" w:hAnsi="Arial"/>
          <w:sz w:val="17"/>
          <w:szCs w:val="17"/>
          <w:color w:val="auto"/>
        </w:rPr>
        <w:t>. The Corporation may issue a new share certificate or uncertificated shares in the place of any certificate theretofore issued by it, alleged to have been lost, stolen or destroyed, and the Corporation may require the owner of the lost, stolen or destroyed certificate or the owner’s legal representative to give the Corporation a bond (or other adequate security) sufficient to indemnify it against any claim that may be made against it (including any expense or liability) on account of the alleged loss, theft or destruction of any such certificate or the issuance of such new certificate or uncertificated shares. The Board of Directors may adopt such other provisions and restrictions with reference to lost certificates, not inconsistent with applicable law, as it shall in its discretion deem appropriate.</w:t>
      </w:r>
    </w:p>
    <w:p>
      <w:pPr>
        <w:spacing w:after="0" w:line="178"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spacing w:after="0" w:line="257"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Record Date for Determining Stockholders</w:t>
      </w:r>
      <w:r>
        <w:rPr>
          <w:rFonts w:ascii="Arial" w:cs="Arial" w:eastAsia="Arial" w:hAnsi="Arial"/>
          <w:sz w:val="16"/>
          <w:szCs w:val="16"/>
          <w:color w:val="auto"/>
        </w:rPr>
        <w:t>.</w:t>
      </w:r>
    </w:p>
    <w:p>
      <w:pPr>
        <w:spacing w:after="0" w:line="117" w:lineRule="exact"/>
        <w:rPr>
          <w:sz w:val="20"/>
          <w:szCs w:val="20"/>
          <w:color w:val="auto"/>
        </w:rPr>
      </w:pPr>
    </w:p>
    <w:p>
      <w:pPr>
        <w:ind w:right="180" w:firstLine="987"/>
        <w:spacing w:after="0" w:line="301" w:lineRule="auto"/>
        <w:tabs>
          <w:tab w:leader="none" w:pos="137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stockholders or any adjourned meeting, the Board of Directors may fix a record date, which record date shall not precede the date upon which the resolution fixing the record date is adopted by the Board of Directors, and which record date shall, unless otherwise required by law, not be more than 60 nor less than 10 days before the date of such meeting. If the Board of Directors so fixes a date, such date shall also be the record date for determining the</w:t>
      </w:r>
    </w:p>
    <w:p>
      <w:pPr>
        <w:sectPr>
          <w:pgSz w:w="11900" w:h="16838" w:orient="portrait"/>
          <w:cols w:equalWidth="0" w:num="1">
            <w:col w:w="11000"/>
          </w:cols>
          <w:pgMar w:left="440" w:top="274" w:right="459" w:bottom="1440" w:gutter="0" w:footer="0" w:header="0"/>
        </w:sectPr>
      </w:pPr>
    </w:p>
    <w:bookmarkStart w:id="103" w:name="page104"/>
    <w:bookmarkEnd w:id="103"/>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adjourned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8" w:lineRule="exact"/>
        <w:rPr>
          <w:sz w:val="20"/>
          <w:szCs w:val="20"/>
          <w:color w:val="auto"/>
        </w:rPr>
      </w:pPr>
    </w:p>
    <w:p>
      <w:pPr>
        <w:ind w:firstLine="987"/>
        <w:spacing w:after="0" w:line="255" w:lineRule="auto"/>
        <w:tabs>
          <w:tab w:leader="none" w:pos="138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shall not be more than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9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Regulations</w:t>
      </w:r>
      <w:r>
        <w:rPr>
          <w:rFonts w:ascii="Arial" w:cs="Arial" w:eastAsia="Arial" w:hAnsi="Arial"/>
          <w:sz w:val="18"/>
          <w:szCs w:val="18"/>
          <w:color w:val="auto"/>
        </w:rPr>
        <w:t>. To the extent permitted by applicable law, the Board of Directors may make such additional rules and regulations as it may deem expedient concerning the issue, transfer and registration of shares of stock of the Corporation.</w:t>
      </w:r>
    </w:p>
    <w:p>
      <w:pPr>
        <w:spacing w:after="0" w:line="170" w:lineRule="exact"/>
        <w:rPr>
          <w:sz w:val="20"/>
          <w:szCs w:val="20"/>
          <w:color w:val="auto"/>
        </w:rPr>
      </w:pPr>
    </w:p>
    <w:p>
      <w:pPr>
        <w:ind w:right="200" w:firstLine="440"/>
        <w:spacing w:after="0" w:line="291"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notice is required to be given under any provision of the DGCL or the Certificate of Incorporation or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the Board of Directors or a committee of the Board of Directors need be specified in any written waiver of notice or any waiver by electronic transmission unless so required by the Certificate of Incorporation or these Bylaws.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MATTERS</w:t>
      </w:r>
    </w:p>
    <w:p>
      <w:pPr>
        <w:spacing w:after="0" w:line="211"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as fixed by the Board of Directors.</w:t>
      </w:r>
    </w:p>
    <w:p>
      <w:pPr>
        <w:spacing w:after="0" w:line="225"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of Directors may provide a suitable seal, containing the name of the Corporation, which seal shall be in the charge of the Secretary of the Corporation. If and when so directed by the Board of Directors or a committee thereof, duplicates of the seal may be kept and used by the Treasurer or by an Assistant Secretary or Assistant Treasurer.</w:t>
      </w:r>
    </w:p>
    <w:p>
      <w:pPr>
        <w:spacing w:after="0" w:line="184"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Reliance upon Books, Reports and Records</w:t>
      </w:r>
      <w:r>
        <w:rPr>
          <w:rFonts w:ascii="Arial" w:cs="Arial" w:eastAsia="Arial" w:hAnsi="Arial"/>
          <w:sz w:val="16"/>
          <w:szCs w:val="16"/>
          <w:color w:val="auto"/>
        </w:rPr>
        <w:t>. Each director and each member of any committee designated by the Board of Directors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6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Subject to Law and Certificate of Incorporation</w:t>
      </w:r>
      <w:r>
        <w:rPr>
          <w:rFonts w:ascii="Arial" w:cs="Arial" w:eastAsia="Arial" w:hAnsi="Arial"/>
          <w:sz w:val="18"/>
          <w:szCs w:val="18"/>
          <w:color w:val="auto"/>
        </w:rPr>
        <w:t>. All powers, duties and responsibilities provided for in these Bylaws, whether or not explicitly so qualified, are qualified by the Certificate of Incorporation and applicable law.</w:t>
      </w:r>
    </w:p>
    <w:p>
      <w:pPr>
        <w:sectPr>
          <w:pgSz w:w="11900" w:h="16838" w:orient="portrait"/>
          <w:cols w:equalWidth="0" w:num="1">
            <w:col w:w="11000"/>
          </w:cols>
          <w:pgMar w:left="440" w:top="274" w:right="459" w:bottom="1440" w:gutter="0" w:footer="0" w:header="0"/>
        </w:sectPr>
      </w:pPr>
    </w:p>
    <w:bookmarkStart w:id="104" w:name="page105"/>
    <w:bookmarkEnd w:id="104"/>
    <w:p>
      <w:pPr>
        <w:ind w:right="2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8.5 </w:t>
      </w:r>
      <w:r>
        <w:rPr>
          <w:rFonts w:ascii="Arial" w:cs="Arial" w:eastAsia="Arial" w:hAnsi="Arial"/>
          <w:sz w:val="17"/>
          <w:szCs w:val="17"/>
          <w:u w:val="single" w:color="auto"/>
          <w:color w:val="auto"/>
        </w:rPr>
        <w:t>Electronic Signatures, etc</w:t>
      </w:r>
      <w:r>
        <w:rPr>
          <w:rFonts w:ascii="Arial" w:cs="Arial" w:eastAsia="Arial" w:hAnsi="Arial"/>
          <w:sz w:val="17"/>
          <w:szCs w:val="17"/>
          <w:color w:val="auto"/>
        </w:rPr>
        <w:t xml:space="preserve">. Except as otherwise required by the Certificate of Incorporation or these Bylaws (including, without limitation, as otherwise required by </w:t>
      </w:r>
      <w:r>
        <w:rPr>
          <w:rFonts w:ascii="Arial" w:cs="Arial" w:eastAsia="Arial" w:hAnsi="Arial"/>
          <w:sz w:val="17"/>
          <w:szCs w:val="17"/>
          <w:u w:val="single" w:color="auto"/>
          <w:color w:val="auto"/>
        </w:rPr>
        <w:t>Section 2.14</w:t>
      </w:r>
      <w:r>
        <w:rPr>
          <w:rFonts w:ascii="Arial" w:cs="Arial" w:eastAsia="Arial" w:hAnsi="Arial"/>
          <w:sz w:val="17"/>
          <w:szCs w:val="17"/>
          <w:color w:val="auto"/>
        </w:rPr>
        <w:t>), any document, including, without limitation, any consent, agreement, certificate or instrument, required by the DGCL, the Certificate of Incorporation or these Bylaws to be 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 The terms “electronic mail,” “electronic mail address,” “electronic signature” and “electronic transmission” as used herein shall have the meanings ascribed thereto in the DGCL.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Amendments</w:t>
      </w:r>
      <w:r>
        <w:rPr>
          <w:rFonts w:ascii="Arial" w:cs="Arial" w:eastAsia="Arial" w:hAnsi="Arial"/>
          <w:sz w:val="18"/>
          <w:szCs w:val="18"/>
          <w:color w:val="auto"/>
        </w:rPr>
        <w:t>. In furtherance and not in limitation of the powers conferred by the laws of the State of Delaware, the Board of Directors is expressly authorized to adopt, amend or repeal these Bylaws. Subject to any greater or additional vote provided in the Certificate of Incorporation or these Bylaws, and in addition to any other vote required by law, the affirmative vote of the holders of at least a majority in voting power of the outstanding stock entitled to vote thereon, voting together as a single class, shall be required for the stockholders to adopt, amend or repeal, or adopt any provision inconsistent with, any provision of these Bylaws.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foregoing Bylaws were adopted by the Board of Directors on October 18, 2021.</w:t>
      </w:r>
    </w:p>
    <w:p>
      <w:pPr>
        <w:sectPr>
          <w:pgSz w:w="11900" w:h="16838" w:orient="portrait"/>
          <w:cols w:equalWidth="0" w:num="1">
            <w:col w:w="11000"/>
          </w:cols>
          <w:pgMar w:left="440" w:top="274" w:right="4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RIGHTS AGREEMENT</w:t>
      </w:r>
    </w:p>
    <w:p>
      <w:pPr>
        <w:spacing w:after="0" w:line="229" w:lineRule="exact"/>
        <w:rPr>
          <w:sz w:val="20"/>
          <w:szCs w:val="20"/>
          <w:color w:val="auto"/>
        </w:rPr>
      </w:pPr>
    </w:p>
    <w:p>
      <w:pPr>
        <w:ind w:left="4" w:right="680" w:firstLine="440"/>
        <w:spacing w:after="0" w:line="308" w:lineRule="auto"/>
        <w:rPr>
          <w:sz w:val="20"/>
          <w:szCs w:val="20"/>
          <w:color w:val="auto"/>
        </w:rPr>
      </w:pPr>
      <w:r>
        <w:rPr>
          <w:rFonts w:ascii="Arial" w:cs="Arial" w:eastAsia="Arial" w:hAnsi="Arial"/>
          <w:sz w:val="17"/>
          <w:szCs w:val="17"/>
          <w:color w:val="auto"/>
        </w:rPr>
        <w:t>This Rights Agreement, dated as of October 20, 2021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P10,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American Stock Transfer &amp; Trust Company, LLC, as Rights Agent (the “</w:t>
      </w:r>
      <w:r>
        <w:rPr>
          <w:rFonts w:ascii="Arial" w:cs="Arial" w:eastAsia="Arial" w:hAnsi="Arial"/>
          <w:sz w:val="17"/>
          <w:szCs w:val="17"/>
          <w:b w:val="1"/>
          <w:bCs w:val="1"/>
          <w:i w:val="1"/>
          <w:iCs w:val="1"/>
          <w:color w:val="auto"/>
        </w:rPr>
        <w:t>Rights Agent</w:t>
      </w:r>
      <w:r>
        <w:rPr>
          <w:rFonts w:ascii="Arial" w:cs="Arial" w:eastAsia="Arial" w:hAnsi="Arial"/>
          <w:sz w:val="17"/>
          <w:szCs w:val="17"/>
          <w:color w:val="auto"/>
        </w:rPr>
        <w:t>”).</w:t>
      </w:r>
    </w:p>
    <w:p>
      <w:pPr>
        <w:spacing w:after="0" w:line="14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left="4" w:right="80" w:firstLine="440"/>
        <w:spacing w:after="0" w:line="259" w:lineRule="auto"/>
        <w:rPr>
          <w:sz w:val="20"/>
          <w:szCs w:val="20"/>
          <w:color w:val="auto"/>
        </w:rPr>
      </w:pPr>
      <w:r>
        <w:rPr>
          <w:rFonts w:ascii="Arial" w:cs="Arial" w:eastAsia="Arial" w:hAnsi="Arial"/>
          <w:sz w:val="18"/>
          <w:szCs w:val="18"/>
          <w:color w:val="auto"/>
        </w:rPr>
        <w:t>WHEREAS, (i) the Company has generated Tax Benefits (as hereinafter defined) for United States federal income tax purposes; (ii) the Company desires to avoid an “ownership change” within the meaning of Section 382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related Treasury Regulations (as hereinafter defined) in order to preserve the ability to fully utilize such Tax Benefits; and (iii) in furtherance of such objective, the Company desires to enter into this Agreement; and</w:t>
      </w:r>
    </w:p>
    <w:p>
      <w:pPr>
        <w:spacing w:after="0" w:line="187"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WHEREAS, on October 20, 2021,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authorized and declared a dividend distribution of one right (a “</w:t>
      </w:r>
      <w:r>
        <w:rPr>
          <w:rFonts w:ascii="Arial" w:cs="Arial" w:eastAsia="Arial" w:hAnsi="Arial"/>
          <w:sz w:val="17"/>
          <w:szCs w:val="17"/>
          <w:b w:val="1"/>
          <w:bCs w:val="1"/>
          <w:i w:val="1"/>
          <w:iCs w:val="1"/>
          <w:color w:val="auto"/>
        </w:rPr>
        <w:t>Right</w:t>
      </w:r>
      <w:r>
        <w:rPr>
          <w:rFonts w:ascii="Arial" w:cs="Arial" w:eastAsia="Arial" w:hAnsi="Arial"/>
          <w:sz w:val="17"/>
          <w:szCs w:val="17"/>
          <w:color w:val="auto"/>
        </w:rPr>
        <w:t>”) in respect of each of the Company’s Common Shares (as hereinafter defined) outstanding as of the Close of Business (as hereinafter defined) on November 2, 2021 (the “</w:t>
      </w: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each Right initially representing the right to purchase one one-thousandth of a Preferred Share (as hereinafter defined), on the terms and subject to the conditions herein set forth, and further authorized and directed the issuance of one Right (subject to adjustment as provided herein) with respect to each Common Share issued or delivered by the Company (whether originally issued or delivered from the Company’s treasury) after the Record Date but prior to the earlier of the Distribution Date (as hereinafter defined) and the Expiration Date (as hereinafter defined) or as provided in Section 22.</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NOW, THEREFORE, in consideration of the mutual agreements herein set forth, the parties hereto hereby agree as follows:</w:t>
      </w:r>
    </w:p>
    <w:p>
      <w:pPr>
        <w:spacing w:after="0" w:line="117" w:lineRule="exact"/>
        <w:rPr>
          <w:sz w:val="20"/>
          <w:szCs w:val="20"/>
          <w:color w:val="auto"/>
        </w:rPr>
      </w:pPr>
    </w:p>
    <w:p>
      <w:pPr>
        <w:ind w:left="624" w:hanging="184"/>
        <w:spacing w:after="0"/>
        <w:tabs>
          <w:tab w:leader="none" w:pos="624"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terms have the meanings indicated:</w:t>
      </w:r>
    </w:p>
    <w:p>
      <w:pPr>
        <w:spacing w:after="0" w:line="117" w:lineRule="exact"/>
        <w:rPr>
          <w:rFonts w:ascii="Arial" w:cs="Arial" w:eastAsia="Arial" w:hAnsi="Arial"/>
          <w:sz w:val="18"/>
          <w:szCs w:val="18"/>
          <w:color w:val="auto"/>
        </w:rPr>
      </w:pPr>
    </w:p>
    <w:p>
      <w:pPr>
        <w:ind w:left="4" w:right="260" w:firstLine="987"/>
        <w:spacing w:after="0" w:line="286" w:lineRule="auto"/>
        <w:tabs>
          <w:tab w:leader="none" w:pos="1240" w:val="left"/>
        </w:tabs>
        <w:numPr>
          <w:ilvl w:val="2"/>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Acquiring Person</w:t>
      </w:r>
      <w:r>
        <w:rPr>
          <w:rFonts w:ascii="Arial" w:cs="Arial" w:eastAsia="Arial" w:hAnsi="Arial"/>
          <w:sz w:val="16"/>
          <w:szCs w:val="16"/>
          <w:color w:val="auto"/>
        </w:rPr>
        <w:t xml:space="preserve">” means any Person (other than the Company, any Related Person or any Exempt Person) who or which, together with all Affiliates and Associates of such Person, is or becomes the Beneficial Owner of 4.99% or more of the then-outstanding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any Person who would otherwise constitute an Acquiring Person as of 4:00 p.m., New York City time, on the date of this Agreement (the “</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 will not be deemed to be an Acquiring Person for any purpose of this Agreement unless and until such time as</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such Person or any Affiliate or Associate of such Person thereafter becomes the Beneficial Owner of any additional Common Shares, other than</w:t>
      </w:r>
    </w:p>
    <w:p>
      <w:pPr>
        <w:spacing w:after="0" w:line="32" w:lineRule="exact"/>
        <w:rPr>
          <w:rFonts w:ascii="Arial" w:cs="Arial" w:eastAsia="Arial" w:hAnsi="Arial"/>
          <w:sz w:val="16"/>
          <w:szCs w:val="16"/>
          <w:color w:val="auto"/>
        </w:rPr>
      </w:pPr>
    </w:p>
    <w:p>
      <w:pPr>
        <w:jc w:val="both"/>
        <w:ind w:left="4" w:right="4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(1) pursuant to any agreement or regular-way purchase order for Common Shares that is in effect on or prior to the Effective Time and consummated in accordance with its terms after the Effective Time or (2) as a result of a stock dividend, rights dividend, stock split or similar transaction effected by the Company in which all holders of Common Shares are treated equally, or (B) any other Person who is the Beneficial Owner of Common Shares becomes an Affiliate or Associate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exclusion in this clause (i) shall cease to apply with respect to any Person at such time as such Person, together with all Affiliates and Associates of</w:t>
      </w:r>
    </w:p>
    <w:p>
      <w:pPr>
        <w:sectPr>
          <w:pgSz w:w="11900" w:h="16838" w:orient="portrait"/>
          <w:cols w:equalWidth="0" w:num="1">
            <w:col w:w="11024"/>
          </w:cols>
          <w:pgMar w:left="436" w:top="121" w:right="439" w:bottom="1440" w:gutter="0" w:footer="0" w:header="0"/>
        </w:sectPr>
      </w:pPr>
    </w:p>
    <w:bookmarkStart w:id="106" w:name="page107"/>
    <w:bookmarkEnd w:id="106"/>
    <w:p>
      <w:pPr>
        <w:ind w:left="4" w:right="1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Person, ceases to Beneficially Own 4.99% or more of the then-outstanding Common Shares, (ii) a Person will not be deemed to have become an Acquiring Person solely as a result of a reduction in the number of Common Shares outstanding unless and until such time as (A) such Person or any Affiliate or Associate of such Person thereafter becomes the Beneficial Owner of any additional Common Shares, other than as a result of a stock dividend, rights dividend, stock split or similar transaction effected by the Company in which all holders of Common Shares are treated equally, or</w:t>
      </w:r>
    </w:p>
    <w:p>
      <w:pPr>
        <w:spacing w:after="0" w:line="1" w:lineRule="exact"/>
        <w:rPr>
          <w:sz w:val="20"/>
          <w:szCs w:val="20"/>
          <w:color w:val="auto"/>
        </w:rPr>
      </w:pPr>
    </w:p>
    <w:p>
      <w:pPr>
        <w:ind w:left="4" w:hanging="4"/>
        <w:spacing w:after="0" w:line="285" w:lineRule="auto"/>
        <w:tabs>
          <w:tab w:leader="none" w:pos="28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other Person who is the Beneficial Owner of Common Shares thereafter becomes an Affiliate or Associate of such Person, and in either such case, such Person, together with all Affiliates and Associates of such Person, shall thereafter be the Beneficial Owner of 4.99% or more of the outstanding Common Shares and (iii) a Person will not be deemed to have become an Acquiring Person solely as a result of an Exempt Transaction unless and until such time as (A) such Person or any Affiliate or Associate of such Person thereafter becomes the Beneficial Owner of any additional Common Shares, other than as a result of a stock dividend, rights dividend, stock split or similar transaction effected by the Company in which all holders of Common Shares are treated equally, or (B) any other Person who is the Beneficial Owner of Common Shares thereafter becomes an Affiliate or Associate of such Person, and in either such case, such Person, together with all Affiliates and Associates of such Person, shall thereafter be the Beneficial Owner of 4.99% or more of the outstanding Common Shares. Notwithstanding the foregoing, if (1) the Board determines in good faith that a Person who would otherwise be an “Acquiring Person” as defined pursuant to the foregoing provisions of this Section 1(a), has become such inadvertently and (2) such Person has divested, divests as promptly as practicable or agrees in writing with the Company to divest, a sufficient number of Common Shares so that such Person is not or would no longer be an “Acquiring Person” as defined pursuant to the foregoing provisions of this Section 1(a), then such Person shall not be deemed to be an “Acquiring Person” for any purposes of this Agreement.</w:t>
      </w:r>
    </w:p>
    <w:p>
      <w:pPr>
        <w:spacing w:after="0" w:line="171" w:lineRule="exact"/>
        <w:rPr>
          <w:rFonts w:ascii="Arial" w:cs="Arial" w:eastAsia="Arial" w:hAnsi="Arial"/>
          <w:sz w:val="16"/>
          <w:szCs w:val="16"/>
          <w:color w:val="auto"/>
        </w:rPr>
      </w:pPr>
    </w:p>
    <w:p>
      <w:pPr>
        <w:ind w:left="4" w:right="100" w:firstLine="987"/>
        <w:spacing w:after="0" w:line="257" w:lineRule="auto"/>
        <w:tabs>
          <w:tab w:leader="none" w:pos="125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xml:space="preserve">” mean, with respect to any Person, any other Person (other than a Related Person or an Exempt Person) whose Common Shares would be deemed constructively owned by such first Person, owned by a single “entity” as defined in Section 1.382-3(a)(1) of the Treasury Regulations, or otherwise aggregated with Common Shares owned by such first Person pursuant to the provisions of the Code or the Treasury Regulations,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will not be deemed to be the Affiliate or Associate of another Person solely because either or both Persons are or were directors of the Company.</w:t>
      </w:r>
    </w:p>
    <w:p>
      <w:pPr>
        <w:spacing w:after="0" w:line="187" w:lineRule="exact"/>
        <w:rPr>
          <w:rFonts w:ascii="Arial" w:cs="Arial" w:eastAsia="Arial" w:hAnsi="Arial"/>
          <w:sz w:val="18"/>
          <w:szCs w:val="18"/>
          <w:color w:val="auto"/>
        </w:rPr>
      </w:pPr>
    </w:p>
    <w:p>
      <w:pPr>
        <w:ind w:left="1244" w:hanging="253"/>
        <w:spacing w:after="0"/>
        <w:tabs>
          <w:tab w:leader="none" w:pos="124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to this Agreement.</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 Person will be deemed the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of, and to “</w:t>
      </w:r>
      <w:r>
        <w:rPr>
          <w:rFonts w:ascii="Arial" w:cs="Arial" w:eastAsia="Arial" w:hAnsi="Arial"/>
          <w:sz w:val="18"/>
          <w:szCs w:val="18"/>
          <w:b w:val="1"/>
          <w:bCs w:val="1"/>
          <w:i w:val="1"/>
          <w:iCs w:val="1"/>
          <w:color w:val="auto"/>
        </w:rPr>
        <w:t>Beneficially Own</w:t>
      </w:r>
      <w:r>
        <w:rPr>
          <w:rFonts w:ascii="Arial" w:cs="Arial" w:eastAsia="Arial" w:hAnsi="Arial"/>
          <w:sz w:val="18"/>
          <w:szCs w:val="18"/>
          <w:color w:val="auto"/>
        </w:rPr>
        <w:t>,” any securities:</w:t>
      </w:r>
    </w:p>
    <w:p>
      <w:pPr>
        <w:spacing w:after="0" w:line="117" w:lineRule="exact"/>
        <w:rPr>
          <w:rFonts w:ascii="Arial" w:cs="Arial" w:eastAsia="Arial" w:hAnsi="Arial"/>
          <w:sz w:val="18"/>
          <w:szCs w:val="18"/>
          <w:color w:val="auto"/>
        </w:rPr>
      </w:pPr>
    </w:p>
    <w:p>
      <w:pPr>
        <w:ind w:left="4" w:right="40" w:firstLine="1428"/>
        <w:spacing w:after="0" w:line="279" w:lineRule="auto"/>
        <w:tabs>
          <w:tab w:leader="none" w:pos="1651" w:val="left"/>
        </w:tabs>
        <w:numPr>
          <w:ilvl w:val="2"/>
          <w:numId w:val="127"/>
        </w:numPr>
        <w:rPr>
          <w:rFonts w:ascii="Arial" w:cs="Arial" w:eastAsia="Arial" w:hAnsi="Arial"/>
          <w:sz w:val="17"/>
          <w:szCs w:val="17"/>
          <w:color w:val="auto"/>
        </w:rPr>
      </w:pPr>
      <w:r>
        <w:rPr>
          <w:rFonts w:ascii="Arial" w:cs="Arial" w:eastAsia="Arial" w:hAnsi="Arial"/>
          <w:sz w:val="17"/>
          <w:szCs w:val="17"/>
          <w:color w:val="auto"/>
        </w:rPr>
        <w:t>which such Person actually owns, directly or indirectly, or would be deemed to actually or constructively own pursuant to Section 382 of the Code and the Treasury Regulations promulgated thereunder (including any coordinated acquisition of securities by any Persons who have a formal or an informal understanding with respect to such acquisition (to the extent that ownership of such securities would be attributed to such Persons under Section 382 of the Code and the Treasury Regulations promulgated thereunder));</w:t>
      </w:r>
    </w:p>
    <w:p>
      <w:pPr>
        <w:spacing w:after="0" w:line="104"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4"/>
          </w:cols>
          <w:pgMar w:left="436" w:top="274" w:right="539" w:bottom="1440" w:gutter="0" w:footer="0" w:header="0"/>
        </w:sectPr>
      </w:pPr>
    </w:p>
    <w:bookmarkStart w:id="107" w:name="page108"/>
    <w:bookmarkEnd w:id="107"/>
    <w:p>
      <w:pPr>
        <w:ind w:left="4" w:right="120" w:firstLine="1428"/>
        <w:spacing w:after="0" w:line="277" w:lineRule="auto"/>
        <w:tabs>
          <w:tab w:leader="none" w:pos="1701" w:val="left"/>
        </w:tabs>
        <w:numPr>
          <w:ilvl w:val="1"/>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such Person or any of such Person’s Affiliates or Associates beneficially owns, directly or indirectly, within the meaning of Rules 13d-3 or 13d-5 promulgated under the Exchange Act, as in effect on the date of this Agreement;</w:t>
      </w:r>
    </w:p>
    <w:p>
      <w:pPr>
        <w:spacing w:after="0" w:line="170" w:lineRule="exact"/>
        <w:rPr>
          <w:rFonts w:ascii="Arial" w:cs="Arial" w:eastAsia="Arial" w:hAnsi="Arial"/>
          <w:sz w:val="18"/>
          <w:szCs w:val="18"/>
          <w:color w:val="auto"/>
        </w:rPr>
      </w:pPr>
    </w:p>
    <w:p>
      <w:pPr>
        <w:ind w:left="4" w:right="80" w:firstLine="1428"/>
        <w:spacing w:after="0" w:line="287" w:lineRule="auto"/>
        <w:tabs>
          <w:tab w:leader="none" w:pos="1751"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which such Person or any of such Person’s Affiliates or Associates has (A) the right or ability to vote, cause to be voted or control or direct the voting of pursuant to any agreement, arrangement or understanding, whether or not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Beneficial Owner of, or to Beneficially Own, any security if the agreement, arrangement or understanding to vote such security</w:t>
      </w:r>
    </w:p>
    <w:p>
      <w:pPr>
        <w:spacing w:after="0" w:line="2" w:lineRule="exact"/>
        <w:rPr>
          <w:rFonts w:ascii="Arial" w:cs="Arial" w:eastAsia="Arial" w:hAnsi="Arial"/>
          <w:sz w:val="16"/>
          <w:szCs w:val="16"/>
          <w:color w:val="auto"/>
        </w:rPr>
      </w:pPr>
    </w:p>
    <w:p>
      <w:pPr>
        <w:ind w:left="4" w:right="40" w:hanging="4"/>
        <w:spacing w:after="0" w:line="285" w:lineRule="auto"/>
        <w:tabs>
          <w:tab w:leader="none" w:pos="25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arises solely from a revocable proxy or consent given to such Person in response to a public proxy or consent solicitation made pursuant to, and in accordance with, the applicable rules and regulations promulgated under the Exchange Act and (2) would not also then be reportable on a statement on Schedule 13D or Schedule 13G under the Exchange Act (or any comparable or successor report), or (B) the right or the obligation to become the Beneficial Owner (whether such right is exercisable or such obligation is required to be performed immediately or only after the passage of time, the occurrence of conditions or the satisfaction of regulatory requirements) pursuant to any agreement, arrangement or understanding, whether or not in writing (other than customary agreements with and between underwriters and selling group members with respect to a bona fide public offering of securities), written or otherwise, or upon the exercise of conversion rights, exchange rights, rights (other than the Rights), warrants or options, or otherwise, through conversion of a security, pursuant to the power to revoke a trust, discretionary account or similar arrangement, pursuant to the power to terminate a repurchase or similar so-called “stock-borrowing” agreement or arrangement, or pursuant to the automatic termination of a trust, discretionary account or similar arrangement;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to be the Beneficial Owner of, or to Beneficially Own, securities tendered pursuant to a tender or an exchange offer made pursuant to, and in accordance with, the applicable rules and regulations promulgated under the Exchange Act until such tendered securities are accepted for purchase or exchange;</w:t>
      </w:r>
    </w:p>
    <w:p>
      <w:pPr>
        <w:spacing w:after="0" w:line="171" w:lineRule="exact"/>
        <w:rPr>
          <w:rFonts w:ascii="Arial" w:cs="Arial" w:eastAsia="Arial" w:hAnsi="Arial"/>
          <w:sz w:val="16"/>
          <w:szCs w:val="16"/>
          <w:color w:val="auto"/>
        </w:rPr>
      </w:pPr>
    </w:p>
    <w:p>
      <w:pPr>
        <w:ind w:left="4" w:right="60" w:firstLine="1428"/>
        <w:spacing w:after="0" w:line="263" w:lineRule="auto"/>
        <w:tabs>
          <w:tab w:leader="none" w:pos="1741"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which are Beneficially Owned (within the meaning of the preceding subsections of this Section 1(d)), directly or indirectly, by any other Person with which such Person or any of such Person’s Affiliates or Associates has any agreement, arrangement or understanding, whether or not in writing, for the purpose of acquiring, holding, voting or disposing of any securities of the Company; or</w:t>
      </w:r>
    </w:p>
    <w:p>
      <w:pPr>
        <w:spacing w:after="0" w:line="183" w:lineRule="exact"/>
        <w:rPr>
          <w:rFonts w:ascii="Arial" w:cs="Arial" w:eastAsia="Arial" w:hAnsi="Arial"/>
          <w:sz w:val="18"/>
          <w:szCs w:val="18"/>
          <w:color w:val="auto"/>
        </w:rPr>
      </w:pPr>
    </w:p>
    <w:p>
      <w:pPr>
        <w:ind w:left="4" w:firstLine="1428"/>
        <w:spacing w:after="0" w:line="272" w:lineRule="auto"/>
        <w:tabs>
          <w:tab w:leader="none" w:pos="1691" w:val="left"/>
        </w:tabs>
        <w:numPr>
          <w:ilvl w:val="1"/>
          <w:numId w:val="129"/>
        </w:numPr>
        <w:rPr>
          <w:rFonts w:ascii="Arial" w:cs="Arial" w:eastAsia="Arial" w:hAnsi="Arial"/>
          <w:sz w:val="17"/>
          <w:szCs w:val="17"/>
          <w:color w:val="auto"/>
        </w:rPr>
      </w:pPr>
      <w:r>
        <w:rPr>
          <w:rFonts w:ascii="Arial" w:cs="Arial" w:eastAsia="Arial" w:hAnsi="Arial"/>
          <w:sz w:val="17"/>
          <w:szCs w:val="17"/>
          <w:color w:val="auto"/>
        </w:rPr>
        <w:t>which are the subject of, or the reference securities for, or that underlie, any Derivative Position of such Person or any of such Person’s Affiliates or Associates, with the number of Common Shares deemed Beneficially Owned in respect of a Derivative Position being the notional or other number of Common Shares in respect of such Derivative Position that is specified in (A) one or more filings with the SEC by such Person or any of such Person’s Affiliates or Associates or (B) the documentation evidencing such Derivative Position as the basis upon which the value or settlement amount of such Derivative Position, or the opportunity of the holder of such Derivative Position to profit or share in any profit, is to be calculated in whole or in part (whichever of (A) or (B) is greater), or if no such number of Common Shares is specified in such filings or documentation (or such documentation is not available to the Board), as determined by the Board in its reasonable discretion.</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108" w:name="page109"/>
    <w:bookmarkEnd w:id="108"/>
    <w:p>
      <w:pPr>
        <w:ind w:left="1240" w:hanging="253"/>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the meaning set forth in the Recitals to this Agreement.</w:t>
      </w:r>
    </w:p>
    <w:p>
      <w:pPr>
        <w:spacing w:after="0" w:line="225" w:lineRule="exact"/>
        <w:rPr>
          <w:rFonts w:ascii="Arial" w:cs="Arial" w:eastAsia="Arial" w:hAnsi="Arial"/>
          <w:sz w:val="18"/>
          <w:szCs w:val="18"/>
          <w:color w:val="auto"/>
        </w:rPr>
      </w:pPr>
    </w:p>
    <w:p>
      <w:pPr>
        <w:ind w:right="100" w:firstLine="987"/>
        <w:spacing w:after="0" w:line="277" w:lineRule="auto"/>
        <w:tabs>
          <w:tab w:leader="none" w:pos="121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Sunday or a day on which banking institutions in the State of New York or New Jersey are authorized or obligated by law or executive order to close.</w:t>
      </w:r>
    </w:p>
    <w:p>
      <w:pPr>
        <w:spacing w:after="0" w:line="170"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xml:space="preserve">” on any given date means 5:00 p.m., New York City time,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it means 5:00 p.m., New York City time, on the next succeeding Business Day.</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has the meaning set forth in the Recitals to this Agreement.</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Shares</w:t>
      </w:r>
      <w:r>
        <w:rPr>
          <w:rFonts w:ascii="Arial" w:cs="Arial" w:eastAsia="Arial" w:hAnsi="Arial"/>
          <w:sz w:val="16"/>
          <w:szCs w:val="16"/>
          <w:color w:val="auto"/>
        </w:rPr>
        <w:t>”, when used with reference to the Company, means, collectively, the shares of Class A common stock, par value</w:t>
      </w:r>
    </w:p>
    <w:p>
      <w:pPr>
        <w:spacing w:after="0" w:line="4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$0.001 per share, of the Company and Class B common stock, par value $0.001 per share,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is the continuing or surviving corporation in a transaction described in Section 13(a)(ii), “Common Shares”, when used with reference to the Company, means shares of the capital stock or units of the equity interests with the greatest aggregate voting power of the Company. “Common Shares”, when used with reference to any corporation or other legal entity other than the Company, including an Issuer, means shares of the capital stock or units of the equity interests with the greatest aggregate voting power of such corporation or other legal entity.</w:t>
      </w:r>
    </w:p>
    <w:p>
      <w:pPr>
        <w:spacing w:after="0" w:line="178" w:lineRule="exact"/>
        <w:rPr>
          <w:sz w:val="20"/>
          <w:szCs w:val="20"/>
          <w:color w:val="auto"/>
        </w:rPr>
      </w:pPr>
    </w:p>
    <w:p>
      <w:pPr>
        <w:ind w:left="1200" w:hanging="213"/>
        <w:spacing w:after="0"/>
        <w:tabs>
          <w:tab w:leader="none" w:pos="12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to this Agreement.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market price</w:t>
      </w:r>
      <w:r>
        <w:rPr>
          <w:rFonts w:ascii="Arial" w:cs="Arial" w:eastAsia="Arial" w:hAnsi="Arial"/>
          <w:sz w:val="18"/>
          <w:szCs w:val="18"/>
          <w:color w:val="auto"/>
        </w:rPr>
        <w:t>” has the meaning set forth in Section 11(d)(i).</w:t>
      </w:r>
    </w:p>
    <w:p>
      <w:pPr>
        <w:spacing w:after="0" w:line="225" w:lineRule="exact"/>
        <w:rPr>
          <w:rFonts w:ascii="Arial" w:cs="Arial" w:eastAsia="Arial" w:hAnsi="Arial"/>
          <w:sz w:val="18"/>
          <w:szCs w:val="18"/>
          <w:color w:val="auto"/>
        </w:rPr>
      </w:pPr>
    </w:p>
    <w:p>
      <w:pPr>
        <w:ind w:firstLine="987"/>
        <w:spacing w:after="0" w:line="290" w:lineRule="auto"/>
        <w:tabs>
          <w:tab w:leader="none" w:pos="120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Derivative Position</w:t>
      </w:r>
      <w:r>
        <w:rPr>
          <w:rFonts w:ascii="Arial" w:cs="Arial" w:eastAsia="Arial" w:hAnsi="Arial"/>
          <w:sz w:val="16"/>
          <w:szCs w:val="16"/>
          <w:color w:val="auto"/>
        </w:rPr>
        <w:t>” means any option, warrant, convertible security, stock appreciation right, or other security, contract right or derivative position or similar right (including any “swap” transaction with respect to any security, other than a broad based market basket or index), whether or not presently exercisable, that has an exercise or a conversion privilege or a settlement payment or mechanism at a price related to the value of the Common Shares or a value determined in whole or in part with reference to, or derived in whole or in part from, the value of the Common Shares and that increases in value as the market price or value of the Common Shares increases or that provides an opportunity, directly or indirectly, to profit or share in any profit derived from any increase in the value of the Common Shares, in each case regardless of whether (i) it conveys any voting rights in such Common Shares to any Person, (ii) it is required to be, or capable of being, settled through delivery of Common Shares or (iii) any Person (including the holder of such Derivative Position) may have entered into other transactions that hedge its economic effect.</w:t>
      </w:r>
    </w:p>
    <w:p>
      <w:pPr>
        <w:spacing w:after="0" w:line="165" w:lineRule="exact"/>
        <w:rPr>
          <w:rFonts w:ascii="Arial" w:cs="Arial" w:eastAsia="Arial" w:hAnsi="Arial"/>
          <w:sz w:val="16"/>
          <w:szCs w:val="16"/>
          <w:color w:val="auto"/>
        </w:rPr>
      </w:pPr>
    </w:p>
    <w:p>
      <w:pPr>
        <w:ind w:right="40" w:firstLine="987"/>
        <w:spacing w:after="0" w:line="296" w:lineRule="auto"/>
        <w:tabs>
          <w:tab w:leader="none" w:pos="129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Distribution Date</w:t>
      </w:r>
      <w:r>
        <w:rPr>
          <w:rFonts w:ascii="Arial" w:cs="Arial" w:eastAsia="Arial" w:hAnsi="Arial"/>
          <w:sz w:val="16"/>
          <w:szCs w:val="16"/>
          <w:color w:val="auto"/>
        </w:rPr>
        <w:t>” means the earlier of: (i) the Close of Business on the tenth calendar day following the Share Acquisition Date (or, if the tenth calendar day following the Share Acquisition Date occurs before the Record Date, the Close of Business on the Record Date), or (ii) the Close of Business on the tenth Business Day (or, unless the Distribution Date shall have previously occurred, such later date as may be specified by the Board) after the commencement of a tender or an exchange offer by any Person (other than the Company, any Related Person or any Exempt Person), if upon the consummation thereof such Person would be the Beneficial Owner of 4.99% or more of the then-outstanding Common Shares.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09" w:name="page110"/>
    <w:bookmarkEnd w:id="109"/>
    <w:p>
      <w:pPr>
        <w:ind w:left="1244" w:hanging="253"/>
        <w:spacing w:after="0"/>
        <w:tabs>
          <w:tab w:leader="none" w:pos="1244" w:val="left"/>
        </w:tabs>
        <w:numPr>
          <w:ilvl w:val="1"/>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equivalent common shares</w:t>
      </w:r>
      <w:r>
        <w:rPr>
          <w:rFonts w:ascii="Arial" w:cs="Arial" w:eastAsia="Arial" w:hAnsi="Arial"/>
          <w:sz w:val="18"/>
          <w:szCs w:val="18"/>
          <w:color w:val="auto"/>
        </w:rPr>
        <w:t>” has the meaning set forth in Section 11(a)(iii).</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equivalent preferred shares</w:t>
      </w:r>
      <w:r>
        <w:rPr>
          <w:rFonts w:ascii="Arial" w:cs="Arial" w:eastAsia="Arial" w:hAnsi="Arial"/>
          <w:sz w:val="18"/>
          <w:szCs w:val="18"/>
          <w:color w:val="auto"/>
        </w:rPr>
        <w:t>” has the meaning set forth in Section 11(a)(iii).</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has the meaning set forth in Section 1(a).</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1224" w:hanging="233"/>
        <w:spacing w:after="0"/>
        <w:tabs>
          <w:tab w:leader="none" w:pos="122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has the meaning set forth in Section 24(a).</w:t>
      </w:r>
    </w:p>
    <w:p>
      <w:pPr>
        <w:spacing w:after="0" w:line="225" w:lineRule="exact"/>
        <w:rPr>
          <w:rFonts w:ascii="Arial" w:cs="Arial" w:eastAsia="Arial" w:hAnsi="Arial"/>
          <w:sz w:val="18"/>
          <w:szCs w:val="18"/>
          <w:color w:val="auto"/>
        </w:rPr>
      </w:pPr>
    </w:p>
    <w:p>
      <w:pPr>
        <w:ind w:left="1224" w:hanging="233"/>
        <w:spacing w:after="0"/>
        <w:tabs>
          <w:tab w:leader="none" w:pos="122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Exemption Request</w:t>
      </w:r>
      <w:r>
        <w:rPr>
          <w:rFonts w:ascii="Arial" w:cs="Arial" w:eastAsia="Arial" w:hAnsi="Arial"/>
          <w:sz w:val="18"/>
          <w:szCs w:val="18"/>
          <w:color w:val="auto"/>
        </w:rPr>
        <w:t>” has the meaning set forth in Section 34(a).</w:t>
      </w:r>
    </w:p>
    <w:p>
      <w:pPr>
        <w:spacing w:after="0" w:line="225" w:lineRule="exact"/>
        <w:rPr>
          <w:rFonts w:ascii="Arial" w:cs="Arial" w:eastAsia="Arial" w:hAnsi="Arial"/>
          <w:sz w:val="18"/>
          <w:szCs w:val="18"/>
          <w:color w:val="auto"/>
        </w:rPr>
      </w:pPr>
    </w:p>
    <w:p>
      <w:pPr>
        <w:ind w:left="4" w:firstLine="987"/>
        <w:spacing w:after="0" w:line="255" w:lineRule="auto"/>
        <w:tabs>
          <w:tab w:leader="none" w:pos="121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Exempt Person</w:t>
      </w:r>
      <w:r>
        <w:rPr>
          <w:rFonts w:ascii="Arial" w:cs="Arial" w:eastAsia="Arial" w:hAnsi="Arial"/>
          <w:sz w:val="18"/>
          <w:szCs w:val="18"/>
          <w:color w:val="auto"/>
        </w:rPr>
        <w:t xml:space="preserve">” means a Person whose Beneficial Ownership (together with all Affiliates and Associates of such Person) of 4.99% or more of the then-outstanding Common Shares will not, as determined by the Board in its sole discretion, jeopardize or endanger the availability to the Company of any income tax benefit, and only for so long as such Person complies with any limitations or conditions required by the Board in making such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 Person will cease to be an Exempt Person if the Board makes a contrary determination in its sole discretion with respect to the effect of such Person’s Beneficial Ownership (together with all Affiliates and Associates of such Person), regardless of the reason for such contrary determination.</w:t>
      </w:r>
    </w:p>
    <w:p>
      <w:pPr>
        <w:spacing w:after="0" w:line="192" w:lineRule="exact"/>
        <w:rPr>
          <w:rFonts w:ascii="Arial" w:cs="Arial" w:eastAsia="Arial" w:hAnsi="Arial"/>
          <w:sz w:val="18"/>
          <w:szCs w:val="18"/>
          <w:color w:val="auto"/>
        </w:rPr>
      </w:pPr>
    </w:p>
    <w:p>
      <w:pPr>
        <w:ind w:left="1244" w:hanging="253"/>
        <w:spacing w:after="0"/>
        <w:tabs>
          <w:tab w:leader="none" w:pos="1244" w:val="left"/>
        </w:tabs>
        <w:numPr>
          <w:ilvl w:val="1"/>
          <w:numId w:val="1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Exempt Transaction</w:t>
      </w:r>
      <w:r>
        <w:rPr>
          <w:rFonts w:ascii="Arial" w:cs="Arial" w:eastAsia="Arial" w:hAnsi="Arial"/>
          <w:sz w:val="17"/>
          <w:szCs w:val="17"/>
          <w:color w:val="auto"/>
        </w:rPr>
        <w:t>” means any transaction that the Board determines, in its sole discretion, is exempt for purposes of this</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1244" w:hanging="253"/>
        <w:spacing w:after="0"/>
        <w:tabs>
          <w:tab w:leader="none" w:pos="124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Value</w:t>
      </w:r>
      <w:r>
        <w:rPr>
          <w:rFonts w:ascii="Arial" w:cs="Arial" w:eastAsia="Arial" w:hAnsi="Arial"/>
          <w:sz w:val="18"/>
          <w:szCs w:val="18"/>
          <w:color w:val="auto"/>
        </w:rPr>
        <w:t>” has the meaning set forth in Section 11(a)(iii).</w:t>
      </w:r>
    </w:p>
    <w:p>
      <w:pPr>
        <w:spacing w:after="0" w:line="225" w:lineRule="exact"/>
        <w:rPr>
          <w:rFonts w:ascii="Arial" w:cs="Arial" w:eastAsia="Arial" w:hAnsi="Arial"/>
          <w:sz w:val="18"/>
          <w:szCs w:val="18"/>
          <w:color w:val="auto"/>
        </w:rPr>
      </w:pPr>
    </w:p>
    <w:p>
      <w:pPr>
        <w:ind w:left="4" w:firstLine="987"/>
        <w:spacing w:after="0" w:line="285" w:lineRule="auto"/>
        <w:tabs>
          <w:tab w:leader="none" w:pos="129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means the earliest of (i) the Close of Business on October 20, 2024, which is the third anniversary of the date on which the Board authorized and declared a dividend distribution of the Rights, or such earlier date as of which the Board determines that this Agreement is no longer necessary for the preservation of Tax Benefits, (ii) the time at which the Rights are redeemed as provided in Section 23, (iii) the time at which all exercisable Rights are exchanged as provided in Section 24, (iv) the Close of Business on the effective date of the repeal of Section 382 of the Code or any successor or replacement provision if the Board determines that this Agreement is no longer necessary for the preservation of Tax Benefits,</w:t>
      </w:r>
    </w:p>
    <w:p>
      <w:pPr>
        <w:spacing w:after="0" w:line="1" w:lineRule="exact"/>
        <w:rPr>
          <w:rFonts w:ascii="Arial" w:cs="Arial" w:eastAsia="Arial" w:hAnsi="Arial"/>
          <w:sz w:val="16"/>
          <w:szCs w:val="16"/>
          <w:color w:val="auto"/>
        </w:rPr>
      </w:pPr>
    </w:p>
    <w:p>
      <w:pPr>
        <w:ind w:left="4" w:right="80" w:hanging="4"/>
        <w:spacing w:after="0" w:line="255" w:lineRule="auto"/>
        <w:tabs>
          <w:tab w:leader="none" w:pos="25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Close of Business on the first day of a taxable year of the Company to which the Board determines that no Tax Benefits may be carried forward, and (vi) the Close of Business on the first Business Day following the certification of the voting results of the Company’s 2021 annual meeting of stockholders, if Stockholder Approval has not been obtained prior to such date.</w:t>
      </w:r>
    </w:p>
    <w:p>
      <w:pPr>
        <w:spacing w:after="0" w:line="189" w:lineRule="exact"/>
        <w:rPr>
          <w:rFonts w:ascii="Arial" w:cs="Arial" w:eastAsia="Arial" w:hAnsi="Arial"/>
          <w:sz w:val="18"/>
          <w:szCs w:val="18"/>
          <w:color w:val="auto"/>
        </w:rPr>
      </w:pPr>
    </w:p>
    <w:p>
      <w:pPr>
        <w:ind w:left="1244" w:hanging="253"/>
        <w:spacing w:after="0"/>
        <w:tabs>
          <w:tab w:leader="none" w:pos="124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Flip-in Event</w:t>
      </w:r>
      <w:r>
        <w:rPr>
          <w:rFonts w:ascii="Arial" w:cs="Arial" w:eastAsia="Arial" w:hAnsi="Arial"/>
          <w:sz w:val="18"/>
          <w:szCs w:val="18"/>
          <w:color w:val="auto"/>
        </w:rPr>
        <w:t>” means the event described in Section 11(a)(ii).</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Flip-over Event</w:t>
      </w:r>
      <w:r>
        <w:rPr>
          <w:rFonts w:ascii="Arial" w:cs="Arial" w:eastAsia="Arial" w:hAnsi="Arial"/>
          <w:sz w:val="18"/>
          <w:szCs w:val="18"/>
          <w:color w:val="auto"/>
        </w:rPr>
        <w:t>” means any event described in clauses (i), (ii) or (iii) of Section 13(a).</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 has the meaning set forth in Section 13(b).</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110" w:name="page111"/>
    <w:bookmarkEnd w:id="110"/>
    <w:p>
      <w:pPr>
        <w:ind w:firstLine="987"/>
        <w:spacing w:after="0" w:line="259" w:lineRule="auto"/>
        <w:tabs>
          <w:tab w:leader="none" w:pos="1316"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firm, corporation, partnership, limited liability company, limited partnership, trust or other entity, including any group thereof making a “coordinated acquisition” of shares or otherwise treated as an “entity” within the meaning of Section 1.382-3(a)(1) of the Treasury Regulations, and includes any successor (by merger or otherwise) of such entity, but will not include a Public Group (as such term is defined in Section 1.382.2T(f)(13) of the Treasury Regulations).</w:t>
      </w:r>
    </w:p>
    <w:p>
      <w:pPr>
        <w:spacing w:after="0" w:line="186" w:lineRule="exact"/>
        <w:rPr>
          <w:rFonts w:ascii="Arial" w:cs="Arial" w:eastAsia="Arial" w:hAnsi="Arial"/>
          <w:sz w:val="18"/>
          <w:szCs w:val="18"/>
          <w:color w:val="auto"/>
        </w:rPr>
      </w:pPr>
    </w:p>
    <w:p>
      <w:pPr>
        <w:jc w:val="both"/>
        <w:ind w:right="520" w:firstLine="987"/>
        <w:spacing w:after="0" w:line="263" w:lineRule="auto"/>
        <w:tabs>
          <w:tab w:leader="none" w:pos="133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Preferred Shares</w:t>
      </w:r>
      <w:r>
        <w:rPr>
          <w:rFonts w:ascii="Arial" w:cs="Arial" w:eastAsia="Arial" w:hAnsi="Arial"/>
          <w:sz w:val="18"/>
          <w:szCs w:val="18"/>
          <w:color w:val="auto"/>
        </w:rPr>
        <w:t xml:space="preserve">” means shares of Series A Junior Participating Preferred Stock, par value $0.001 per share, of the Company having substantially the rights and preferences set forth in the form of Certificate of Designation of Series A Junior Participating Preferred Stock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400" w:firstLine="987"/>
        <w:spacing w:after="0" w:line="277" w:lineRule="auto"/>
        <w:tabs>
          <w:tab w:leader="none" w:pos="131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means initially $40.00 per one one-thousandth of a Preferred Share, subject to adjustment from time to time as provided in this Agreement.</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has the meaning set forth in the Recitals to this Agreement.</w:t>
      </w:r>
    </w:p>
    <w:p>
      <w:pPr>
        <w:spacing w:after="0" w:line="225" w:lineRule="exact"/>
        <w:rPr>
          <w:rFonts w:ascii="Arial" w:cs="Arial" w:eastAsia="Arial" w:hAnsi="Arial"/>
          <w:sz w:val="18"/>
          <w:szCs w:val="18"/>
          <w:color w:val="auto"/>
        </w:rPr>
      </w:pPr>
    </w:p>
    <w:p>
      <w:pPr>
        <w:ind w:right="640" w:firstLine="987"/>
        <w:spacing w:after="0" w:line="277" w:lineRule="auto"/>
        <w:tabs>
          <w:tab w:leader="none" w:pos="131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means $0.001 per Right, subject to adjustment by resolution of the Board to reflect any stock split, stock dividend or similar transaction occurring after the Record Date.</w:t>
      </w:r>
    </w:p>
    <w:p>
      <w:pPr>
        <w:spacing w:after="0" w:line="170" w:lineRule="exact"/>
        <w:rPr>
          <w:rFonts w:ascii="Arial" w:cs="Arial" w:eastAsia="Arial" w:hAnsi="Arial"/>
          <w:sz w:val="18"/>
          <w:szCs w:val="18"/>
          <w:color w:val="auto"/>
        </w:rPr>
      </w:pPr>
    </w:p>
    <w:p>
      <w:pPr>
        <w:ind w:right="180" w:firstLine="987"/>
        <w:spacing w:after="0" w:line="277" w:lineRule="auto"/>
        <w:tabs>
          <w:tab w:leader="none" w:pos="127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Person</w:t>
      </w:r>
      <w:r>
        <w:rPr>
          <w:rFonts w:ascii="Arial" w:cs="Arial" w:eastAsia="Arial" w:hAnsi="Arial"/>
          <w:sz w:val="18"/>
          <w:szCs w:val="18"/>
          <w:color w:val="auto"/>
        </w:rPr>
        <w:t>” means (i) any Subsidiary of the Company or (ii) any employee benefit or stock ownership plan of the Company or of any Subsidiary of the Company or any entity holding Common Shares for or pursuant to the terms of any such plan.</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Person</w:t>
      </w:r>
      <w:r>
        <w:rPr>
          <w:rFonts w:ascii="Arial" w:cs="Arial" w:eastAsia="Arial" w:hAnsi="Arial"/>
          <w:sz w:val="18"/>
          <w:szCs w:val="18"/>
          <w:color w:val="auto"/>
        </w:rPr>
        <w:t>” has the meaning set forth in Section 34(a).</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w:t>
      </w:r>
      <w:r>
        <w:rPr>
          <w:rFonts w:ascii="Arial" w:cs="Arial" w:eastAsia="Arial" w:hAnsi="Arial"/>
          <w:sz w:val="18"/>
          <w:szCs w:val="18"/>
          <w:color w:val="auto"/>
        </w:rPr>
        <w:t>” has the meaning set forth in the Recitals to this Agreement.</w:t>
      </w:r>
    </w:p>
    <w:p>
      <w:pPr>
        <w:spacing w:after="0" w:line="225" w:lineRule="exact"/>
        <w:rPr>
          <w:rFonts w:ascii="Arial" w:cs="Arial" w:eastAsia="Arial" w:hAnsi="Arial"/>
          <w:sz w:val="18"/>
          <w:szCs w:val="18"/>
          <w:color w:val="auto"/>
        </w:rPr>
      </w:pPr>
    </w:p>
    <w:p>
      <w:pPr>
        <w:ind w:left="1260" w:hanging="273"/>
        <w:spacing w:after="0"/>
        <w:tabs>
          <w:tab w:leader="none" w:pos="1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 Certificates</w:t>
      </w:r>
      <w:r>
        <w:rPr>
          <w:rFonts w:ascii="Arial" w:cs="Arial" w:eastAsia="Arial" w:hAnsi="Arial"/>
          <w:sz w:val="18"/>
          <w:szCs w:val="18"/>
          <w:color w:val="auto"/>
        </w:rPr>
        <w:t xml:space="preserve">” means certificates evidencing the Rights, in substantially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987"/>
        <w:spacing w:after="0" w:line="277" w:lineRule="auto"/>
        <w:tabs>
          <w:tab w:leader="none" w:pos="125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 means American Stock Transfer &amp; Trust Company, LLC, unless and until a successor Rights Agent has become such pursuant to the terms of this Agreement, and thereafter, “Rights Agent” means such successor Rights Agent.</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1260" w:hanging="273"/>
        <w:spacing w:after="0"/>
        <w:tabs>
          <w:tab w:leader="none" w:pos="1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U.S. Securities and Exchange Commission.</w:t>
      </w:r>
    </w:p>
    <w:p>
      <w:pPr>
        <w:spacing w:after="0" w:line="225" w:lineRule="exact"/>
        <w:rPr>
          <w:rFonts w:ascii="Arial" w:cs="Arial" w:eastAsia="Arial" w:hAnsi="Arial"/>
          <w:sz w:val="18"/>
          <w:szCs w:val="18"/>
          <w:color w:val="auto"/>
        </w:rPr>
      </w:pPr>
    </w:p>
    <w:p>
      <w:pPr>
        <w:ind w:right="200" w:firstLine="987"/>
        <w:spacing w:after="0" w:line="263" w:lineRule="auto"/>
        <w:tabs>
          <w:tab w:leader="none" w:pos="143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Acquisition Date</w:t>
      </w:r>
      <w:r>
        <w:rPr>
          <w:rFonts w:ascii="Arial" w:cs="Arial" w:eastAsia="Arial" w:hAnsi="Arial"/>
          <w:sz w:val="18"/>
          <w:szCs w:val="18"/>
          <w:color w:val="auto"/>
        </w:rPr>
        <w:t>” means the first date of public announcement by the Company or an Acquiring Person (by press release, filing made with the SEC or otherwise) that an Acquiring Person has become such or that discloses information that reveals the existence of an Acquiring Person.</w:t>
      </w:r>
    </w:p>
    <w:p>
      <w:pPr>
        <w:spacing w:after="0" w:line="183" w:lineRule="exact"/>
        <w:rPr>
          <w:rFonts w:ascii="Arial" w:cs="Arial" w:eastAsia="Arial" w:hAnsi="Arial"/>
          <w:sz w:val="18"/>
          <w:szCs w:val="18"/>
          <w:color w:val="auto"/>
        </w:rPr>
      </w:pPr>
    </w:p>
    <w:p>
      <w:pPr>
        <w:ind w:right="280" w:firstLine="987"/>
        <w:spacing w:after="0" w:line="259" w:lineRule="auto"/>
        <w:tabs>
          <w:tab w:leader="none" w:pos="133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Stockholder Approval</w:t>
      </w:r>
      <w:r>
        <w:rPr>
          <w:rFonts w:ascii="Arial" w:cs="Arial" w:eastAsia="Arial" w:hAnsi="Arial"/>
          <w:sz w:val="18"/>
          <w:szCs w:val="18"/>
          <w:color w:val="auto"/>
        </w:rPr>
        <w:t>” means the approval of this Agreement by the affirmative vote of the holders of a majority of the voting power of the outstanding Common Shares of the Company entitled to vote (excluding the vote of any Acquiring Person) that are present in person or represented by proxy and actually voted on the proposal to approve this Agreement, at a duly called meeting of stockholders of the Company (or any adjournment or postponement thereof) at which a quorum is present.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11" w:name="page112"/>
    <w:bookmarkEnd w:id="111"/>
    <w:p>
      <w:pPr>
        <w:ind w:left="-80" w:right="80" w:firstLine="987"/>
        <w:spacing w:after="0" w:line="259" w:lineRule="auto"/>
        <w:tabs>
          <w:tab w:leader="none" w:pos="1256" w:val="left"/>
        </w:tabs>
        <w:numPr>
          <w:ilvl w:val="1"/>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xml:space="preserve">”, when used with reference to any Person, means any corporation or other legal entity of which a majority of the voting power of the voting equity securities or equity interests is owned, directly or indirectly, by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Section 13(b), “Subsidiary”, when used with reference to any Person, means any corporation or other legal entity of which at least 20% of the voting power of the voting equity securities or equity interests is owned, directly or indirectly, by such Person.</w:t>
      </w:r>
    </w:p>
    <w:p>
      <w:pPr>
        <w:spacing w:after="0" w:line="186" w:lineRule="exact"/>
        <w:rPr>
          <w:rFonts w:ascii="Arial" w:cs="Arial" w:eastAsia="Arial" w:hAnsi="Arial"/>
          <w:sz w:val="18"/>
          <w:szCs w:val="18"/>
          <w:color w:val="auto"/>
        </w:rPr>
      </w:pPr>
    </w:p>
    <w:p>
      <w:pPr>
        <w:ind w:left="1260" w:hanging="353"/>
        <w:spacing w:after="0"/>
        <w:tabs>
          <w:tab w:leader="none" w:pos="12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Summary of Rights</w:t>
      </w:r>
      <w:r>
        <w:rPr>
          <w:rFonts w:ascii="Arial" w:cs="Arial" w:eastAsia="Arial" w:hAnsi="Arial"/>
          <w:sz w:val="18"/>
          <w:szCs w:val="18"/>
          <w:color w:val="auto"/>
        </w:rPr>
        <w:t>” has the meaning set forth in Section 3(a).</w:t>
      </w:r>
    </w:p>
    <w:p>
      <w:pPr>
        <w:spacing w:after="0" w:line="225" w:lineRule="exact"/>
        <w:rPr>
          <w:rFonts w:ascii="Arial" w:cs="Arial" w:eastAsia="Arial" w:hAnsi="Arial"/>
          <w:sz w:val="18"/>
          <w:szCs w:val="18"/>
          <w:color w:val="auto"/>
        </w:rPr>
      </w:pPr>
    </w:p>
    <w:p>
      <w:pPr>
        <w:ind w:left="-80" w:right="120" w:firstLine="987"/>
        <w:spacing w:after="0" w:line="286" w:lineRule="auto"/>
        <w:tabs>
          <w:tab w:leader="none" w:pos="1256" w:val="left"/>
        </w:tabs>
        <w:numPr>
          <w:ilvl w:val="1"/>
          <w:numId w:val="1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Benefits</w:t>
      </w:r>
      <w:r>
        <w:rPr>
          <w:rFonts w:ascii="Arial" w:cs="Arial" w:eastAsia="Arial" w:hAnsi="Arial"/>
          <w:sz w:val="17"/>
          <w:szCs w:val="17"/>
          <w:color w:val="auto"/>
        </w:rPr>
        <w:t>” means the net operating loss carryovers, capital loss carryovers, general business credit carryovers, alternative minimum tax credit carryovers and foreign tax credit carryovers, as well as any “net unrealized built-in loss” within the meaning of Section 382 of the Code or any successor or replacement provision, of the Company or any direct or indirect subsidiary thereof.</w:t>
      </w:r>
    </w:p>
    <w:p>
      <w:pPr>
        <w:spacing w:after="0" w:line="165" w:lineRule="exact"/>
        <w:rPr>
          <w:rFonts w:ascii="Arial" w:cs="Arial" w:eastAsia="Arial" w:hAnsi="Arial"/>
          <w:sz w:val="17"/>
          <w:szCs w:val="17"/>
          <w:color w:val="auto"/>
        </w:rPr>
      </w:pPr>
    </w:p>
    <w:p>
      <w:pPr>
        <w:ind w:left="-80" w:right="40" w:firstLine="987"/>
        <w:spacing w:after="0" w:line="263" w:lineRule="auto"/>
        <w:tabs>
          <w:tab w:leader="none" w:pos="119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any day on which the principal national securities exchange or quotation system on which the Common Shares are listed or admitted to trading is open for the transaction of business or, if the Common Shares are not listed or admitted to trading on any national securities exchange or quotation system, a Business Day.</w:t>
      </w:r>
    </w:p>
    <w:p>
      <w:pPr>
        <w:spacing w:after="0" w:line="183" w:lineRule="exact"/>
        <w:rPr>
          <w:rFonts w:ascii="Arial" w:cs="Arial" w:eastAsia="Arial" w:hAnsi="Arial"/>
          <w:sz w:val="18"/>
          <w:szCs w:val="18"/>
          <w:color w:val="auto"/>
        </w:rPr>
      </w:pPr>
    </w:p>
    <w:p>
      <w:pPr>
        <w:ind w:left="-80" w:right="320" w:firstLine="987"/>
        <w:spacing w:after="0" w:line="277" w:lineRule="auto"/>
        <w:tabs>
          <w:tab w:leader="none" w:pos="121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final, temporary and proposed income tax regulations promulgated under the Code, including any amendments thereto.</w:t>
      </w:r>
    </w:p>
    <w:p>
      <w:pPr>
        <w:spacing w:after="0" w:line="170" w:lineRule="exact"/>
        <w:rPr>
          <w:rFonts w:ascii="Arial" w:cs="Arial" w:eastAsia="Arial" w:hAnsi="Arial"/>
          <w:sz w:val="18"/>
          <w:szCs w:val="18"/>
          <w:color w:val="auto"/>
        </w:rPr>
      </w:pPr>
    </w:p>
    <w:p>
      <w:pPr>
        <w:ind w:left="1180" w:hanging="273"/>
        <w:spacing w:after="0"/>
        <w:tabs>
          <w:tab w:leader="none" w:pos="11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Triggering Event</w:t>
      </w:r>
      <w:r>
        <w:rPr>
          <w:rFonts w:ascii="Arial" w:cs="Arial" w:eastAsia="Arial" w:hAnsi="Arial"/>
          <w:sz w:val="18"/>
          <w:szCs w:val="18"/>
          <w:color w:val="auto"/>
        </w:rPr>
        <w:t>” means any Flip-in Event or Flip-over Event.</w:t>
      </w:r>
    </w:p>
    <w:p>
      <w:pPr>
        <w:spacing w:after="0" w:line="225" w:lineRule="exact"/>
        <w:rPr>
          <w:rFonts w:ascii="Arial" w:cs="Arial" w:eastAsia="Arial" w:hAnsi="Arial"/>
          <w:sz w:val="18"/>
          <w:szCs w:val="18"/>
          <w:color w:val="auto"/>
        </w:rPr>
      </w:pPr>
    </w:p>
    <w:p>
      <w:pPr>
        <w:ind w:left="1260" w:hanging="353"/>
        <w:spacing w:after="0"/>
        <w:tabs>
          <w:tab w:leader="none" w:pos="12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w:t>
      </w:r>
      <w:r>
        <w:rPr>
          <w:rFonts w:ascii="Arial" w:cs="Arial" w:eastAsia="Arial" w:hAnsi="Arial"/>
          <w:sz w:val="18"/>
          <w:szCs w:val="18"/>
          <w:color w:val="auto"/>
        </w:rPr>
        <w:t>” has the meaning set forth in Section 24(a).</w:t>
      </w:r>
    </w:p>
    <w:p>
      <w:pPr>
        <w:spacing w:after="0" w:line="225" w:lineRule="exact"/>
        <w:rPr>
          <w:rFonts w:ascii="Arial" w:cs="Arial" w:eastAsia="Arial" w:hAnsi="Arial"/>
          <w:sz w:val="18"/>
          <w:szCs w:val="18"/>
          <w:color w:val="auto"/>
        </w:rPr>
      </w:pPr>
    </w:p>
    <w:p>
      <w:pPr>
        <w:ind w:left="1260" w:hanging="353"/>
        <w:spacing w:after="0"/>
        <w:tabs>
          <w:tab w:leader="none" w:pos="12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has the meaning set forth in Section 24(a).</w:t>
      </w:r>
    </w:p>
    <w:p>
      <w:pPr>
        <w:spacing w:after="0" w:line="225" w:lineRule="exact"/>
        <w:rPr>
          <w:rFonts w:ascii="Arial" w:cs="Arial" w:eastAsia="Arial" w:hAnsi="Arial"/>
          <w:sz w:val="18"/>
          <w:szCs w:val="18"/>
          <w:color w:val="auto"/>
        </w:rPr>
      </w:pPr>
    </w:p>
    <w:p>
      <w:pPr>
        <w:ind w:left="-80" w:firstLine="436"/>
        <w:spacing w:after="0" w:line="254"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Appointment of Rights Agent</w:t>
      </w:r>
      <w:r>
        <w:rPr>
          <w:rFonts w:ascii="Arial" w:cs="Arial" w:eastAsia="Arial" w:hAnsi="Arial"/>
          <w:sz w:val="18"/>
          <w:szCs w:val="18"/>
          <w:color w:val="auto"/>
        </w:rPr>
        <w:t>. The Company hereby appoints the Rights Agent to act as rights agent for the Company in accordance with the express terms and conditions of this Agreement (and no implied terms and conditions), and the Rights Agent hereby accepts such appointment. The Company may from time to time appoint co-rights agents as it may deem necessary or desirable, upon 10 days’ prior written notice to the Rights Agent, setting forth the respective duties of the Rights Agent and any co-rights agent. In the event that the Company appoints one or more co-rights agents, the respective duties of the Rights Agent and any co-rights agent(s) shall be as the Company shall determine and the Company shall provide written notice thereof to the Rights Agent. The Rights Agent shall have no duty to supervise, and shall in no event be liable for, the acts or omissions of any such co-rights agent.</w:t>
      </w:r>
    </w:p>
    <w:p>
      <w:pPr>
        <w:spacing w:after="0" w:line="194" w:lineRule="exact"/>
        <w:rPr>
          <w:rFonts w:ascii="Arial" w:cs="Arial" w:eastAsia="Arial" w:hAnsi="Arial"/>
          <w:sz w:val="18"/>
          <w:szCs w:val="18"/>
          <w:color w:val="auto"/>
        </w:rPr>
      </w:pPr>
    </w:p>
    <w:p>
      <w:pPr>
        <w:ind w:left="-80" w:right="320" w:firstLine="436"/>
        <w:spacing w:after="0" w:line="263"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Issue of Right Certificates</w:t>
      </w:r>
      <w:r>
        <w:rPr>
          <w:rFonts w:ascii="Arial" w:cs="Arial" w:eastAsia="Arial" w:hAnsi="Arial"/>
          <w:sz w:val="18"/>
          <w:szCs w:val="18"/>
          <w:color w:val="auto"/>
        </w:rPr>
        <w:t>. (a) Until the Distribution Date, (i) the Rights will be evidenced by the certificates representing Common Shares registered in the names of the record holders thereof or, in the case of uncertificated Common Shares registered in book entry form, by notation in accounts reflecting the ownership of such Common Shares (which certificates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520" w:top="274" w:right="519" w:bottom="1440" w:gutter="0" w:footer="0" w:header="0"/>
        </w:sectPr>
      </w:pPr>
    </w:p>
    <w:bookmarkStart w:id="112" w:name="page113"/>
    <w:bookmarkEnd w:id="112"/>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uncertificated Common Shares, as applicable, will also be deemed to be Right Certificates), (ii) the Rights will be transferable only in connection with the transfer of the underlying Common Shares, and (iii) the transfer of any Common Shares in respect of which Rights have been issued will also constitute the transfer of the Rights associated with such Common Shares. On the Record Date, or as soon as practicable thereafter, the Company will send a copy of the Summary of Rights to Purchase Preferred Stock in substantially the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Summary of Rights</w:t>
      </w:r>
      <w:r>
        <w:rPr>
          <w:rFonts w:ascii="Arial" w:cs="Arial" w:eastAsia="Arial" w:hAnsi="Arial"/>
          <w:sz w:val="17"/>
          <w:szCs w:val="17"/>
          <w:color w:val="auto"/>
        </w:rPr>
        <w:t>”), by first-class mail, postage-prepaid, to each record holder of Common Shares as of the Close of Business on the Record Date (other than any Acquiring Person or any Associate or Affiliate of any Acquiring Person), at the address of such holder shown on the records of the Company. With respect to certificates for Common Shares outstanding as of the Record Date, until the Distribution Date, the Rights will be evidenced by such certificates registered in the names of the holders thereof, together with the Summary of Rights.</w:t>
      </w:r>
    </w:p>
    <w:p>
      <w:pPr>
        <w:spacing w:after="0" w:line="178" w:lineRule="exact"/>
        <w:rPr>
          <w:sz w:val="20"/>
          <w:szCs w:val="20"/>
          <w:color w:val="auto"/>
        </w:rPr>
      </w:pPr>
    </w:p>
    <w:p>
      <w:pPr>
        <w:ind w:firstLine="987"/>
        <w:spacing w:after="0" w:line="272" w:lineRule="auto"/>
        <w:tabs>
          <w:tab w:leader="none" w:pos="124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Rights will be issued by the Company in respect of all Common Shares (other than Common Shares issued upon the exercise or exchange of any Right) issued or delivered by the Company (whether originally issued or delivered from the Company’s treasury) after the Record Date but prior to the earlier of the Distribution Date and the Expiration Date. Certificates evidencing such Common Shares will have stamped on, impressed on, printed on, written on, or otherwise affixed to them the following legend, or such similar legend in substantially the form as follows, as the Company may deem appropriate and as is not inconsistent with the provisions of this Agreement, or as may be required to comply with any applicable law or with any rule or regulation made pursuant thereto or with any rule or regulation of any stock exchange or quotation system on which the Common Shares may from time to time be listed or quoted, or to conform to usage:</w:t>
      </w:r>
    </w:p>
    <w:p>
      <w:pPr>
        <w:spacing w:after="0" w:line="69" w:lineRule="exact"/>
        <w:rPr>
          <w:sz w:val="20"/>
          <w:szCs w:val="20"/>
          <w:color w:val="auto"/>
        </w:rPr>
      </w:pPr>
    </w:p>
    <w:p>
      <w:pPr>
        <w:ind w:left="980" w:right="20"/>
        <w:spacing w:after="0" w:line="269" w:lineRule="auto"/>
        <w:rPr>
          <w:sz w:val="20"/>
          <w:szCs w:val="20"/>
          <w:color w:val="auto"/>
        </w:rPr>
      </w:pPr>
      <w:r>
        <w:rPr>
          <w:rFonts w:ascii="Arial" w:cs="Arial" w:eastAsia="Arial" w:hAnsi="Arial"/>
          <w:sz w:val="17"/>
          <w:szCs w:val="17"/>
          <w:color w:val="auto"/>
        </w:rPr>
        <w:t>This Certificate also evidences and entitles the holder hereof to certain Rights as set forth in a Rights Agreement between P10, Inc. and American Stock Transfer &amp; Trust Company, LLC (or any successor Rights Agent), as Rights Agent, dated as of October 20, 2021 (as it may be amended or supplemented from time to time, the “</w:t>
      </w:r>
      <w:r>
        <w:rPr>
          <w:rFonts w:ascii="Arial" w:cs="Arial" w:eastAsia="Arial" w:hAnsi="Arial"/>
          <w:sz w:val="17"/>
          <w:szCs w:val="17"/>
          <w:b w:val="1"/>
          <w:bCs w:val="1"/>
          <w:i w:val="1"/>
          <w:iCs w:val="1"/>
          <w:color w:val="auto"/>
        </w:rPr>
        <w:t>Rights Agreement</w:t>
      </w:r>
      <w:r>
        <w:rPr>
          <w:rFonts w:ascii="Arial" w:cs="Arial" w:eastAsia="Arial" w:hAnsi="Arial"/>
          <w:sz w:val="17"/>
          <w:szCs w:val="17"/>
          <w:color w:val="auto"/>
        </w:rPr>
        <w:t>”), the terms of which are hereby incorporated herein by reference and a copy of which is on file at the principal executive offices of P10, Inc. The Rights are not exercisable prior to the occurrence of certain events as specified in the Rights Agreement. Under certain circumstances, as set forth in the Rights Agreement, such Rights may be redeemed, may be exchanged, may expire, may be amended, or may be evidenced by separate certificates and no longer be evidenced by this Certificate. P10, Inc. will mail to the holder of this Certificate a copy of the Rights Agreement, as in effect on the date of mailing, without charge, promptly after its receipt of a written request therefor. Under certain circumstances as set forth in the Rights Agreement, Rights that are or were Beneficially Owned by an Acquiring Person or any Affiliate or Associate of an Acquiring Person (as such terms are defined in the Rights Agreement) may become null and void.</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respect to any uncertificated Common Shares, a legend in substantially similar form will be included in a notice to the record holder of such shares in accordance with applicable law. Notwithstanding the provisions of this Section, neither the omission of a legend nor the failure to deliver the notice of such legend required hereby shall affect the enforceability of any part of this Agreement or the rights of any holder of Rights.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3" w:name="page114"/>
    <w:bookmarkEnd w:id="113"/>
    <w:p>
      <w:pPr>
        <w:ind w:right="60" w:firstLine="987"/>
        <w:spacing w:after="0" w:line="272" w:lineRule="auto"/>
        <w:tabs>
          <w:tab w:leader="none" w:pos="1236" w:val="left"/>
        </w:tabs>
        <w:numPr>
          <w:ilvl w:val="0"/>
          <w:numId w:val="1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Right Certificate issued pursuant to this Section 3 that represents Rights Beneficially Owned by an Acquiring Person or any Associate or Affiliate thereof and any Right Certificate issued at any time upon the transfer of any Rights to an Acquiring Person or any Associate or Affiliate thereof or to any nominee of such Acquiring Person, Associate or Affiliate and any Right Certificate issued pursuant to Section 6 or 11 hereof upon the transfer, exchange, replacement or adjustment of any other Right Certificate referred to in this sentence, shall be subject to and contain the following legend, or such similar legend in substantially the form as follows, as the Company may deem appropriate and as is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usage:</w:t>
      </w:r>
    </w:p>
    <w:p>
      <w:pPr>
        <w:spacing w:after="0" w:line="69" w:lineRule="exact"/>
        <w:rPr>
          <w:sz w:val="20"/>
          <w:szCs w:val="20"/>
          <w:color w:val="auto"/>
        </w:rPr>
      </w:pPr>
    </w:p>
    <w:p>
      <w:pPr>
        <w:ind w:left="980" w:right="80"/>
        <w:spacing w:after="0" w:line="311" w:lineRule="auto"/>
        <w:rPr>
          <w:sz w:val="20"/>
          <w:szCs w:val="20"/>
          <w:color w:val="auto"/>
        </w:rPr>
      </w:pPr>
      <w:r>
        <w:rPr>
          <w:rFonts w:ascii="Arial" w:cs="Arial" w:eastAsia="Arial" w:hAnsi="Arial"/>
          <w:sz w:val="16"/>
          <w:szCs w:val="16"/>
          <w:color w:val="auto"/>
        </w:rPr>
        <w:t>The Rights represented by this Right Certificate are or were Beneficially Owned by a Person who was an Acquiring Person or an Affiliate or an Associate of an Acquiring Person (as such terms are defined in the Rights Agreement). This Right Certificate and the Rights represented hereby may become null and void in the circumstances specified in Section 11(a)(ii) or Section 13 of the Rights Agreement.</w:t>
      </w:r>
    </w:p>
    <w:p>
      <w:pPr>
        <w:spacing w:after="0" w:line="149" w:lineRule="exact"/>
        <w:rPr>
          <w:sz w:val="20"/>
          <w:szCs w:val="20"/>
          <w:color w:val="auto"/>
        </w:rPr>
      </w:pPr>
    </w:p>
    <w:p>
      <w:pPr>
        <w:ind w:right="20" w:firstLine="987"/>
        <w:spacing w:after="0" w:line="253" w:lineRule="auto"/>
        <w:tabs>
          <w:tab w:leader="none" w:pos="124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As promptly as practicable after the Company has notified the Rights Agent of the occurrence of the Distribution Date as set forth herein, the Company will prepare and execute, the Rights Agent will countersign and the Company will send or cause to be sent (or, the Rights Agent will, if requested in writing to do so by the Company and provided with all necessary and relevant information and documentation, in form and substance reasonably satisfactory to the Rights Agent, send), by first-class, insured, postage prepaid mail, to each record holder of Common Shares as of the Close of Business on the Distribution Date, at the address of such holder shown on the records of the Company or the transfer agent or registrar for such Common Shares, a Right Certificate evidencing one Right for each Common Share so held, subject to adjustment as provided herein. As of, and after, the Distribution Date, the Rights will be evidenced solely by such Right Certificates. The Company shall promptly notify the Rights Agent in writing upon the occurrence of the Distribution Date and, if such notification is given orally, the Company shall confirm the same in writing within two Business Days.</w:t>
      </w:r>
    </w:p>
    <w:p>
      <w:pPr>
        <w:spacing w:after="0" w:line="196" w:lineRule="exact"/>
        <w:rPr>
          <w:rFonts w:ascii="Arial" w:cs="Arial" w:eastAsia="Arial" w:hAnsi="Arial"/>
          <w:sz w:val="18"/>
          <w:szCs w:val="18"/>
          <w:color w:val="auto"/>
        </w:rPr>
      </w:pPr>
    </w:p>
    <w:p>
      <w:pPr>
        <w:ind w:right="80" w:firstLine="987"/>
        <w:spacing w:after="0" w:line="263" w:lineRule="auto"/>
        <w:tabs>
          <w:tab w:leader="none" w:pos="123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the event that the Company purchases or otherwise acquires any Common Shares after the Record Date but prior to the Distribution Date, any Rights associated with such Common Shares will be deemed canceled and retired so that the Company will not be entitled to exercise any Rights associated with the Common Shares so purchased or acquired.</w:t>
      </w:r>
    </w:p>
    <w:p>
      <w:pPr>
        <w:spacing w:after="0" w:line="183" w:lineRule="exact"/>
        <w:rPr>
          <w:rFonts w:ascii="Arial" w:cs="Arial" w:eastAsia="Arial" w:hAnsi="Arial"/>
          <w:sz w:val="18"/>
          <w:szCs w:val="18"/>
          <w:color w:val="auto"/>
        </w:rPr>
      </w:pPr>
    </w:p>
    <w:p>
      <w:pPr>
        <w:ind w:firstLine="436"/>
        <w:spacing w:after="0" w:line="257" w:lineRule="auto"/>
        <w:tabs>
          <w:tab w:leader="none" w:pos="62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Form of Right Certificates</w:t>
      </w:r>
      <w:r>
        <w:rPr>
          <w:rFonts w:ascii="Arial" w:cs="Arial" w:eastAsia="Arial" w:hAnsi="Arial"/>
          <w:sz w:val="18"/>
          <w:szCs w:val="18"/>
          <w:color w:val="auto"/>
        </w:rPr>
        <w:t xml:space="preserve">. The Right Certificates (and the form of election to purchase and the form of assignment to be printed on the reverse thereof) will be substantially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 such changes and marks of identification or designation, and such legends, summaries or endorsements printed thereon, as the Company may deem appropriate (but which will not affect the rights, duties, liabilities, protections or responsibilities of the Rights Agent hereunder) and as are not inconsistent with the provisions of this Agreement, or as may be required to comply with any applicable law or with any rule or regulation made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14" w:name="page115"/>
    <w:bookmarkEnd w:id="11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thereto or with any rule or regulation of any stock exchange or quotation system on which the Rights may from time to time be listed or quoted, or to conform to usage. Subject to the provisions of Section 22, the Right Certificates, whenever issued, on their face will entitle the holders thereof to purchase such number of one one-thousandths of a Preferred Share as is set forth therein at the Purchase Price set forth therein, but the Purchase Price, the number and kind of securities issuable upon the exercise of each Right and the number of Rights outstanding will be subject to adjustment as provided herein.</w:t>
      </w:r>
    </w:p>
    <w:p>
      <w:pPr>
        <w:spacing w:after="0" w:line="188" w:lineRule="exact"/>
        <w:rPr>
          <w:sz w:val="20"/>
          <w:szCs w:val="20"/>
          <w:color w:val="auto"/>
        </w:rPr>
      </w:pPr>
    </w:p>
    <w:p>
      <w:pPr>
        <w:ind w:firstLine="436"/>
        <w:spacing w:after="0" w:line="286" w:lineRule="auto"/>
        <w:tabs>
          <w:tab w:leader="none" w:pos="620"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Countersignature and Registration</w:t>
      </w:r>
      <w:r>
        <w:rPr>
          <w:rFonts w:ascii="Arial" w:cs="Arial" w:eastAsia="Arial" w:hAnsi="Arial"/>
          <w:sz w:val="16"/>
          <w:szCs w:val="16"/>
          <w:color w:val="auto"/>
        </w:rPr>
        <w:t>. (a) The Right Certificates will be executed on behalf of the Company by its Chief Executive Officer, its President or any Vice President, either manually or by facsimile signature, and will have affixed thereto the Company’s seal or a facsimile thereof, which will be attested to by the Secretary or an Assistant Secretary of the Company, either manually or by facsimile signature. The Right Certificates will be countersigned by an authorized signatory of the Rights Agent, either manually or by facsimile signature, and will not be valid for any purpose unless so countersigned. In case any officer of the Company who signed any of the Right Certificates ceases to be such an officer of the Company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an officer of the Company; and any Right Certificate may be signed on behalf of the Company by any person who, at the actual date of the execution of such Right Certificate, is a proper officer of the Company to sign such Right Certificate, although at the date of the execution of this Agreement any such person was not such an officer. In case any authorized signatory of the Rights Agent who has countersigned any Right Certificate ceases to be an authorized signatory of the Rights Agent before issuance and delivery by the Company, such Right Certificate, nevertheless, may be issued and delivered by the Company with the same force and effect as though the person who countersigned such Right Certificate had not ceased to be an authorized signatory of the Rights Agent; and any Right Certificate may be countersigned on behalf of the Rights Agent by any person who, at the actual date of the countersignature of such Right Certificate, is properly authorized to countersign such Right Certificate, although at the date of the execution of this Rights Agreement any such person was not so authorized.</w:t>
      </w:r>
    </w:p>
    <w:p>
      <w:pPr>
        <w:spacing w:after="0" w:line="167" w:lineRule="exact"/>
        <w:rPr>
          <w:rFonts w:ascii="Arial" w:cs="Arial" w:eastAsia="Arial" w:hAnsi="Arial"/>
          <w:sz w:val="16"/>
          <w:szCs w:val="16"/>
          <w:color w:val="auto"/>
        </w:rPr>
      </w:pPr>
    </w:p>
    <w:p>
      <w:pPr>
        <w:ind w:firstLine="987"/>
        <w:spacing w:after="0" w:line="273" w:lineRule="auto"/>
        <w:tabs>
          <w:tab w:leader="none" w:pos="1246" w:val="left"/>
        </w:tabs>
        <w:numPr>
          <w:ilvl w:val="1"/>
          <w:numId w:val="141"/>
        </w:numPr>
        <w:rPr>
          <w:rFonts w:ascii="Arial" w:cs="Arial" w:eastAsia="Arial" w:hAnsi="Arial"/>
          <w:sz w:val="17"/>
          <w:szCs w:val="17"/>
          <w:color w:val="auto"/>
        </w:rPr>
      </w:pPr>
      <w:r>
        <w:rPr>
          <w:rFonts w:ascii="Arial" w:cs="Arial" w:eastAsia="Arial" w:hAnsi="Arial"/>
          <w:sz w:val="17"/>
          <w:szCs w:val="17"/>
          <w:color w:val="auto"/>
        </w:rPr>
        <w:t>Following the Distribution Date, upon receipt by the Rights Agent of notice to that effect and all other relevant information and documentation as referred to in Section 3(d), the Rights Agent will keep or cause to be kept, at the office of the Rights Agent designated for such purpose and at such other offices as may be required to comply with any applicable law or with any rule or regulation made pursuant thereto or with any rule or regulation of any stock exchange or any quotation system on which the Rights may from time to time be listed or quoted, books for registration and transfer of the Right Certificates issued hereunder. Such books will show the names and addresses of the respective holders of the Right Certificates, the number of Rights evidenced on its face by each of the Right Certificates and the date of each of the Right Certificates.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15" w:name="page116"/>
    <w:bookmarkEnd w:id="115"/>
    <w:p>
      <w:pPr>
        <w:ind w:left="-40" w:right="20" w:firstLine="436"/>
        <w:spacing w:after="0" w:line="284" w:lineRule="auto"/>
        <w:tabs>
          <w:tab w:leader="none" w:pos="580"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Split Up, Combination and Exchange of Right Certificates; Mutilated, Destroyed, Lost or Stolen Right Certificates</w:t>
      </w:r>
      <w:r>
        <w:rPr>
          <w:rFonts w:ascii="Arial" w:cs="Arial" w:eastAsia="Arial" w:hAnsi="Arial"/>
          <w:sz w:val="16"/>
          <w:szCs w:val="16"/>
          <w:color w:val="auto"/>
        </w:rPr>
        <w:t>. (a) Subject to the provisions of Sections 7(d) and 14, at any time after the Close of Business on the Distribution Date and prior to the Expiration Date, any Right Certificate or Right Certificates representing exercisable Rights may be transferred, split up, combined or exchanged for another Right Certificate or Right Certificates, entitling the registered holder to purchase a like number of one one-thousandths of a Preferred Share (or other securities, as the case may be) as the Right Certificate or Right Certificates surrendered then entitled such holder (or former holder in the case of a transfer) to purchase. Any registered holder desiring to transfer, split up, combine or exchange any such Right Certificate or Right Certificates must make such request in a writing delivered to the Rights Agent and must surrender the Right Certificate or Right Certificates to be transferred, split up, combined or exchanged at the office or offices of the Rights Agent designated for such purpose, along with a signature guarantee (if required) and such other and further documentation as the Company or the Rights Agent may reasonably request. Neither the Rights Agent nor the Company shall be obligated to take any action whatsoever with respect to the transfer of any such surrendered Right Certificate until the registered holder has properly completed and duly signed the certificate contained in the form of assignment on the reverse side of such Right Certificate and has provided such additional evidence, as the Company or the Rights Agent may reasonably request, of the identity of the Beneficial Owner (or former Beneficial Owner), any Affiliates or Associates of such Beneficial Owner, or of any other Person with which such Beneficial Owner or any of such Beneficial Owner’s Affiliates or Associates has any agreement, arrangement or understanding (whether or not in writing) for the purpose of acquiring, holding, voting or disposing of securities of the Company. Thereupon or as promptly as practicable thereafter, subject to the provisions of Sections 7(d) and 14, the Company will prepare, execute and deliver to the Rights Agent, and the Rights Agent will countersign and deliver to the Person entitled thereto, a Right Certificate or Right Certificates, as the case may be, as so requested. Pursuant to this Agreement, the Company or the Rights Agent may require payment of a sum sufficient to cover any tax or governmental charge that may be imposed in connection with any transfer, split up, combination or exchange of Right Certificates. The Rights Agent will not have any duty or obligation to take any action pursuant to any Section of this Agreement that requires the payment of such taxes and/or charges unless and until it is satisfied that all such taxes and/or charges have been paid, and the Rights Agent shall promptly forward any such sum collected by it to the Company or to such Persons as the Company may specify by written notice.</w:t>
      </w:r>
    </w:p>
    <w:p>
      <w:pPr>
        <w:spacing w:after="0" w:line="179" w:lineRule="exact"/>
        <w:rPr>
          <w:rFonts w:ascii="Arial" w:cs="Arial" w:eastAsia="Arial" w:hAnsi="Arial"/>
          <w:sz w:val="16"/>
          <w:szCs w:val="16"/>
          <w:color w:val="auto"/>
        </w:rPr>
      </w:pPr>
    </w:p>
    <w:p>
      <w:pPr>
        <w:ind w:left="-40" w:firstLine="987"/>
        <w:spacing w:after="0" w:line="293" w:lineRule="auto"/>
        <w:tabs>
          <w:tab w:leader="none" w:pos="1206" w:val="left"/>
        </w:tabs>
        <w:numPr>
          <w:ilvl w:val="1"/>
          <w:numId w:val="142"/>
        </w:numPr>
        <w:rPr>
          <w:rFonts w:ascii="Arial" w:cs="Arial" w:eastAsia="Arial" w:hAnsi="Arial"/>
          <w:sz w:val="16"/>
          <w:szCs w:val="16"/>
          <w:color w:val="auto"/>
        </w:rPr>
      </w:pPr>
      <w:r>
        <w:rPr>
          <w:rFonts w:ascii="Arial" w:cs="Arial" w:eastAsia="Arial" w:hAnsi="Arial"/>
          <w:sz w:val="16"/>
          <w:szCs w:val="16"/>
          <w:color w:val="auto"/>
        </w:rPr>
        <w:t>Upon receipt by the Company and the Rights Agent of evidence reasonably satisfactory to them of the loss, theft, destruction or mutilation of a Right Certificate and, in case of loss, theft or destruction, of indemnity or security satisfactory to them, along with such other and further documentation as the Company or the Rights Agent may reasonably request, and, if requested by the Company, reimbursement to the Company and the Rights Agent of all reasonable expenses incidental thereto, and upon surrender to the Rights Agent and cancellation of the Right Certificate if mutilated, the Company will prepare, execute and deliver a new Right Certificate of like tenor to the Rights Agent and the Rights Agent will countersign and deliver such new Right Certificate to the registered holder in lieu of the Right Certificate so lost, stolen, destroyed or mutilated.</w:t>
      </w:r>
    </w:p>
    <w:p>
      <w:pPr>
        <w:spacing w:after="0" w:line="164" w:lineRule="exact"/>
        <w:rPr>
          <w:rFonts w:ascii="Arial" w:cs="Arial" w:eastAsia="Arial" w:hAnsi="Arial"/>
          <w:sz w:val="16"/>
          <w:szCs w:val="16"/>
          <w:color w:val="auto"/>
        </w:rPr>
      </w:pPr>
    </w:p>
    <w:p>
      <w:pPr>
        <w:ind w:left="-40" w:right="120" w:firstLine="436"/>
        <w:spacing w:after="0" w:line="259"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Exercise of Rights; Purchase Price; Expiration Date of Rights</w:t>
      </w:r>
      <w:r>
        <w:rPr>
          <w:rFonts w:ascii="Arial" w:cs="Arial" w:eastAsia="Arial" w:hAnsi="Arial"/>
          <w:sz w:val="18"/>
          <w:szCs w:val="18"/>
          <w:color w:val="auto"/>
        </w:rPr>
        <w:t>. (a) The registered holder of any Right Certificate may exercise the Rights evidenced thereby (except as otherwise provided herein), in whole or in part, at any time after the Distribution Date and prior to the Expiration Date, upon the surrender of the Right Certificate, with the form of election to purchase and the certificate on the reverse side thereof properly completed and duly executed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4" w:right="499" w:bottom="1440" w:gutter="0" w:footer="0" w:header="0"/>
        </w:sectPr>
      </w:pPr>
    </w:p>
    <w:bookmarkStart w:id="116" w:name="page117"/>
    <w:bookmarkEnd w:id="116"/>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such signature duly guaranteed, if required), to the Rights Agent at the office or offices of the Rights Agent designated for such purpose, together with payment in cash, in lawful money of the United States of America, by certified check or bank draft payable to the order of the Company, equal to the sum of (i) the exercise price for the total number of securities as to which such surrendered Rights are exercised and (ii) an amount equal to any applicable tax and/or charge required to be paid by the holder of such Right Certificate in accordance with the provisions of Section 9(d). Except for those provisions herein that expressly survive the termination of this Agreement, this Agreement shall terminate upon the earlier to occur of (x) the Expiration Date and (y) such time as all outstanding Rights have been exercised, redeemed or exchanged pursuant to the terms of this Agreement.</w:t>
      </w:r>
    </w:p>
    <w:p>
      <w:pPr>
        <w:spacing w:after="0" w:line="164" w:lineRule="exact"/>
        <w:rPr>
          <w:sz w:val="20"/>
          <w:szCs w:val="20"/>
          <w:color w:val="auto"/>
        </w:rPr>
      </w:pPr>
    </w:p>
    <w:p>
      <w:pPr>
        <w:ind w:firstLine="987"/>
        <w:spacing w:after="0" w:line="267" w:lineRule="auto"/>
        <w:tabs>
          <w:tab w:leader="none" w:pos="124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Except as otherwise provided herein, upon receipt of a Right Certificate representing exercisable Rights, with the form of election to purchase properly completed and duly executed, accompanied by payment as described above, the Rights Agent will promptly (i) requisition from any transfer agent of the Preferred Shares (or make available, if the Rights Agent is the transfer agent) certificates representing the number of one one-thousandths of a Preferred Share to be purchased or, in the case of uncertificated shares or other securities, requisition from any transfer agent therefor a notice setting forth such number of shares or other securities to be purchased for which registration will be made on the stock transfer books of the Company (and the Company hereby irrevocably authorizes and directs its transfer agent to comply with all such requests), or, if the Company elects to deposit Preferred Shares issuable upon the exercise of the Rights hereunder with a depositary agent, requisition from the depositary agent depositary receipts representing such number of one one-thousandths of a Preferred Share as are to be purchased (and the Company hereby irrevocably authorizes and directs such depositary agent to comply with all such requests), (ii) after receipt of such certificates (or notices or depositary receipts, as the case may be), cause the same to be delivered to or upon the order of the registered holder of such Right Certificate, registered in such name or names as may be designated by such holder, (iii) when necessary to comply with this Agreement, requisition from the Company or any transfer agent therefor (or make available, if the Rights Agent is the transfer agent) certificates representing the number of equivalent common shares (or, in the case of uncertificated shares, a notice of the number of equivalent common shares for which registration will be made on the stock transfer books of the Company) to be issued in lieu of the issuance of Common Shares in accordance with the provisions of Section 11(a)(iii), (iv) when necessary to comply with this Agreement, after receipt of such certificates or notices, cause the same to be delivered to or upon the order of the registered holder of such Right Certificate, registered in such name or names as may be designated by such holder, (v) when necessary to comply with this Agreement, requisition from the Company the amount of cash to be paid in lieu of the issuance of fractional shares in accordance with the provisions of Section 14 or in lieu of the issuance of Common Shares in accordance with the provisions of Section 11(a)(iii), (vi) when necessary to comply with this Agreement, after receipt, deliver such cash to or upon the order of the registered holder of such Right Certificate, and (vii) when necessary to comply with this Agreement, deliver any due bill or other instrument provided to the Rights Agent by the Company for delivery to the registered holder of such Right Certificate as provided in Section 11(l).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17" w:name="page118"/>
    <w:bookmarkEnd w:id="117"/>
    <w:p>
      <w:pPr>
        <w:ind w:left="-20" w:right="40" w:firstLine="987"/>
        <w:spacing w:after="0" w:line="259" w:lineRule="auto"/>
        <w:tabs>
          <w:tab w:leader="none" w:pos="1216" w:val="left"/>
        </w:tabs>
        <w:numPr>
          <w:ilvl w:val="1"/>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provided herein, in case the registered holder of any Right Certificate properly exercises less than all of the Rights evidenced thereby, the Company will prepare, execute and deliver a new Right Certificate evidencing the Rights remaining unexercised and the Rights Agent will countersign and deliver such new Right Certificate to the registered holder of such Right Certificate or to his, hers or its duly authorized assigns, subject to the provisions of Section 14.</w:t>
      </w:r>
    </w:p>
    <w:p>
      <w:pPr>
        <w:spacing w:after="0" w:line="186" w:lineRule="exact"/>
        <w:rPr>
          <w:rFonts w:ascii="Arial" w:cs="Arial" w:eastAsia="Arial" w:hAnsi="Arial"/>
          <w:sz w:val="18"/>
          <w:szCs w:val="18"/>
          <w:color w:val="auto"/>
        </w:rPr>
      </w:pPr>
    </w:p>
    <w:p>
      <w:pPr>
        <w:ind w:left="-20" w:right="20" w:firstLine="987"/>
        <w:spacing w:after="0" w:line="293" w:lineRule="auto"/>
        <w:tabs>
          <w:tab w:leader="none" w:pos="1226" w:val="left"/>
        </w:tabs>
        <w:numPr>
          <w:ilvl w:val="1"/>
          <w:numId w:val="144"/>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neither the Rights Agent nor the Company will be obligated to undertake any action with respect to any purported transfer, split up, combination or exchange of any Right Certificate pursuant to Section 6 or exercise of a Right Certificate as set forth in this Section 7 unless the registered holder of such Right Certificate has (i) properly completed and duly executed the certificate following the form of assignment or the form of election to purchase, as applicable, set forth on the reverse side of the Right Certificate surrendered for such transfer, split up, combination, exchange or exercise and (ii) provided such additional evidence of the identity of the Beneficial Owner (or former Beneficial Owner) or Affiliates or Associates thereof as the Company or the Rights Agent may reasonably request.</w:t>
      </w:r>
    </w:p>
    <w:p>
      <w:pPr>
        <w:spacing w:after="0" w:line="164" w:lineRule="exact"/>
        <w:rPr>
          <w:rFonts w:ascii="Arial" w:cs="Arial" w:eastAsia="Arial" w:hAnsi="Arial"/>
          <w:sz w:val="16"/>
          <w:szCs w:val="16"/>
          <w:color w:val="auto"/>
        </w:rPr>
      </w:pPr>
    </w:p>
    <w:p>
      <w:pPr>
        <w:ind w:left="-20" w:firstLine="436"/>
        <w:spacing w:after="0" w:line="272" w:lineRule="auto"/>
        <w:tabs>
          <w:tab w:leader="none" w:pos="600"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Cancellation and Destruction of Right Certificates</w:t>
      </w:r>
      <w:r>
        <w:rPr>
          <w:rFonts w:ascii="Arial" w:cs="Arial" w:eastAsia="Arial" w:hAnsi="Arial"/>
          <w:sz w:val="17"/>
          <w:szCs w:val="17"/>
          <w:color w:val="auto"/>
        </w:rPr>
        <w:t>. All Right Certificates surrendered for the purpose of exercise, transfer, split up, combination or exchange will, if surrendered to the Company or to any of its stock transfer agents, be delivered to the Rights Agent for cancellation or in canceled form, or, if surrendered to the Rights Agent, will be canceled by it, and no Right Certificates will be issued in lieu thereof except as expressly permitted by the provisions of this Agreement. The Company will deliver to the Rights Agent for cancellation and retirement, and the Rights Agent will so cancel and retire, any other Right Certificate purchased or acquired by the Company otherwise than upon the exercise thereof. The Rights Agent will deliver all canceled Right Certificates to the Company, or will, at the written request of the Company, destroy such canceled Right Certificates, and in such case will deliver a certificate of destruction thereof to the Company.</w:t>
      </w:r>
    </w:p>
    <w:p>
      <w:pPr>
        <w:spacing w:after="0" w:line="177" w:lineRule="exact"/>
        <w:rPr>
          <w:rFonts w:ascii="Arial" w:cs="Arial" w:eastAsia="Arial" w:hAnsi="Arial"/>
          <w:sz w:val="17"/>
          <w:szCs w:val="17"/>
          <w:color w:val="auto"/>
        </w:rPr>
      </w:pPr>
    </w:p>
    <w:p>
      <w:pPr>
        <w:ind w:left="600" w:hanging="184"/>
        <w:spacing w:after="0"/>
        <w:tabs>
          <w:tab w:leader="none" w:pos="6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Company Covenants Concerning Securities and Rights</w:t>
      </w:r>
      <w:r>
        <w:rPr>
          <w:rFonts w:ascii="Arial" w:cs="Arial" w:eastAsia="Arial" w:hAnsi="Arial"/>
          <w:sz w:val="18"/>
          <w:szCs w:val="18"/>
          <w:color w:val="auto"/>
        </w:rPr>
        <w:t>. The Company covenants and agrees that:</w:t>
      </w:r>
    </w:p>
    <w:p>
      <w:pPr>
        <w:spacing w:after="0" w:line="117" w:lineRule="exact"/>
        <w:rPr>
          <w:rFonts w:ascii="Arial" w:cs="Arial" w:eastAsia="Arial" w:hAnsi="Arial"/>
          <w:sz w:val="18"/>
          <w:szCs w:val="18"/>
          <w:color w:val="auto"/>
        </w:rPr>
      </w:pPr>
    </w:p>
    <w:p>
      <w:pPr>
        <w:ind w:left="-20" w:right="260" w:firstLine="987"/>
        <w:spacing w:after="0" w:line="308" w:lineRule="auto"/>
        <w:tabs>
          <w:tab w:leader="none" w:pos="1216" w:val="left"/>
        </w:tabs>
        <w:numPr>
          <w:ilvl w:val="1"/>
          <w:numId w:val="145"/>
        </w:numPr>
        <w:rPr>
          <w:rFonts w:ascii="Arial" w:cs="Arial" w:eastAsia="Arial" w:hAnsi="Arial"/>
          <w:sz w:val="17"/>
          <w:szCs w:val="17"/>
          <w:color w:val="auto"/>
        </w:rPr>
      </w:pPr>
      <w:r>
        <w:rPr>
          <w:rFonts w:ascii="Arial" w:cs="Arial" w:eastAsia="Arial" w:hAnsi="Arial"/>
          <w:sz w:val="17"/>
          <w:szCs w:val="17"/>
          <w:color w:val="auto"/>
        </w:rPr>
        <w:t>It will cause to be reserved and kept available out of its authorized and unissued Preferred Shares or any Preferred Shares held in its treasury, a number of Preferred Shares that will be sufficient to permit the exercise pursuant to Section 7 of all outstanding Rights.</w:t>
      </w:r>
    </w:p>
    <w:p>
      <w:pPr>
        <w:spacing w:after="0" w:line="146" w:lineRule="exact"/>
        <w:rPr>
          <w:rFonts w:ascii="Arial" w:cs="Arial" w:eastAsia="Arial" w:hAnsi="Arial"/>
          <w:sz w:val="17"/>
          <w:szCs w:val="17"/>
          <w:color w:val="auto"/>
        </w:rPr>
      </w:pPr>
    </w:p>
    <w:p>
      <w:pPr>
        <w:jc w:val="both"/>
        <w:ind w:left="-20" w:firstLine="987"/>
        <w:spacing w:after="0" w:line="259" w:lineRule="auto"/>
        <w:tabs>
          <w:tab w:leader="none" w:pos="12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So long as the Preferred Shares (and, following the occurrence of a Triggering Event, Common Shares and/or other securities) issuable upon the exercise of the Rights may be listed on a national securities exchange or quoted on a quotation system, it will endeavor to cause, from and after such time as the Rights become exercisable, all securities reserved for issuance upon the exercise of Rights to be listed on such exchange or quoted on such system, upon official notice of issuance upon such exercise.</w:t>
      </w:r>
    </w:p>
    <w:p>
      <w:pPr>
        <w:spacing w:after="0" w:line="186" w:lineRule="exact"/>
        <w:rPr>
          <w:rFonts w:ascii="Arial" w:cs="Arial" w:eastAsia="Arial" w:hAnsi="Arial"/>
          <w:sz w:val="18"/>
          <w:szCs w:val="18"/>
          <w:color w:val="auto"/>
        </w:rPr>
      </w:pPr>
    </w:p>
    <w:p>
      <w:pPr>
        <w:ind w:left="-20" w:firstLine="987"/>
        <w:spacing w:after="0" w:line="259" w:lineRule="auto"/>
        <w:tabs>
          <w:tab w:leader="none" w:pos="121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It will take all such action as may be necessary to ensure that all Preferred Shares (and, following the occurrence of a Triggering Event, Common Shares and/or other securities) delivered (or evidenced by registration on the stock transfer books of the Company) upon the exercise of Rights, at the time of delivery of the certificates for (or registration of) such securities, will be (subject to payment of the Purchase Price) duly authorized, validly issued, fully paid and non-assessable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74" w:right="479" w:bottom="1440" w:gutter="0" w:footer="0" w:header="0"/>
        </w:sectPr>
      </w:pPr>
    </w:p>
    <w:bookmarkStart w:id="118" w:name="page119"/>
    <w:bookmarkEnd w:id="118"/>
    <w:p>
      <w:pPr>
        <w:ind w:left="-20" w:right="20" w:firstLine="987"/>
        <w:spacing w:after="0" w:line="270" w:lineRule="auto"/>
        <w:tabs>
          <w:tab w:leader="none" w:pos="1226" w:val="left"/>
        </w:tabs>
        <w:numPr>
          <w:ilvl w:val="0"/>
          <w:numId w:val="1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 will pay when due and payable any and all transfer taxes and/or charges that may be payable in respect of the issuance or delivery of the Right Certificates and of any certificates representing securities issued upon the exercise of Rights (or, if such securities are uncertificated, the registration of such securities on the stock transfer books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will not be required to pay any transfer tax or charge which may be payable in respect of any transfer or delivery of Right Certificates to a person other than, or the issuance or delivery of certificates or depositary receipts representing (or the registration of) securities issued upon the exercise of Rights in a name other than that of, the registered holder of the Right Certificate evidencing Rights surrendered for exercise, or to issue or deliver any certificates, depositary receipts or notices representing securities issued upon the exercise of any Rights until any such tax or charge has been paid (any such tax or charge being payable by the holder of such Right Certificate at the time of surrender) or until it has been established to the Company’s and the Rights Agent’s reasonable satisfaction that no such tax or charge is due.</w:t>
      </w:r>
    </w:p>
    <w:p>
      <w:pPr>
        <w:spacing w:after="0" w:line="180" w:lineRule="exact"/>
        <w:rPr>
          <w:rFonts w:ascii="Arial" w:cs="Arial" w:eastAsia="Arial" w:hAnsi="Arial"/>
          <w:sz w:val="17"/>
          <w:szCs w:val="17"/>
          <w:color w:val="auto"/>
        </w:rPr>
      </w:pPr>
    </w:p>
    <w:p>
      <w:pPr>
        <w:ind w:left="-20" w:firstLine="987"/>
        <w:spacing w:after="0" w:line="285" w:lineRule="auto"/>
        <w:tabs>
          <w:tab w:leader="none" w:pos="121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If the Company, based on the advice of its counsel, determines that a registration statement should be filed under the Securities Act with respect to the securities issuable upon exercise of the Rights, the Company will use its best efforts (i) to file on an appropriate form, as soon as practicable following the later of the Share Acquisition Date and the Distribution Date, a registration statement under the Securities Act with respect to the securities issuable upon exercise of the Rights, (ii) to cause such registration statement to become effective as soon as practicable after such filing, and (iii) to cause such registration statement to remain effective (with a prospectus at all times meeting the requirements of the Securities Act) until the earlier of (A) the date as of which the Rights are no longer exercisable for such securities and (B) the Expiration Date. The Company will also take such action as may be appropriate under, or to ensure compliance with, the applicable state securities or “blue sky” laws in connection with the exercisability of the Rights. The Company may temporarily suspend, for a period of time after the date set forth in clause (i) of the first sentence of this Section 9(e), the exercisability of the Rights in order to prepare and file such registration statement and to permit it to become effective. Upon any such suspension, the Company will issue a public announcement stating that the exercisability of the Rights has been temporarily suspended, as well as a public announcement at such time as the suspension is no longer in effect, in each case with prompt written notice to the Rights Agent. In addition, if the Company determines that a registration statement should be filed under the Securities Act or any state securities laws following the Distribution Date, the Company may temporarily suspend the exercisability of the Rights in each relevant jurisdiction until such time as a registration statement has been declared effective and, upon any such suspension, the Company will issue a public announcement stating that the exercisability of the Rights has been temporarily suspended, as well as a public announcement at such time as the suspension is no longer in effect, in each case with prompt written notice to the Rights Agent. Notwithstanding anything in this Agreement to the contrary, the Rights will not be exercisable in any jurisdiction if the requisite registration or qualification in such jurisdiction has not been effected or the exercise of the Rights is not permitted under applicable law.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4" w:right="479" w:bottom="1440" w:gutter="0" w:footer="0" w:header="0"/>
        </w:sectPr>
      </w:pPr>
    </w:p>
    <w:bookmarkStart w:id="119" w:name="page120"/>
    <w:bookmarkEnd w:id="119"/>
    <w:p>
      <w:pPr>
        <w:ind w:right="100" w:firstLine="987"/>
        <w:spacing w:after="0" w:line="263" w:lineRule="auto"/>
        <w:tabs>
          <w:tab w:leader="none" w:pos="1216" w:val="left"/>
        </w:tabs>
        <w:numPr>
          <w:ilvl w:val="1"/>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Company is obligated to issue other securities of the Company and/or pay cash pursuant to Sections 11, 13, 14, 23 or 24, it will make all arrangements necessary so that such other securities and/or cash are available for distribution by the Rights Agent, if and when appropriate.</w:t>
      </w:r>
    </w:p>
    <w:p>
      <w:pPr>
        <w:spacing w:after="0" w:line="183" w:lineRule="exact"/>
        <w:rPr>
          <w:rFonts w:ascii="Arial" w:cs="Arial" w:eastAsia="Arial" w:hAnsi="Arial"/>
          <w:sz w:val="18"/>
          <w:szCs w:val="18"/>
          <w:color w:val="auto"/>
        </w:rPr>
      </w:pPr>
    </w:p>
    <w:p>
      <w:pPr>
        <w:ind w:right="40" w:firstLine="436"/>
        <w:spacing w:after="0" w:line="269" w:lineRule="auto"/>
        <w:tabs>
          <w:tab w:leader="none" w:pos="710"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Record Date</w:t>
      </w:r>
      <w:r>
        <w:rPr>
          <w:rFonts w:ascii="Arial" w:cs="Arial" w:eastAsia="Arial" w:hAnsi="Arial"/>
          <w:sz w:val="17"/>
          <w:szCs w:val="17"/>
          <w:color w:val="auto"/>
        </w:rPr>
        <w:t xml:space="preserve">. Each Person in whose name any certificate representing Preferred Shares (or Common Shares and/or other securities, as the case may be) is issued (or in which such securities are registered upon the stock transfer books of the Company) upon the exercise of Rights will for all purposes be deemed to have become the holder of record of the Preferred Shares (or Common Shares and/or other securities, as the case may be) represented thereby on, and such certificate (or registration) will be dated, the date upon which the Right Certificate evidencing such Rights was duly surrendered and payment of the Purchase Price and all applicable transfer taxes and/or charges was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date of such surrender and payment is a date upon which the transfer books of the Company for the Preferred Shares (or Common Shares and/or other securities, as the case may be) are closed, such Person will be deemed to have become the record holder of such securities on, and such certificate (or registration) will be dated, the next succeeding Business Day on which the transfer books of the Company for the Preferred Shares (or Common Shares and/or other securities, as the case may be) are open. Prior to the exercise of the Rights evidenced thereby, the holder of a Right Certificate will not be entitled to any rights of a holder of any security for which the Rights are or may become exercisable, including, without limitation, the right to vote, to receive dividends or other distributions, or to exercise any preemptive rights, and will not be entitled to receive any notice of any proceedings of the Company, except as provided herein.</w:t>
      </w:r>
    </w:p>
    <w:p>
      <w:pPr>
        <w:spacing w:after="0" w:line="178" w:lineRule="exact"/>
        <w:rPr>
          <w:rFonts w:ascii="Arial" w:cs="Arial" w:eastAsia="Arial" w:hAnsi="Arial"/>
          <w:sz w:val="17"/>
          <w:szCs w:val="17"/>
          <w:color w:val="auto"/>
        </w:rPr>
      </w:pPr>
    </w:p>
    <w:p>
      <w:pPr>
        <w:ind w:right="300" w:firstLine="436"/>
        <w:spacing w:after="0" w:line="263" w:lineRule="auto"/>
        <w:tabs>
          <w:tab w:leader="none" w:pos="703"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Adjustment of Purchase Price, Number and Kind of Securities or Number of Rights</w:t>
      </w:r>
      <w:r>
        <w:rPr>
          <w:rFonts w:ascii="Arial" w:cs="Arial" w:eastAsia="Arial" w:hAnsi="Arial"/>
          <w:sz w:val="18"/>
          <w:szCs w:val="18"/>
          <w:color w:val="auto"/>
        </w:rPr>
        <w:t>. The Purchase Price, the number and kind of securities issuable upon the exercise of each Right and the number of Rights outstanding are subject to adjustment from time to time as provided in this Section 11.</w:t>
      </w:r>
    </w:p>
    <w:p>
      <w:pPr>
        <w:spacing w:after="0" w:line="183" w:lineRule="exact"/>
        <w:rPr>
          <w:rFonts w:ascii="Arial" w:cs="Arial" w:eastAsia="Arial" w:hAnsi="Arial"/>
          <w:sz w:val="18"/>
          <w:szCs w:val="18"/>
          <w:color w:val="auto"/>
        </w:rPr>
      </w:pPr>
    </w:p>
    <w:p>
      <w:pPr>
        <w:ind w:firstLine="987"/>
        <w:spacing w:after="0" w:line="269" w:lineRule="auto"/>
        <w:tabs>
          <w:tab w:leader="none" w:pos="1236" w:val="left"/>
        </w:tabs>
        <w:numPr>
          <w:ilvl w:val="1"/>
          <w:numId w:val="148"/>
        </w:numPr>
        <w:rPr>
          <w:rFonts w:ascii="Arial" w:cs="Arial" w:eastAsia="Arial" w:hAnsi="Arial"/>
          <w:sz w:val="17"/>
          <w:szCs w:val="17"/>
          <w:color w:val="auto"/>
        </w:rPr>
      </w:pPr>
      <w:r>
        <w:rPr>
          <w:rFonts w:ascii="Arial" w:cs="Arial" w:eastAsia="Arial" w:hAnsi="Arial"/>
          <w:sz w:val="17"/>
          <w:szCs w:val="17"/>
          <w:color w:val="auto"/>
        </w:rPr>
        <w:t xml:space="preserve">(i) In the event that the Company at any time after the Record Date (A) declares a dividend on the Preferred Shares payable in Preferred Shares, (B) subdivides the outstanding Preferred Shares, (C) combines the outstanding Preferred Shares into a smaller number of Preferred Shares, or (D) issues any shares of its capital stock in a reclassification of the Preferred Shares (including any such reclassification in connection with a consolidation or merger in which the Company is the continuing or surviving corporation), except as otherwise provided in this Section 11(a), the Purchase Price in effect at the time of the record date for such dividend or of the effective date of such subdivision, combination or reclassification and/or the number and/or kind of shares of capital stock issuable on such date upon the exercise of a Right, will be proportionately adjusted so that the holder of any Right exercised after such time is entitled to receive upon payment of the Purchase Price then in effect the aggregate number and kind of shares of capital stock which, if such Right had been exercised immediately prior to such date and at a time when the transfer books of the Company for the Preferred Shares were open, the holder of such Right would have owned upon such exercise (and, in the case of a reclassification, would have retained after giving effect to such reclassification) and would have been entitled to receive by virtue of such dividend, subdivision, combination or reclassification;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consideration to be paid upon the exercise of one Right be less than the aggregate par value of the shares of capital stock issuable upon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20" w:name="page121"/>
    <w:bookmarkEnd w:id="120"/>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one Right. If an event occurs which would require an adjustment under both this Section 11(a)(i) and Section 11(a)(ii) or Section 13, the adjustment provided for in this Section 11(a)(i) will be in addition to, and will be made prior to, any adjustment required pursuant to Section 11(a)(ii) or Section 13.</w:t>
      </w:r>
    </w:p>
    <w:p>
      <w:pPr>
        <w:spacing w:after="0" w:line="184" w:lineRule="exact"/>
        <w:rPr>
          <w:sz w:val="20"/>
          <w:szCs w:val="20"/>
          <w:color w:val="auto"/>
        </w:rPr>
      </w:pPr>
    </w:p>
    <w:p>
      <w:pPr>
        <w:ind w:firstLine="1428"/>
        <w:spacing w:after="0" w:line="284" w:lineRule="auto"/>
        <w:tabs>
          <w:tab w:leader="none" w:pos="169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Subject to the provisions of Section 23 and Section 24, if any Person becomes an Acquiring Person, unless the event causing such Person to become an Acquiring Person is a transaction set forth in Section 13(a) hereof, proper provision will be made so that each holder of a Right, except as provided below, will thereafter have the right to receive, upon the exercise thereof in accordance with the terms of this Agreement at an exercise price per Right equal to the product of the then-current Purchase Price multiplied by the number of one one-thousandths of a Preferred Share for which a Right was exercisable immediately prior to the date of the occurrence of such Flip-in Event (or, if any other Flip-in Event shall have previously occurred, the product of the then-current Purchase Price multiplied by the number of one one-thousandths of a Preferred Share for which a Right was exercisable immediately prior to the date of the first occurrence of a Flip-in Event), in lieu of Preferred Shares, such number of Common Shares as equals the result obtained by (x) multiplying the then-current Purchase Price by the number of one one-thousandths of a Preferred Share for which a Right was exercisable immediately prior to the date of the occurrence of such Flip-in Event (or, if any other Flip-in Event shall have previously occurred, multiplying the then-current Purchase Price by the number of one one-thousandths of a Preferred Share for which a Right was exercisable immediately prior to the date of the first occurrence of a Flip-in Event), and dividing that product by (y) 50% of the current per share market price of the Common Shares (as determined pursuant to Section 11(d)) on the date of the occurrence of such Flip-in Event. Notwithstanding anything in this Agreement to the contrary, from and after the first occurrence of a Flip-in Event, any Rights that are Beneficially Owned by (A) any Acquiring Person (or any Affiliate or Associate of any Acquiring Person), (B) a transferee of any Acquiring Person (or any such Affiliate or Associate) who becomes a transferee after the occurrence of a Flip-in Event, or (C) a transferee of any Acquiring Person (or any such Affiliate or Associate) who became a transferee prior to or concurrently with the occurrence of a Flip-in Event pursuant to either (1) a transfer from an Acquiring Person to holders of its equity securities or to any Person with whom it has any continuing agreement, arrangement or understanding regarding the transferred Rights or (2) a transfer which the Board has determined is part of a plan, an arrangement or understanding which has the purpose or effect of avoiding the provisions of this Section 11(a)(ii), and any subsequent transferees of any of such Persons, will be null and void without any further action and any holder of such Rights will thereafter have no rights whatsoever with respect to such Rights under any provision of this Agreement. The Company will use all reasonable efforts to ensure that the provisions of this Section 11(a)(ii) are complied with, but will have no liability to any holder of Right Certificates or any other Person as a result of its failure to make any determinations with respect to an Acquiring Person or its Affiliates, Associates or transferees hereunder. Upon the occurrence of a Flip-in Event, no Right Certificate that represents Rights that are or have become null and void pursuant to the provisions of this Section 11(a)(ii) will thereafter be issued pursuant to Section 3 or Section 6, and any Right Certificate delivered to the Rights Agent that represents Rights that are or have become null and void pursuant to the provisions of this Section 11(a)(ii) will be canceled. Upon the occurrence of a Flip-over Event, any Rights that shall not have been previously exercised pursuant to this Section 11(a)(ii) shall thereafter be exercisable only pursuant to Section 13 and not pursuant to this Section 11(a)(ii).</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121" w:name="page122"/>
    <w:bookmarkEnd w:id="121"/>
    <w:p>
      <w:pPr>
        <w:ind w:left="4" w:firstLine="1428"/>
        <w:spacing w:after="0" w:line="284" w:lineRule="auto"/>
        <w:tabs>
          <w:tab w:leader="none" w:pos="1751" w:val="left"/>
        </w:tabs>
        <w:numPr>
          <w:ilvl w:val="2"/>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occurrence of a Flip-in Event, if there are not sufficient Common Shares authorized but unissued or issued but not outstanding to permit the issuance of all Common Shares issuable in accordance with Section 11(a)(ii) upon the exercise of a Right, the Board will use its best efforts to promptly authorize and, subject to the provisions of Section 9(e), make available for issuance additional Common Shares or other equity securities of the Company having equivalent voting rights and an equivalent value (as determined in good faith by the Board) to the Common Shares (for purposes of this Section 11(a)(iii), “</w:t>
      </w:r>
      <w:r>
        <w:rPr>
          <w:rFonts w:ascii="Arial" w:cs="Arial" w:eastAsia="Arial" w:hAnsi="Arial"/>
          <w:sz w:val="16"/>
          <w:szCs w:val="16"/>
          <w:b w:val="1"/>
          <w:bCs w:val="1"/>
          <w:i w:val="1"/>
          <w:iCs w:val="1"/>
          <w:color w:val="auto"/>
        </w:rPr>
        <w:t>equivalent common shares</w:t>
      </w:r>
      <w:r>
        <w:rPr>
          <w:rFonts w:ascii="Arial" w:cs="Arial" w:eastAsia="Arial" w:hAnsi="Arial"/>
          <w:sz w:val="16"/>
          <w:szCs w:val="16"/>
          <w:color w:val="auto"/>
        </w:rPr>
        <w:t>”). In the event that equivalent common shares are so authorized, upon the exercise of a Right in accordance with the provisions of Section 7, the registered holder will be entitled to receive (A) Common Shares, to the extent any are available, and (B) a number of equivalent common shares, which the Board has determined in good faith to have a value equivalent to the excess of</w:t>
      </w:r>
    </w:p>
    <w:p>
      <w:pPr>
        <w:spacing w:after="0" w:line="2" w:lineRule="exact"/>
        <w:rPr>
          <w:rFonts w:ascii="Arial" w:cs="Arial" w:eastAsia="Arial" w:hAnsi="Arial"/>
          <w:sz w:val="16"/>
          <w:szCs w:val="16"/>
          <w:color w:val="auto"/>
        </w:rPr>
      </w:pPr>
    </w:p>
    <w:p>
      <w:pPr>
        <w:ind w:left="4" w:right="40" w:hanging="4"/>
        <w:spacing w:after="0" w:line="284" w:lineRule="auto"/>
        <w:tabs>
          <w:tab w:leader="none" w:pos="25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aggregate current per share market value on the date of the occurrence of the most recent Flip-in Event of all Common Shares issuable in accordance with Section 11(a)(ii) upon the exercise of a Right (the “</w:t>
      </w:r>
      <w:r>
        <w:rPr>
          <w:rFonts w:ascii="Arial" w:cs="Arial" w:eastAsia="Arial" w:hAnsi="Arial"/>
          <w:sz w:val="16"/>
          <w:szCs w:val="16"/>
          <w:b w:val="1"/>
          <w:bCs w:val="1"/>
          <w:i w:val="1"/>
          <w:iCs w:val="1"/>
          <w:color w:val="auto"/>
        </w:rPr>
        <w:t>Exercise Value</w:t>
      </w:r>
      <w:r>
        <w:rPr>
          <w:rFonts w:ascii="Arial" w:cs="Arial" w:eastAsia="Arial" w:hAnsi="Arial"/>
          <w:sz w:val="16"/>
          <w:szCs w:val="16"/>
          <w:color w:val="auto"/>
        </w:rPr>
        <w:t xml:space="preserve">”) over (y) the aggregate current per share market value on the date of the occurrence of the most recent Flip-in Event of any Common Shares available for issuance upon the exercise of such Right;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after 90 calendar days after the latest of the Share Acquisition Date, the Distribution Date and the date of the occurrence of the most recent Flip-in Event, there are not sufficient Common Shares and/or equivalent common shares available for issuance upon the exercise of a Right, then the Company will be obligated to deliver, upon the surrender of such Right and without requiring payment of the Purchase Price, Common Shares (to the extent available), equivalent common shares (to the extent available) and then cash (to the extent permitted by applicable law and any agreements or instruments to which the Company is a party in effect immediately prior to the Share Acquisition Date), which securities and cash have an aggregate value equal to the excess of (1) the Exercise Value over (2) the product of the then-current Purchase Price multiplied by the number of one one-thousandths of a Preferred Share for which a Right was exercisable immediately prior to the date of the occurrence of the most recent Flip-in Event (or, if any other Flip-in Event shall have previously occurred, the product of the then-current Purchase Price multiplied by the number of one one-thousandths of a Preferred Share for which a Right would have been exercisable immediately prior to the date of the occurrence of such Flip-in Event if no other Flip-in Event had previously occurred). To the extent that any legal or contractual restrictions prevent the Company from paying the full amount of cash payable in accordance with the foregoing sentence, the Company will pay to holders of the Rights as to which such payments are being made all amounts which are not then restricted on a pro rata basis and will continue to make payments on a pro rata basis as promptly as funds become available until the full amount due to each such holder of Rights has been paid.</w:t>
      </w:r>
    </w:p>
    <w:p>
      <w:pPr>
        <w:spacing w:after="0" w:line="174" w:lineRule="exact"/>
        <w:rPr>
          <w:rFonts w:ascii="Arial" w:cs="Arial" w:eastAsia="Arial" w:hAnsi="Arial"/>
          <w:sz w:val="16"/>
          <w:szCs w:val="16"/>
          <w:color w:val="auto"/>
        </w:rPr>
      </w:pPr>
    </w:p>
    <w:p>
      <w:pPr>
        <w:ind w:left="4" w:firstLine="987"/>
        <w:spacing w:after="0" w:line="254" w:lineRule="auto"/>
        <w:tabs>
          <w:tab w:leader="none" w:pos="125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 the event that the Company fixes a record date for the issuance of rights, options or warrants to all holders of Preferred Shares entitling them (for a period expiring within 45 calendar days after such record date) to subscribe for or purchase Preferred Shares (or securities having equivalent rights, privileges and preferences as the Preferred Shares (for purposes of this Section 11(b), “</w:t>
      </w:r>
      <w:r>
        <w:rPr>
          <w:rFonts w:ascii="Arial" w:cs="Arial" w:eastAsia="Arial" w:hAnsi="Arial"/>
          <w:sz w:val="18"/>
          <w:szCs w:val="18"/>
          <w:b w:val="1"/>
          <w:bCs w:val="1"/>
          <w:i w:val="1"/>
          <w:iCs w:val="1"/>
          <w:color w:val="auto"/>
        </w:rPr>
        <w:t>equivalent preferred shares</w:t>
      </w:r>
      <w:r>
        <w:rPr>
          <w:rFonts w:ascii="Arial" w:cs="Arial" w:eastAsia="Arial" w:hAnsi="Arial"/>
          <w:sz w:val="18"/>
          <w:szCs w:val="18"/>
          <w:color w:val="auto"/>
        </w:rPr>
        <w:t>”)) or securities convertible into Preferred Shares or equivalent preferred shares at a price per Preferred Share or equivalent preferred share (or having a conversion price per share, if a security convertible into Preferred Shares or equivalent preferred shares) less than the current per share market price of the Preferred Shares (as determined pursuant to Section 11(d)) on such record date, the Purchase Price to be in effect after such record date will be determined by multiplying the Purchase Price</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122" w:name="page123"/>
    <w:bookmarkEnd w:id="12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effect immediately prior to such record date by a fraction, the numerator of which is the number of Preferred Shares outstanding on such record date plus the number of Preferred Shares which the aggregate offering price of the total number of Preferred Shares and/or equivalent preferred shares so to be offered (and/or the aggregate initial conversion price of the convertible securities so to be offered) would purchase at such current per share market price, and the denominator of which is the number of Preferred Shares outstanding on such record date plus the number of additional Preferred Shares and/or equivalent preferred shares to be offered for subscription or purchase (or into which the convertible securities so to be offered are initially convertible);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consideration to be paid upon the exercise of one Right be less than the aggregate par value of the shares of capital stock issuable upon the exercise of one Right. In case such subscription price may be paid in a consideration part or all of which is in a form other than cash, the value of such consideration will be as determined in good faith by the Board, which determination will be described in a written statement filed with the Rights Agent. Preferred Shares owned by or held for the account of the Company will not be deemed outstanding for the purposes of any such computation. Such adjustment will be made successively whenever such a record date is fixed, and in the event that such rights, options or warrants are not so issued, the Purchase Price will be adjusted to be the Purchase Price which would then be in effect if such record date had not been fixed.</w:t>
      </w:r>
    </w:p>
    <w:p>
      <w:pPr>
        <w:spacing w:after="0" w:line="179" w:lineRule="exact"/>
        <w:rPr>
          <w:sz w:val="20"/>
          <w:szCs w:val="20"/>
          <w:color w:val="auto"/>
        </w:rPr>
      </w:pPr>
    </w:p>
    <w:p>
      <w:pPr>
        <w:ind w:right="20" w:firstLine="987"/>
        <w:spacing w:after="0" w:line="286" w:lineRule="auto"/>
        <w:tabs>
          <w:tab w:leader="none" w:pos="123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In the event that the Company fixes a record date for the making of a distribution to all holders of Preferred Shares (including any such distribution made in connection with a consolidation or merger in which the Company is the continuing or surviving corporation) of evidences of indebtedness, cash (other than a regular periodic cash dividend), assets, stock (other than a dividend payable in Preferred Shares) or subscription rights, options or warrants (excluding those referred to in Section 11(b)), the Purchase Price to be in effect after such record date will be determined by multiplying the Purchase Price in effect immediately prior to such record date by a fraction, the numerator of which is the current per share market price of the Preferred Shares (as determined pursuant to Section 11(d)) on such record date or, if earlier, the date on which the Preferred Shares begin to trade on an ex-dividend or when issued basis for such distribution, less the fair market value (as determined in good faith by the Board, which determination will be described in a written statement filed with the Rights Agent) of the portion of the evidences of indebtedness, cash, assets or stock so to be distributed or of such subscription rights, options or warrants applicable to one Preferred Share, and the denominator of which is such current per share market price of the Preferred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consideration to be paid upon the exercise of one Right be less than the aggregate par value of the shares of capital stock issuable upon the exercise of one Right. Such adjustments will be made successively whenever such a record date is fixed; and in the event that such distribution is not so made, the Purchase Price will again be adjusted to be the Purchase Price which would then be in effect if such record date had not been fixed.</w:t>
      </w:r>
    </w:p>
    <w:p>
      <w:pPr>
        <w:spacing w:after="0" w:line="173" w:lineRule="exact"/>
        <w:rPr>
          <w:rFonts w:ascii="Arial" w:cs="Arial" w:eastAsia="Arial" w:hAnsi="Arial"/>
          <w:sz w:val="16"/>
          <w:szCs w:val="16"/>
          <w:color w:val="auto"/>
        </w:rPr>
      </w:pPr>
    </w:p>
    <w:p>
      <w:pPr>
        <w:ind w:right="20" w:firstLine="987"/>
        <w:spacing w:after="0" w:line="257" w:lineRule="auto"/>
        <w:tabs>
          <w:tab w:leader="none" w:pos="12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For the purposes of any computation hereunder, the “</w:t>
      </w:r>
      <w:r>
        <w:rPr>
          <w:rFonts w:ascii="Arial" w:cs="Arial" w:eastAsia="Arial" w:hAnsi="Arial"/>
          <w:sz w:val="18"/>
          <w:szCs w:val="18"/>
          <w:b w:val="1"/>
          <w:bCs w:val="1"/>
          <w:i w:val="1"/>
          <w:iCs w:val="1"/>
          <w:color w:val="auto"/>
        </w:rPr>
        <w:t>current per share market price</w:t>
      </w:r>
      <w:r>
        <w:rPr>
          <w:rFonts w:ascii="Arial" w:cs="Arial" w:eastAsia="Arial" w:hAnsi="Arial"/>
          <w:sz w:val="18"/>
          <w:szCs w:val="18"/>
          <w:color w:val="auto"/>
        </w:rPr>
        <w:t xml:space="preserve">” of Common Shares on any date will be deemed to be the average of the daily closing prices per share of such Common Shares for the 30 consecutive Trading Days immediately prior to but not including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current per share market price of the Common Shares is determined during a period following the announcement by the issuer of such Common Shares of (A) a dividend or distribution on such Common Shares payable in such Common Shares or securities convertible into such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123" w:name="page124"/>
    <w:bookmarkEnd w:id="12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Shares (other than the Rights) or (B) any subdivision, combination or reclassification of such Common Shares, and prior to the expiration of 30 Trading Days after but not including the ex-dividend date for such dividend or distribution, or the record date for such subdivision, combination or reclassification, then, and in each such case, the current per share market price will be appropriately adjusted to take into account ex-dividend trading or to reflect the current per share market price per equivalent common share. The closing price for each day will be the last sale price, regular way, or, in case no such sale takes place on such day, the average of the closing bid and asked prices, regular way, in either case as reported in the principal consolidated quotation system with respect to securities listed or admitted to trading on the New York Stock Exchange or, if the Common Shares are not listed or admitted to trading on the New York Stock Exchange, as reported in the principal consolidated quotation system with respect to securities listed on the principal national securities exchange on which the Common Shares are listed or admitted to trading or, if the Common Shares are not listed or admitted to trading on any national securities exchange, the last quoted price or, if not so quoted, the average of the high bid and low asked prices in the over-the-counter market, as reported by such market then in use, or, if on any such date the Common Shares are not quoted by any such organization, the average of the closing bid and asked prices as furnished by a professional market maker making a market in the Common Shares selected by the Board. If the Common Shares are not publicly held or not so listed or traded, or are not the subject of available bid and asked quotes, “current per share market price” will mean the fair value per share as determined in good faith by the Board, which determination will be described in a written statement filed with the Rights Agent.</w:t>
      </w:r>
    </w:p>
    <w:p>
      <w:pPr>
        <w:spacing w:after="0" w:line="184" w:lineRule="exact"/>
        <w:rPr>
          <w:sz w:val="20"/>
          <w:szCs w:val="20"/>
          <w:color w:val="auto"/>
        </w:rPr>
      </w:pPr>
    </w:p>
    <w:p>
      <w:pPr>
        <w:ind w:right="40" w:firstLine="1428"/>
        <w:spacing w:after="0" w:line="269" w:lineRule="auto"/>
        <w:tabs>
          <w:tab w:leader="none" w:pos="1697" w:val="left"/>
        </w:tabs>
        <w:numPr>
          <w:ilvl w:val="1"/>
          <w:numId w:val="153"/>
        </w:numPr>
        <w:rPr>
          <w:rFonts w:ascii="Arial" w:cs="Arial" w:eastAsia="Arial" w:hAnsi="Arial"/>
          <w:sz w:val="17"/>
          <w:szCs w:val="17"/>
          <w:color w:val="auto"/>
        </w:rPr>
      </w:pPr>
      <w:r>
        <w:rPr>
          <w:rFonts w:ascii="Arial" w:cs="Arial" w:eastAsia="Arial" w:hAnsi="Arial"/>
          <w:sz w:val="17"/>
          <w:szCs w:val="17"/>
          <w:color w:val="auto"/>
        </w:rPr>
        <w:t>For the purposes of any computation hereunder, the “</w:t>
      </w:r>
      <w:r>
        <w:rPr>
          <w:rFonts w:ascii="Arial" w:cs="Arial" w:eastAsia="Arial" w:hAnsi="Arial"/>
          <w:sz w:val="17"/>
          <w:szCs w:val="17"/>
          <w:b w:val="1"/>
          <w:bCs w:val="1"/>
          <w:i w:val="1"/>
          <w:iCs w:val="1"/>
          <w:color w:val="auto"/>
        </w:rPr>
        <w:t>current per share market price</w:t>
      </w:r>
      <w:r>
        <w:rPr>
          <w:rFonts w:ascii="Arial" w:cs="Arial" w:eastAsia="Arial" w:hAnsi="Arial"/>
          <w:sz w:val="17"/>
          <w:szCs w:val="17"/>
          <w:color w:val="auto"/>
        </w:rPr>
        <w:t>” of the Preferred Shares will be determined in the same manner as set forth above for the Common Shares in Section 11(d)(i), other than the last sentence thereof. If the current per share market price of the Preferred Shares cannot be determined in the manner provided above, the “current per share market price” of the Preferred Shares will be conclusively deemed to be an amount equal to the current per share market price of the Common Shares multiplied by 1,000 (as such number may be appropriately adjusted to reflect events, such as stock splits, stock dividends, recapitalizations or similar transactions relating to the Common Shares occurring after the date of this Agreement). If neither the Common Shares nor the Preferred Shares are publicly held or so listed or traded, or the subject of available bid and asked quotes, “current per share market price” of the Preferred Shares will mean the fair value per share as determined in good faith by the Board, which determination will be described in a written statement filed with the Rights Agent. For all purposes of this Agreement, the current per share market price of one one-thousandth of a Preferred Share will be equal to the current per share market price of one Preferred Share divided by 1,000.</w:t>
      </w:r>
    </w:p>
    <w:p>
      <w:pPr>
        <w:spacing w:after="0" w:line="185" w:lineRule="exact"/>
        <w:rPr>
          <w:rFonts w:ascii="Arial" w:cs="Arial" w:eastAsia="Arial" w:hAnsi="Arial"/>
          <w:sz w:val="17"/>
          <w:szCs w:val="17"/>
          <w:color w:val="auto"/>
        </w:rPr>
      </w:pPr>
    </w:p>
    <w:p>
      <w:pPr>
        <w:ind w:right="40" w:firstLine="987"/>
        <w:spacing w:after="0" w:line="273" w:lineRule="auto"/>
        <w:tabs>
          <w:tab w:leader="none" w:pos="1236"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Except as set forth below, no adjustment in the Purchase Price will be required unless such adjustment would require an increase or a decrease of at least 1% in such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adjustments which by reason of this Section 11(e) are not required to be made will be carried forward and taken into account in any subsequent adjustment. All calculations under this Section 11 will be made to the nearest cent or to the nearest one one-millionth of a Preferred Share or one ten-thousandth of a Common Share or other security, as the case may be. Notwithstanding the first sentence of this Section 11(e), any adjustment required by this Section 11 will be made no later than the earlier of (i) three years from the date of the transaction which requires such adjustment and (ii) the Expiration Date.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24" w:name="page125"/>
    <w:bookmarkEnd w:id="124"/>
    <w:p>
      <w:pPr>
        <w:ind w:right="40" w:firstLine="987"/>
        <w:spacing w:after="0" w:line="273" w:lineRule="auto"/>
        <w:tabs>
          <w:tab w:leader="none" w:pos="1216" w:val="left"/>
        </w:tabs>
        <w:numPr>
          <w:ilvl w:val="0"/>
          <w:numId w:val="1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as a result of an adjustment made pursuant to Section 11(a), the holder of any Right thereafter exercised becomes entitled to receive any securities of the Company other than Preferred Shares, thereafter the number and/or kind of such other securities so receivable upon the exercise of any Right (and/or the Purchase Price in respect thereof) will be subject to adjustment from time to time in a manner and on terms as nearly equivalent as practicable to the provisions with respect to the Preferred Shares (and the Purchase Price in respect thereof) contained in this Section 11, and the provisions of Sections 7, 9, 10, 13 and 14 with respect to the Preferred Shares (and the Purchase Price in respect thereof) will apply on like terms to any such other securities (and the Purchase Price in respect thereof).</w:t>
      </w:r>
    </w:p>
    <w:p>
      <w:pPr>
        <w:spacing w:after="0" w:line="177" w:lineRule="exact"/>
        <w:rPr>
          <w:rFonts w:ascii="Arial" w:cs="Arial" w:eastAsia="Arial" w:hAnsi="Arial"/>
          <w:sz w:val="17"/>
          <w:szCs w:val="17"/>
          <w:color w:val="auto"/>
        </w:rPr>
      </w:pPr>
    </w:p>
    <w:p>
      <w:pPr>
        <w:ind w:right="80" w:firstLine="987"/>
        <w:spacing w:after="0" w:line="263" w:lineRule="auto"/>
        <w:tabs>
          <w:tab w:leader="none" w:pos="12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Rights originally issued by the Company subsequent to any adjustment made to the Purchase Price hereunder will evidence the right to purchase, at the adjusted Purchase Price, the number of one one-thousandths of a Preferred Share issuable from time to time hereunder upon the exercise of the Rights, all subject to further adjustment as provided herein.</w:t>
      </w:r>
    </w:p>
    <w:p>
      <w:pPr>
        <w:spacing w:after="0" w:line="183" w:lineRule="exact"/>
        <w:rPr>
          <w:rFonts w:ascii="Arial" w:cs="Arial" w:eastAsia="Arial" w:hAnsi="Arial"/>
          <w:sz w:val="18"/>
          <w:szCs w:val="18"/>
          <w:color w:val="auto"/>
        </w:rPr>
      </w:pPr>
    </w:p>
    <w:p>
      <w:pPr>
        <w:ind w:firstLine="987"/>
        <w:spacing w:after="0" w:line="293" w:lineRule="auto"/>
        <w:tabs>
          <w:tab w:leader="none" w:pos="124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Unless the Company has exercised its election as provided in Section 11(i), upon each adjustment of the Purchase Price pursuant to Section 11(b) or Section 11(c), each Right outstanding immediately prior to the making of such adjustment will thereafter evidence the right to purchase, at the adjusted Purchase Price, that number of one one-thousandths of a Preferred Share (calculated to the nearest one one-millionth of a Preferred Share) obtained by (i) multiplying (x) the number of one one-thousandths of a Preferred Share issuable upon the exercise of a Right immediately prior to such adjustment of the Purchase Price by (y) the Purchase Price in effect immediately prior to such adjustment of the Purchase Price and (ii) dividing the product so obtained by the Purchase Price in effect immediately after such adjustment of the Purchase Price.</w:t>
      </w:r>
    </w:p>
    <w:p>
      <w:pPr>
        <w:spacing w:after="0" w:line="164" w:lineRule="exact"/>
        <w:rPr>
          <w:rFonts w:ascii="Arial" w:cs="Arial" w:eastAsia="Arial" w:hAnsi="Arial"/>
          <w:sz w:val="16"/>
          <w:szCs w:val="16"/>
          <w:color w:val="auto"/>
        </w:rPr>
      </w:pPr>
    </w:p>
    <w:p>
      <w:pPr>
        <w:ind w:right="40" w:firstLine="987"/>
        <w:spacing w:after="0" w:line="286" w:lineRule="auto"/>
        <w:tabs>
          <w:tab w:leader="none" w:pos="120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may elect, on or after the date of any adjustment of the Purchase Price, to adjust the number of Rights in substitution for any adjustment in the number of one one-thousandths of a Preferred Share issuable upon the exercise of a Right. Each of the Rights outstanding after such adjustment of the number of Rights will be exercisable for the number of one one-thousandths of a Preferred Share for which a Right was exercisable immediately prior to such adjustment. Each Right held of record prior to such adjustment of the number of Rights will become that number of Rights (calculated to the nearest one ten-thousandth) obtained by dividing the Purchase Price in effect immediately prior to adjustment of the Purchase Price by the Purchase Price in effect immediately after adjustment of the Purchase Price. The Company will make a public announcement (with prompt written notice thereof to the Rights Agent) of its election to adjust the number of Rights, indicating the record date for the adjustment, and, if known at the time, the amount of the adjustment to be made. Such record date may be the date on which the Purchase Price is adjusted or any day thereafter, but, if the Right Certificates have been issued, will be at least 10 calendar days later than the date of the public announcement. If Right Certificates have been issued, upon each adjustment of the number of Rights pursuant to this Section 11(i), the Company will, as promptly as practicable, cause to be distributed to holders of record of Right Certificates on such record date Right Certificates evidencing, subject to the provisions of Section 14, the additional Rights to which such holders are entitled as a result of such adjustment, or, at the option of the Company, will cause to be distributed to such holders of record in substitution and replacement for the Right Certificates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25" w:name="page126"/>
    <w:bookmarkEnd w:id="125"/>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held by such holders prior to the date of adjustment, and upon surrender thereof if required by the Company, new Right Certificates evidencing all Rights to which such holders are entitled after such adjustment. Right Certificates so to be distributed will be issued, executed, and countersigned in the manner provided for herein (and may bear, at the option of the Company, the adjusted Purchase Price) and will be registered in the names of the holders of record of Right Certificates on the record date specified in the public announcement.</w:t>
      </w:r>
    </w:p>
    <w:p>
      <w:pPr>
        <w:spacing w:after="0" w:line="171" w:lineRule="exact"/>
        <w:rPr>
          <w:sz w:val="20"/>
          <w:szCs w:val="20"/>
          <w:color w:val="auto"/>
        </w:rPr>
      </w:pPr>
    </w:p>
    <w:p>
      <w:pPr>
        <w:ind w:right="280" w:firstLine="987"/>
        <w:spacing w:after="0" w:line="263" w:lineRule="auto"/>
        <w:tabs>
          <w:tab w:leader="none" w:pos="120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Without respect to any adjustment or change in the Purchase Price and/or the number and/or kind of securities issuable upon the exercise of the Rights, the Right Certificates theretofore and thereafter issued may continue to express the Purchase Price and the number and kind of securities which were expressed in the initial Right Certificates issued hereunder.</w:t>
      </w:r>
    </w:p>
    <w:p>
      <w:pPr>
        <w:spacing w:after="0" w:line="183" w:lineRule="exact"/>
        <w:rPr>
          <w:rFonts w:ascii="Arial" w:cs="Arial" w:eastAsia="Arial" w:hAnsi="Arial"/>
          <w:sz w:val="18"/>
          <w:szCs w:val="18"/>
          <w:color w:val="auto"/>
        </w:rPr>
      </w:pPr>
    </w:p>
    <w:p>
      <w:pPr>
        <w:ind w:right="120" w:firstLine="987"/>
        <w:spacing w:after="0" w:line="301" w:lineRule="auto"/>
        <w:tabs>
          <w:tab w:leader="none" w:pos="124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Before taking any action that would cause an adjustment reducing the Purchase Price below one one-thousandth of the then par value, if any, of the Preferred Shares or below the then par value, if any, of any other securities of the Company issuable upon the exercise of the Rights, the Company will take any corporate action which may, based on the advice of its counsel, be necessary in order that the Company may validly and legally issue fully paid and non-assessable Preferred Shares or such other securities, as the case may be, at such adjusted Purchase Price.</w:t>
      </w:r>
    </w:p>
    <w:p>
      <w:pPr>
        <w:spacing w:after="0" w:line="157" w:lineRule="exact"/>
        <w:rPr>
          <w:rFonts w:ascii="Arial" w:cs="Arial" w:eastAsia="Arial" w:hAnsi="Arial"/>
          <w:sz w:val="16"/>
          <w:szCs w:val="16"/>
          <w:color w:val="auto"/>
        </w:rPr>
      </w:pPr>
    </w:p>
    <w:p>
      <w:pPr>
        <w:ind w:right="20" w:firstLine="987"/>
        <w:spacing w:after="0" w:line="254" w:lineRule="auto"/>
        <w:tabs>
          <w:tab w:leader="none" w:pos="120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In any case in which this Section 11 otherwise requires that an adjustment in the Purchase Price be made effective as of a record date for a specified event, the Company may elect to defer (with prompt written notice thereof to the Rights Agent) until the occurrence of such event the issuance to the holder of any Right exercised after such record date the number of Preferred Shares or other securities of the Company, if any, issuable upon such exercise over and above the number of Preferred Shares or other securities of the Company, if any, issuable upon such exercise on the basis of the Purchase Price in effect prior to such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delivers to such holder a due bill or other appropriate instrument evidencing such holder’s right to receive such additional Preferred Shares or other securities upon the occurrence of the event requiring such adjustment.</w:t>
      </w:r>
    </w:p>
    <w:p>
      <w:pPr>
        <w:spacing w:after="0" w:line="194" w:lineRule="exact"/>
        <w:rPr>
          <w:rFonts w:ascii="Arial" w:cs="Arial" w:eastAsia="Arial" w:hAnsi="Arial"/>
          <w:sz w:val="18"/>
          <w:szCs w:val="18"/>
          <w:color w:val="auto"/>
        </w:rPr>
      </w:pPr>
    </w:p>
    <w:p>
      <w:pPr>
        <w:ind w:firstLine="987"/>
        <w:spacing w:after="0" w:line="273" w:lineRule="auto"/>
        <w:tabs>
          <w:tab w:leader="none" w:pos="129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the Company will be entitled to make such reductions in the Purchase Price, in addition to those adjustments expressly required by this Section 11, as and to the extent that in its good faith judgment the Board determines to be advisable in order that any (i) consolidation or subdivision of the Preferred Shares, (ii) issuance wholly for cash of Preferred Shares at less than the current per share market price therefor, (iii) issuance wholly for cash of Preferred Shares or securities which by their terms are convertible into or exchangeable for Preferred Shares, (iv) stock dividends, or (v) issuance of rights, options or warrants referred to in this Section 11, hereafter made by the Company to holders of its Preferred Shares is not taxable to such stockholders.</w:t>
      </w:r>
    </w:p>
    <w:p>
      <w:pPr>
        <w:spacing w:after="0" w:line="177" w:lineRule="exact"/>
        <w:rPr>
          <w:rFonts w:ascii="Arial" w:cs="Arial" w:eastAsia="Arial" w:hAnsi="Arial"/>
          <w:sz w:val="17"/>
          <w:szCs w:val="17"/>
          <w:color w:val="auto"/>
        </w:rPr>
      </w:pPr>
    </w:p>
    <w:p>
      <w:pPr>
        <w:ind w:right="80" w:firstLine="987"/>
        <w:spacing w:after="0" w:line="259" w:lineRule="auto"/>
        <w:tabs>
          <w:tab w:leader="none" w:pos="124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 the event that the Company at any time after the Record Date, but prior to the Distribution Date (i) pays a dividend on the outstanding Common Shares payable in Common Shares, (ii) subdivides the outstanding Common Shares, (iii) combines the outstanding Common Shares into a smaller number of shares, or (iv) issues any shares of its capital stock in a reclassification of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126" w:name="page127"/>
    <w:bookmarkEnd w:id="12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 Common Shares (including any such reclassification in connection with a consolidation or merger in which the Company is the continuing or surviving corporation), the number of Rights associated with each Common Share then outstanding, or issued or delivered thereafter but prior to the Distribution Date, will be proportionately adjusted so that the number of Rights thereafter associated with each Common Share following any such event equals the result obtained by multiplying the number of Rights associated with each Common Share immediately prior to such event by a fraction, the numerator of which is the total number of Common Shares outstanding immediately prior to the occurrence of the event and the denominator of which is the total number of Common Shares outstanding immediately following the occurrence of such event. The adjustments provided for in this Section 11(n) will be made successively whenever such a dividend is paid or such a subdivision, combination or reclassification is effected.</w:t>
      </w:r>
    </w:p>
    <w:p>
      <w:pPr>
        <w:spacing w:after="0" w:line="166" w:lineRule="exact"/>
        <w:rPr>
          <w:sz w:val="20"/>
          <w:szCs w:val="20"/>
          <w:color w:val="auto"/>
        </w:rPr>
      </w:pPr>
    </w:p>
    <w:p>
      <w:pPr>
        <w:ind w:right="40" w:firstLine="436"/>
        <w:spacing w:after="0" w:line="254" w:lineRule="auto"/>
        <w:tabs>
          <w:tab w:leader="none" w:pos="71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Certificate of Adjusted Purchase Price or Number of Securities</w:t>
      </w:r>
      <w:r>
        <w:rPr>
          <w:rFonts w:ascii="Arial" w:cs="Arial" w:eastAsia="Arial" w:hAnsi="Arial"/>
          <w:sz w:val="18"/>
          <w:szCs w:val="18"/>
          <w:color w:val="auto"/>
        </w:rPr>
        <w:t>. Whenever an adjustment is made as provided in Section 11 or Section 13, the Company will promptly (a) prepare a certificate setting forth such adjustment and a brief statement of the facts accounting for such adjustment, (b) file with the Rights Agent and with each transfer agent for the Preferred Shares and the Common Shares a copy of such certificate, and (c) if such adjustment is made after the Distribution Date, mail a brief summary of such adjustment to each holder of a Right Certificate in accordance with Section 26. The Rights Agent shall be fully protected in relying on any such certificate and on any adjustments or statements therein contained and shall have no duty or liability with respect to, and shall not be deemed to have knowledge of, any such adjustment or any such event unless and until it shall have received such a certificate.</w:t>
      </w:r>
    </w:p>
    <w:p>
      <w:pPr>
        <w:spacing w:after="0" w:line="194" w:lineRule="exact"/>
        <w:rPr>
          <w:rFonts w:ascii="Arial" w:cs="Arial" w:eastAsia="Arial" w:hAnsi="Arial"/>
          <w:sz w:val="18"/>
          <w:szCs w:val="18"/>
          <w:color w:val="auto"/>
        </w:rPr>
      </w:pPr>
    </w:p>
    <w:p>
      <w:pPr>
        <w:ind w:right="720" w:firstLine="436"/>
        <w:spacing w:after="0" w:line="277" w:lineRule="auto"/>
        <w:tabs>
          <w:tab w:leader="none" w:pos="71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Consolidation, Merger or Sale or Transfer of Assets or Earning Power</w:t>
      </w:r>
      <w:r>
        <w:rPr>
          <w:rFonts w:ascii="Arial" w:cs="Arial" w:eastAsia="Arial" w:hAnsi="Arial"/>
          <w:sz w:val="18"/>
          <w:szCs w:val="18"/>
          <w:color w:val="auto"/>
        </w:rPr>
        <w:t>. (a) In the event that, at any time after a Person has become an Acquiring Person:</w:t>
      </w:r>
    </w:p>
    <w:p>
      <w:pPr>
        <w:spacing w:after="0" w:line="62" w:lineRule="exact"/>
        <w:rPr>
          <w:rFonts w:ascii="Arial" w:cs="Arial" w:eastAsia="Arial" w:hAnsi="Arial"/>
          <w:sz w:val="18"/>
          <w:szCs w:val="18"/>
          <w:color w:val="auto"/>
        </w:rPr>
      </w:pPr>
    </w:p>
    <w:p>
      <w:pPr>
        <w:ind w:right="360" w:firstLine="1428"/>
        <w:spacing w:after="0" w:line="277" w:lineRule="auto"/>
        <w:tabs>
          <w:tab w:leader="none" w:pos="1647"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Company consolidates with, or merges with or into, any other Person and the Company is not the continuing or surviving corporation of such consolidation or merger; or</w:t>
      </w:r>
    </w:p>
    <w:p>
      <w:pPr>
        <w:spacing w:after="0" w:line="170" w:lineRule="exact"/>
        <w:rPr>
          <w:rFonts w:ascii="Arial" w:cs="Arial" w:eastAsia="Arial" w:hAnsi="Arial"/>
          <w:sz w:val="18"/>
          <w:szCs w:val="18"/>
          <w:color w:val="auto"/>
        </w:rPr>
      </w:pPr>
    </w:p>
    <w:p>
      <w:pPr>
        <w:ind w:firstLine="1428"/>
        <w:spacing w:after="0" w:line="263" w:lineRule="auto"/>
        <w:tabs>
          <w:tab w:leader="none" w:pos="1697"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Person consolidates with the Company, or merges with or into the Company, and the Company is the continuing or surviving corporation of such merger or consolidation and, in connection with such merger or consolidation, all, or part, of the Common Shares are changed into or exchanged for stock or other securities of any other Person or cash or any other property; or</w:t>
      </w:r>
    </w:p>
    <w:p>
      <w:pPr>
        <w:spacing w:after="0" w:line="183" w:lineRule="exact"/>
        <w:rPr>
          <w:rFonts w:ascii="Arial" w:cs="Arial" w:eastAsia="Arial" w:hAnsi="Arial"/>
          <w:sz w:val="18"/>
          <w:szCs w:val="18"/>
          <w:color w:val="auto"/>
        </w:rPr>
      </w:pPr>
    </w:p>
    <w:p>
      <w:pPr>
        <w:ind w:right="60" w:firstLine="1428"/>
        <w:spacing w:after="0" w:line="272" w:lineRule="auto"/>
        <w:tabs>
          <w:tab w:leader="none" w:pos="1747"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Company, directly or indirectly, sells or otherwise transfers (or one or more of its Subsidiaries sells or otherwise transfers), in one or more transactions, assets or earning power (including, without limitation, securities creating any obligation on the part of the Company and/or any of its Subsidiaries) representing in the aggregate more than 50% of the assets or earning power of the Company and its Subsidiaries (taken as a whole) to any Person or Persons other than the Company or one or more of its wholly owned Subsidiaries; then, and in each such case, proper provision will be made so that from and after the latest of the Distribution Date, the Share Acquisition Date, and the date of the occurrence of such Flip-over Event: (A) each holder of a Right thereafter has the right to receive, upon the exercise thereof in accordance with the terms of this Agreement at an exercise price per Right equal to the product of the then-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27" w:name="page128"/>
    <w:bookmarkEnd w:id="127"/>
    <w:p>
      <w:pPr>
        <w:ind w:left="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current Purchase Price multiplied by the number of one one-thousandths of a Preferred Share for which a Right was exercisable immediately prior to the Share Acquisition Date, such number of duly authorized, validly issued, fully paid, non-assessable and freely tradeable Common Shares of the Issuer, free and clear of any liens, encumbrances and other adverse claims and not subject to any rights of call or first refusal, as equals the result obtained by</w:t>
      </w:r>
    </w:p>
    <w:p>
      <w:pPr>
        <w:spacing w:after="0" w:line="2" w:lineRule="exact"/>
        <w:rPr>
          <w:sz w:val="20"/>
          <w:szCs w:val="20"/>
          <w:color w:val="auto"/>
        </w:rPr>
      </w:pPr>
    </w:p>
    <w:p>
      <w:pPr>
        <w:ind w:left="4" w:hanging="4"/>
        <w:spacing w:after="0" w:line="268" w:lineRule="auto"/>
        <w:tabs>
          <w:tab w:leader="none" w:pos="25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multiplying the then-current Purchase Price by the number of one one-thousandths of a Preferred Share for which a Right is exercisable immediately prior to the Share Acquisition Date and dividing that product by (y) 50% of the current per share market price of the Common Shares of the Issuer (as determined pursuant to Section 11(d)), on the date of the occurrence of such Flip-over Event; (B) the Issuer will thereafter be liable for, and will assume, by virtue of the occurrence of such Flip-over Event, all obligations and duties of the Company pursuant to this Agreement; (C) the term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will thereafter be deemed to refer to the Issuer; and (D) the Issuer will take such steps (including, without limitation, the reservation of a sufficient number of its Common Shares to permit the exercise of all outstanding Rights) in connection with such consummation as may be necessary to assure that the provisions hereof are thereafter applicable, as nearly as reasonably may be possible, in relation to its Common Shares thereafter deliverable upon the exercise of the Rights.</w:t>
      </w:r>
    </w:p>
    <w:p>
      <w:pPr>
        <w:spacing w:after="0" w:line="183" w:lineRule="exact"/>
        <w:rPr>
          <w:rFonts w:ascii="Arial" w:cs="Arial" w:eastAsia="Arial" w:hAnsi="Arial"/>
          <w:sz w:val="17"/>
          <w:szCs w:val="17"/>
          <w:color w:val="auto"/>
        </w:rPr>
      </w:pPr>
    </w:p>
    <w:p>
      <w:pPr>
        <w:ind w:left="4" w:right="120" w:firstLine="987"/>
        <w:spacing w:after="0" w:line="284" w:lineRule="auto"/>
        <w:tabs>
          <w:tab w:leader="none" w:pos="125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For the purposes of this Section 13, “</w:t>
      </w:r>
      <w:r>
        <w:rPr>
          <w:rFonts w:ascii="Arial" w:cs="Arial" w:eastAsia="Arial" w:hAnsi="Arial"/>
          <w:sz w:val="16"/>
          <w:szCs w:val="16"/>
          <w:b w:val="1"/>
          <w:bCs w:val="1"/>
          <w:i w:val="1"/>
          <w:iCs w:val="1"/>
          <w:color w:val="auto"/>
        </w:rPr>
        <w:t>Issuer</w:t>
      </w:r>
      <w:r>
        <w:rPr>
          <w:rFonts w:ascii="Arial" w:cs="Arial" w:eastAsia="Arial" w:hAnsi="Arial"/>
          <w:sz w:val="16"/>
          <w:szCs w:val="16"/>
          <w:color w:val="auto"/>
        </w:rPr>
        <w:t xml:space="preserve">” means (i) in the case of any Flip-over Event described in Sections 13(a)(i) or (ii) above, the Person that is the continuing, surviving, resulting or acquiring Person (including the Company as the continuing or surviving corporation of a transaction described in Section 13(a)(ii) above), and (ii) in the case of any Flip-over Event described in Section 13(a)(iii) above, the Person that is the party receiving the greatest portion of the assets or earning power (including, without limitation, securities creating any obligation on the part of the Company and/or any of its Subsidiaries) transferred pursuant to such transaction or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such case: (A) if (1) no class of equity security of such Person is, at the time of such merger, consolidation or transaction and has been continuously over the preceding</w:t>
      </w:r>
    </w:p>
    <w:p>
      <w:pPr>
        <w:spacing w:after="0" w:line="4" w:lineRule="exact"/>
        <w:rPr>
          <w:rFonts w:ascii="Arial" w:cs="Arial" w:eastAsia="Arial" w:hAnsi="Arial"/>
          <w:sz w:val="16"/>
          <w:szCs w:val="16"/>
          <w:color w:val="auto"/>
        </w:rPr>
      </w:pPr>
    </w:p>
    <w:p>
      <w:pPr>
        <w:ind w:left="4" w:right="20"/>
        <w:spacing w:after="0" w:line="281" w:lineRule="auto"/>
        <w:rPr>
          <w:rFonts w:ascii="Arial" w:cs="Arial" w:eastAsia="Arial" w:hAnsi="Arial"/>
          <w:sz w:val="16"/>
          <w:szCs w:val="16"/>
          <w:color w:val="auto"/>
        </w:rPr>
      </w:pPr>
      <w:r>
        <w:rPr>
          <w:rFonts w:ascii="Arial" w:cs="Arial" w:eastAsia="Arial" w:hAnsi="Arial"/>
          <w:sz w:val="16"/>
          <w:szCs w:val="16"/>
          <w:color w:val="auto"/>
        </w:rPr>
        <w:t>12-month period, registered pursuant to Section 12 of the Exchange Act, and (2) such Person is a Subsidiary, directly or indirectly, of another Person, a class of equity security of which is and has been so registered, the term “Issuer” means such other Person; and (B) in case such Person is a Subsidiary, directly or indirectly, of more than one Person, a class of equity security of two or more of which are and have been so registered, the term “Issuer” means whichever of such Persons is the issuer of the equity security having the greatest aggregate market value. Notwithstanding the foregoing, if the Issuer in any of the Flip-over Events listed above is not a corporation or other legal entity having outstanding equity securities, then, and in each such case, (x) if the Issuer is directly or indirectly wholly owned by a corporation or other legal entity having outstanding equity securities, then all references to Common Shares of the Issuer will be deemed to be references to the Common Shares of the corporation or other legal entity having outstanding equity securities which ultimately controls the Issuer, and (y) if there is no such corporation or other legal entity having outstanding equity securities,</w:t>
      </w:r>
    </w:p>
    <w:p>
      <w:pPr>
        <w:spacing w:after="0" w:line="4" w:lineRule="exact"/>
        <w:rPr>
          <w:rFonts w:ascii="Arial" w:cs="Arial" w:eastAsia="Arial" w:hAnsi="Arial"/>
          <w:sz w:val="16"/>
          <w:szCs w:val="16"/>
          <w:color w:val="auto"/>
        </w:rPr>
      </w:pPr>
    </w:p>
    <w:p>
      <w:pPr>
        <w:ind w:left="4"/>
        <w:spacing w:after="0" w:line="295" w:lineRule="auto"/>
        <w:rPr>
          <w:rFonts w:ascii="Arial" w:cs="Arial" w:eastAsia="Arial" w:hAnsi="Arial"/>
          <w:sz w:val="16"/>
          <w:szCs w:val="16"/>
          <w:color w:val="auto"/>
        </w:rPr>
      </w:pPr>
      <w:r>
        <w:rPr>
          <w:rFonts w:ascii="Arial" w:cs="Arial" w:eastAsia="Arial" w:hAnsi="Arial"/>
          <w:sz w:val="16"/>
          <w:szCs w:val="16"/>
          <w:color w:val="auto"/>
        </w:rPr>
        <w:t>(I) proper provision will be made so that the Issuer creates or otherwise makes available for purposes of the exercise of the Rights in accordance with the terms of this Agreement, a kind or kinds of security or securities having a fair market value at least equal to the economic value of the Common Shares which each holder of a Right would have been entitled to receive if the Issuer had been a corporation or other legal entity having outstanding equity securities; and (II) all other provisions of this Agreement will apply to the issuer of such securities as if such securities were Common Shares.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128" w:name="page129"/>
    <w:bookmarkEnd w:id="128"/>
    <w:p>
      <w:pPr>
        <w:ind w:left="-20" w:firstLine="987"/>
        <w:spacing w:after="0" w:line="288" w:lineRule="auto"/>
        <w:tabs>
          <w:tab w:leader="none" w:pos="1216" w:val="left"/>
        </w:tabs>
        <w:numPr>
          <w:ilvl w:val="1"/>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not consummate any Flip-over Event if (i) at the time of or immediately after such Flip-over Event, there are or would be any rights, warrants, instruments or securities outstanding or any agreements or arrangements in effect which would eliminate or substantially diminish the benefits intended to be afforded by the Rights, (ii) prior to, simultaneously with or immediately after such Flip-over Event, the stockholders of the Person who constitutes, or would constitute, the Issuer for purposes of Section 13(a) shall have received a distribution of Rights previously owned by such Person or any of its Affiliates or Associates, or (iii) the form or nature of the organization of the Issuer would preclude or limit the exercisability of the Rights. In addition, the Company will not consummate any Flip-over Event unless the Issuer has a sufficient number of authorized Common Shares (or other securities as contemplated in Section 13(b) above) which have not been issued or reserved for issuance to permit the exercise in full of the Rights in accordance with this Section 13, and unless prior to such consummation the Company and the Issuer have executed and delivered to the Rights Agent a supplemental agreement providing for the terms set forth in subsections (a) and (b) of this Section 13 and further providing that as promptly as practicable after the consummation of any Flip-over Event, the Issuer will:</w:t>
      </w:r>
    </w:p>
    <w:p>
      <w:pPr>
        <w:spacing w:after="0" w:line="60" w:lineRule="exact"/>
        <w:rPr>
          <w:rFonts w:ascii="Arial" w:cs="Arial" w:eastAsia="Arial" w:hAnsi="Arial"/>
          <w:sz w:val="16"/>
          <w:szCs w:val="16"/>
          <w:color w:val="auto"/>
        </w:rPr>
      </w:pPr>
    </w:p>
    <w:p>
      <w:pPr>
        <w:ind w:left="-20" w:firstLine="1979"/>
        <w:spacing w:after="0" w:line="301" w:lineRule="auto"/>
        <w:tabs>
          <w:tab w:leader="none" w:pos="2258" w:val="left"/>
        </w:tabs>
        <w:numPr>
          <w:ilvl w:val="2"/>
          <w:numId w:val="159"/>
        </w:numPr>
        <w:rPr>
          <w:rFonts w:ascii="Arial" w:cs="Arial" w:eastAsia="Arial" w:hAnsi="Arial"/>
          <w:sz w:val="16"/>
          <w:szCs w:val="16"/>
          <w:color w:val="auto"/>
        </w:rPr>
      </w:pPr>
      <w:r>
        <w:rPr>
          <w:rFonts w:ascii="Arial" w:cs="Arial" w:eastAsia="Arial" w:hAnsi="Arial"/>
          <w:sz w:val="16"/>
          <w:szCs w:val="16"/>
          <w:color w:val="auto"/>
        </w:rPr>
        <w:t>if the Issuer, based on the advice of its counsel, determines that a registration statement should be filed under the Securities Act, prepare and file a registration statement under the Securities Act with respect to the Rights and the securities issuable upon the exercise of the Rights on an appropriate form, and use its best efforts to cause such registration statement to (1) become effective as soon as practicable after such filing and (2) remain effective (with a prospectus at all times meeting the requirements of the Securities Act) until the Expiration Date;</w:t>
      </w:r>
    </w:p>
    <w:p>
      <w:pPr>
        <w:spacing w:after="0" w:line="157" w:lineRule="exact"/>
        <w:rPr>
          <w:rFonts w:ascii="Arial" w:cs="Arial" w:eastAsia="Arial" w:hAnsi="Arial"/>
          <w:sz w:val="16"/>
          <w:szCs w:val="16"/>
          <w:color w:val="auto"/>
        </w:rPr>
      </w:pPr>
    </w:p>
    <w:p>
      <w:pPr>
        <w:ind w:left="-20" w:right="280" w:firstLine="1979"/>
        <w:spacing w:after="0" w:line="277" w:lineRule="auto"/>
        <w:tabs>
          <w:tab w:leader="none" w:pos="2248" w:val="left"/>
        </w:tabs>
        <w:numPr>
          <w:ilvl w:val="2"/>
          <w:numId w:val="159"/>
        </w:numPr>
        <w:rPr>
          <w:rFonts w:ascii="Arial" w:cs="Arial" w:eastAsia="Arial" w:hAnsi="Arial"/>
          <w:sz w:val="18"/>
          <w:szCs w:val="18"/>
          <w:color w:val="auto"/>
        </w:rPr>
      </w:pPr>
      <w:r>
        <w:rPr>
          <w:rFonts w:ascii="Arial" w:cs="Arial" w:eastAsia="Arial" w:hAnsi="Arial"/>
          <w:sz w:val="18"/>
          <w:szCs w:val="18"/>
          <w:color w:val="auto"/>
        </w:rPr>
        <w:t>take all such action as may be appropriate under, or to ensure compliance with, the applicable state securities or “blue sky” laws in connection with the exercisability of the Rights; and</w:t>
      </w:r>
    </w:p>
    <w:p>
      <w:pPr>
        <w:spacing w:after="0" w:line="170" w:lineRule="exact"/>
        <w:rPr>
          <w:rFonts w:ascii="Arial" w:cs="Arial" w:eastAsia="Arial" w:hAnsi="Arial"/>
          <w:sz w:val="18"/>
          <w:szCs w:val="18"/>
          <w:color w:val="auto"/>
        </w:rPr>
      </w:pPr>
    </w:p>
    <w:p>
      <w:pPr>
        <w:ind w:left="-20" w:right="80" w:firstLine="1979"/>
        <w:spacing w:after="0" w:line="277" w:lineRule="auto"/>
        <w:tabs>
          <w:tab w:leader="none" w:pos="2248" w:val="left"/>
        </w:tabs>
        <w:numPr>
          <w:ilvl w:val="2"/>
          <w:numId w:val="159"/>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the Issuer and each of its affiliates which comply in all respects with the requirements for registration on Form 10 under the Exchange Act.</w:t>
      </w:r>
    </w:p>
    <w:p>
      <w:pPr>
        <w:spacing w:after="0" w:line="170" w:lineRule="exact"/>
        <w:rPr>
          <w:rFonts w:ascii="Arial" w:cs="Arial" w:eastAsia="Arial" w:hAnsi="Arial"/>
          <w:sz w:val="18"/>
          <w:szCs w:val="18"/>
          <w:color w:val="auto"/>
        </w:rPr>
      </w:pPr>
    </w:p>
    <w:p>
      <w:pPr>
        <w:ind w:left="-20" w:right="220" w:firstLine="987"/>
        <w:spacing w:after="0" w:line="259" w:lineRule="auto"/>
        <w:tabs>
          <w:tab w:leader="none" w:pos="122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provisions of this Section 13 will similarly apply to successive mergers or consolidations or sales or other transfers. In the event that a Flip-over Event occurs at any time after the occurrence of a Flip-in Event, except for Rights that have become null and void pursuant to Section 11(a)(ii), Rights that shall not have been previously exercised will cease to be exercisable in the manner provided in Section 11(a)(ii) and will thereafter be exercisable in the manner provided in Section 13(a).</w:t>
      </w:r>
    </w:p>
    <w:p>
      <w:pPr>
        <w:spacing w:after="0" w:line="186" w:lineRule="exact"/>
        <w:rPr>
          <w:rFonts w:ascii="Arial" w:cs="Arial" w:eastAsia="Arial" w:hAnsi="Arial"/>
          <w:sz w:val="18"/>
          <w:szCs w:val="18"/>
          <w:color w:val="auto"/>
        </w:rPr>
      </w:pPr>
    </w:p>
    <w:p>
      <w:pPr>
        <w:ind w:left="-20" w:firstLine="436"/>
        <w:spacing w:after="0" w:line="257" w:lineRule="auto"/>
        <w:tabs>
          <w:tab w:leader="none" w:pos="69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Fractional Rights and Fractional Securities</w:t>
      </w:r>
      <w:r>
        <w:rPr>
          <w:rFonts w:ascii="Arial" w:cs="Arial" w:eastAsia="Arial" w:hAnsi="Arial"/>
          <w:sz w:val="18"/>
          <w:szCs w:val="18"/>
          <w:color w:val="auto"/>
        </w:rPr>
        <w:t>. (a) The Company will not be required to issue fractions of Rights or to distribute Right Certificates which evidence fractional Rights. In lieu of such fractional Rights, the Company will pay as promptly as practicable to the registered holders of the Right Certificates with regard to which such fractional Rights otherwise would be issuable, an amount in cash equal to the same fraction of the current market value of one Right. For the purposes of this Section 14(a), the current market value of one Right is the closing price of the Rights for the Trading Day immediately prior to the date on which such fractional Rights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60" w:top="274" w:right="459" w:bottom="1440" w:gutter="0" w:footer="0" w:header="0"/>
        </w:sectPr>
      </w:pPr>
    </w:p>
    <w:bookmarkStart w:id="129" w:name="page130"/>
    <w:bookmarkEnd w:id="12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otherwise would have been issuable. The closing price for any day is the last sale price, regular way, or, in case no such sale takes place on such day, the average of the closing bid and asked prices, regular way, in either case as reported in the principal quotation system with respect to securities listed or admitted to trading on the New York Stock Exchange or, if the Rights are not listed or admitted to trading on the New York Stock Exchange, as reported in the principal quotation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such market then in use, or, if on any such date the Rights are not quoted by any such organization, the average of the closing bid and asked prices as furnished by a professional market maker making a market in the Rights selected by the Board. If the Rights are not publicly held or are not so listed or traded, or are not the subject of available bid and asked quotes, the current market value of one Right will mean the fair value thereof as determined in good faith by the Board, which determination will be described in a written statement filed with the Rights Agent.</w:t>
      </w:r>
    </w:p>
    <w:p>
      <w:pPr>
        <w:spacing w:after="0" w:line="185" w:lineRule="exact"/>
        <w:rPr>
          <w:sz w:val="20"/>
          <w:szCs w:val="20"/>
          <w:color w:val="auto"/>
        </w:rPr>
      </w:pPr>
    </w:p>
    <w:p>
      <w:pPr>
        <w:ind w:right="20" w:firstLine="991"/>
        <w:spacing w:after="0" w:line="285" w:lineRule="auto"/>
        <w:rPr>
          <w:sz w:val="20"/>
          <w:szCs w:val="20"/>
          <w:color w:val="auto"/>
        </w:rPr>
      </w:pPr>
      <w:r>
        <w:rPr>
          <w:rFonts w:ascii="Arial" w:cs="Arial" w:eastAsia="Arial" w:hAnsi="Arial"/>
          <w:sz w:val="16"/>
          <w:szCs w:val="16"/>
          <w:color w:val="auto"/>
        </w:rPr>
        <w:t xml:space="preserve">(b) The Company will not be required to issue fractions of Preferred Shares (other than fractions which are integral multiples of one one-thousandth of a Preferred Share) upon the exercise of the Rights or to distribute certificates which evidence fractional Preferred Shares or to register fractional Preferred Shares on the stock transfer books of the Company (other than fractions which are integral multiples of one one-thousandth of a Preferred Share). Fractions of Preferred Shares in integral multiples of one one-thousandth of a Preferred Share may, at the election of the Company, be evidenced by depositary receipts pursuant to an appropriate agreement between the Company and a depositary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provides that the holders of such depositary receipts have all of the rights, privileges and preferences to which they are entitled as Beneficial Owners of the Preferred Shares represented by such depositary receipts. In lieu of fractional Preferred Shares that are not integral multiples of one one-thousandth of a Preferred Share, the Company may pay to any Person to whom or which such fractional Preferred Shares would otherwise be issuable an amount in cash equal to the same fraction of the current market value of one Preferred Share. For the purposes of this Section 14(b), the current market value of one Preferred Share is the closing price of the Preferred Shares (as determined in the same manner as set forth for Common Shares in the second sentence of Section 11(d)(i)) for the Trading Day immediately prior to the date of such exercise;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closing price of the Preferred Shares cannot be so determined, the closing price of the Preferred Shares for such Trading Day will be conclusively deemed to be an amount equal to the closing price of the Common Shares (as determined pursuant to the second sentence of Section 11(d)(i)) for such Trading Day multiplied by 1,000 (as such number may be appropriately adjusted to reflect events such as stock splits, stock dividends, recapitalizations or similar transactions relating to the Common Shares occurring after the date of this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neither the Common Shares nor the Preferred Shares are publicly held or listed or admitted to trading on any national securities exchange, or the subject of available bid and asked quotes, the current market value of one Preferred Share will mean the fair value thereof as determined in good faith by the Board, which determination will be described in a written statement filed with the Rights Agent.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30" w:name="page131"/>
    <w:bookmarkEnd w:id="130"/>
    <w:p>
      <w:pPr>
        <w:ind w:firstLine="987"/>
        <w:spacing w:after="0" w:line="288" w:lineRule="auto"/>
        <w:tabs>
          <w:tab w:leader="none" w:pos="1236" w:val="left"/>
        </w:tabs>
        <w:numPr>
          <w:ilvl w:val="1"/>
          <w:numId w:val="1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Following the occurrence of a Triggering Event, the Company will not be required to issue fractions of Common Shares or other securities issuable upon the exercise or exchange of the Rights or to distribute certificates which evidence any such fractional securities or to register any such fractional securities on the stock transfer books of the Company. In lieu of issuing any such fractional securities, the Company may pay to any Person to whom or which such fractional securities would otherwise be issuable an amount in cash equal to the same fraction of the current market value of one such security. For the purposes of this Section 14(c), the current market value of one Common Share or other security issuable upon the exercise or exchange of the Rights is the closing price thereof (as determined in the same manner as set forth for Common Shares in the second sentence of Section 11(d)(i)) for the Trading Day immediately prior to the date of such exercise or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neither the Common Shares nor any such other securities are publicly held or listed or admitted to trading on any national securities exchange, or the subject of available bid and asked quotes, the current market value of one Common Share or such other security will mean the fair value thereof as determined in good faith by the Board, which determination will mean the fair value thereof as will be described in a written statement filed with the Rights Agent.</w:t>
      </w:r>
    </w:p>
    <w:p>
      <w:pPr>
        <w:spacing w:after="0" w:line="168" w:lineRule="exact"/>
        <w:rPr>
          <w:rFonts w:ascii="Arial" w:cs="Arial" w:eastAsia="Arial" w:hAnsi="Arial"/>
          <w:sz w:val="16"/>
          <w:szCs w:val="16"/>
          <w:color w:val="auto"/>
        </w:rPr>
      </w:pPr>
    </w:p>
    <w:p>
      <w:pPr>
        <w:ind w:right="40" w:firstLine="987"/>
        <w:spacing w:after="0" w:line="254" w:lineRule="auto"/>
        <w:tabs>
          <w:tab w:leader="none" w:pos="1246" w:val="left"/>
        </w:tabs>
        <w:numPr>
          <w:ilvl w:val="1"/>
          <w:numId w:val="161"/>
        </w:numPr>
        <w:rPr>
          <w:rFonts w:ascii="Arial" w:cs="Arial" w:eastAsia="Arial" w:hAnsi="Arial"/>
          <w:sz w:val="18"/>
          <w:szCs w:val="18"/>
          <w:color w:val="auto"/>
        </w:rPr>
      </w:pPr>
      <w:r>
        <w:rPr>
          <w:rFonts w:ascii="Arial" w:cs="Arial" w:eastAsia="Arial" w:hAnsi="Arial"/>
          <w:sz w:val="18"/>
          <w:szCs w:val="18"/>
          <w:color w:val="auto"/>
        </w:rPr>
        <w:t>Whenever a payment of cash in lieu of fractional Rights, fractional Preferred Shares or fractional Common Shares is to be made by the Rights Agent under this Agreement, the Company shall (i) promptly prepare and deliver to the Rights Agent a certificate setting forth in reasonable detail the facts related to such payments and the prices and/or formulas utilized in calculating such payments, and (ii) provide sufficient monies to the Rights Agent in the form of fully collected funds to make such payments. The Rights Agent shall be fully protected in relying upon such a certificate and shall have no duty with respect to, and shall not be deemed to have knowledge of, any payment of cash in lieu of fractional Rights, fractional Preferred Shares or fractional Common Shares under this Agreement unless and until the Rights Agent shall have received such a certificate and sufficient monies.</w:t>
      </w:r>
    </w:p>
    <w:p>
      <w:pPr>
        <w:spacing w:after="0" w:line="194" w:lineRule="exact"/>
        <w:rPr>
          <w:rFonts w:ascii="Arial" w:cs="Arial" w:eastAsia="Arial" w:hAnsi="Arial"/>
          <w:sz w:val="18"/>
          <w:szCs w:val="18"/>
          <w:color w:val="auto"/>
        </w:rPr>
      </w:pPr>
    </w:p>
    <w:p>
      <w:pPr>
        <w:ind w:left="700" w:hanging="264"/>
        <w:spacing w:after="0"/>
        <w:tabs>
          <w:tab w:leader="none" w:pos="700"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Rights of Action</w:t>
      </w:r>
      <w:r>
        <w:rPr>
          <w:rFonts w:ascii="Arial" w:cs="Arial" w:eastAsia="Arial" w:hAnsi="Arial"/>
          <w:sz w:val="17"/>
          <w:szCs w:val="17"/>
          <w:color w:val="auto"/>
        </w:rPr>
        <w:t>. All rights of action in respect of this Agreement, excepting the rights of action given to the Rights Agent hereunder,</w:t>
      </w:r>
    </w:p>
    <w:p>
      <w:pPr>
        <w:spacing w:after="0" w:line="34"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including Section 18 or Section 20 hereof, are vested in the respective registered holders of the Right Certificates (and, prior to the Distribution Date, the registered holders of the Common Shares); and any registered holder of any Right Certificate (or, prior to the Distribution Date, of the Common Shares), without the consent of the Rights Agent or of the holder of any other Right Certificate (or, prior to the Distribution Date, of the holder of any Common Shares), may in his/her own behalf and for his/her own benefit, enforce, and may institute and maintain any suit, action or proceeding against the Company to enforce, or otherwise act in respect of, his/her right to exercise the Rights evidenced by such Right Certificate in the manner provided in such Right Certificate and in this Agreement. Without limiting the foregoing or any remedies available to the holders of the Rights, it is specifically acknowledged that the holders of the Rights would not have an adequate remedy at law for any breach of this Agreement and will be entitled to specific performance of the obligations under this Agreement, and injunctive relief against actual or threatened violations of the obligations of any Person subject to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31" w:name="page132"/>
    <w:bookmarkEnd w:id="131"/>
    <w:p>
      <w:pPr>
        <w:ind w:left="-20" w:firstLine="436"/>
        <w:spacing w:after="0" w:line="277" w:lineRule="auto"/>
        <w:tabs>
          <w:tab w:leader="none" w:pos="69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of Rights Holders</w:t>
      </w:r>
      <w:r>
        <w:rPr>
          <w:rFonts w:ascii="Arial" w:cs="Arial" w:eastAsia="Arial" w:hAnsi="Arial"/>
          <w:sz w:val="18"/>
          <w:szCs w:val="18"/>
          <w:color w:val="auto"/>
        </w:rPr>
        <w:t>. Every holder of a Right by accepting the same consents and agrees with the Company and the Rights Agent and with every other holder of a Right that:</w:t>
      </w:r>
    </w:p>
    <w:p>
      <w:pPr>
        <w:spacing w:after="0" w:line="62" w:lineRule="exact"/>
        <w:rPr>
          <w:rFonts w:ascii="Arial" w:cs="Arial" w:eastAsia="Arial" w:hAnsi="Arial"/>
          <w:sz w:val="18"/>
          <w:szCs w:val="18"/>
          <w:color w:val="auto"/>
        </w:rPr>
      </w:pPr>
    </w:p>
    <w:p>
      <w:pPr>
        <w:ind w:left="1220" w:hanging="253"/>
        <w:spacing w:after="0"/>
        <w:tabs>
          <w:tab w:leader="none" w:pos="12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Prior to the Distribution Date, the Rights are transferable only in connection with the transfer of the Common Shares;</w:t>
      </w:r>
    </w:p>
    <w:p>
      <w:pPr>
        <w:spacing w:after="0" w:line="225" w:lineRule="exact"/>
        <w:rPr>
          <w:rFonts w:ascii="Arial" w:cs="Arial" w:eastAsia="Arial" w:hAnsi="Arial"/>
          <w:sz w:val="18"/>
          <w:szCs w:val="18"/>
          <w:color w:val="auto"/>
        </w:rPr>
      </w:pPr>
    </w:p>
    <w:p>
      <w:pPr>
        <w:ind w:left="-20" w:right="140" w:firstLine="987"/>
        <w:spacing w:after="0" w:line="263" w:lineRule="auto"/>
        <w:tabs>
          <w:tab w:leader="none" w:pos="122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After the Distribution Date, the Right Certificates are transferable only on the registry books of the Rights Agent if surrendered at the office or offices of the Rights Agent designated for such purpose, duly endorsed or accompanied by a proper instrument of transfer, and with the appropriate forms and certificates fully completed and executed;</w:t>
      </w:r>
    </w:p>
    <w:p>
      <w:pPr>
        <w:spacing w:after="0" w:line="183" w:lineRule="exact"/>
        <w:rPr>
          <w:rFonts w:ascii="Arial" w:cs="Arial" w:eastAsia="Arial" w:hAnsi="Arial"/>
          <w:sz w:val="18"/>
          <w:szCs w:val="18"/>
          <w:color w:val="auto"/>
        </w:rPr>
      </w:pPr>
    </w:p>
    <w:p>
      <w:pPr>
        <w:ind w:left="-20" w:right="80" w:firstLine="987"/>
        <w:spacing w:after="0" w:line="301" w:lineRule="auto"/>
        <w:tabs>
          <w:tab w:leader="none" w:pos="1216"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Company and the Rights Agent may deem and treat the person in whose name the Right Certificate (or, prior to the Distribution Date, the associated Common Shares) is registered as the absolute owner thereof and of the Rights evidenced thereby (notwithstanding any notations of ownership or writing on the Right Certificate or the associated Common Shares, if any, made by anyone other than the Company or the Rights Agent) for all purposes whatsoever, and neither the Company nor the Rights Agent will be affected by any notice to the contrary;</w:t>
      </w:r>
    </w:p>
    <w:p>
      <w:pPr>
        <w:spacing w:after="0" w:line="157" w:lineRule="exact"/>
        <w:rPr>
          <w:rFonts w:ascii="Arial" w:cs="Arial" w:eastAsia="Arial" w:hAnsi="Arial"/>
          <w:sz w:val="16"/>
          <w:szCs w:val="16"/>
          <w:color w:val="auto"/>
        </w:rPr>
      </w:pPr>
    </w:p>
    <w:p>
      <w:pPr>
        <w:ind w:left="-20" w:firstLine="987"/>
        <w:spacing w:after="0" w:line="277" w:lineRule="auto"/>
        <w:tabs>
          <w:tab w:leader="none" w:pos="122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Such holder expressly waives any right to receive any fractional Rights and any fractional securities upon the exercise or exchange of a Right, except as otherwise provided in Section 14.</w:t>
      </w:r>
    </w:p>
    <w:p>
      <w:pPr>
        <w:spacing w:after="0" w:line="170" w:lineRule="exact"/>
        <w:rPr>
          <w:rFonts w:ascii="Arial" w:cs="Arial" w:eastAsia="Arial" w:hAnsi="Arial"/>
          <w:sz w:val="18"/>
          <w:szCs w:val="18"/>
          <w:color w:val="auto"/>
        </w:rPr>
      </w:pPr>
    </w:p>
    <w:p>
      <w:pPr>
        <w:ind w:left="-20" w:right="180" w:firstLine="987"/>
        <w:spacing w:after="0" w:line="255" w:lineRule="auto"/>
        <w:tabs>
          <w:tab w:leader="none" w:pos="121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neither the Company nor the Rights Agent will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an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will use its best efforts to have any such order, decree or ruling lifted or otherwise overturned as soon as possible.</w:t>
      </w:r>
    </w:p>
    <w:p>
      <w:pPr>
        <w:spacing w:after="0" w:line="192" w:lineRule="exact"/>
        <w:rPr>
          <w:rFonts w:ascii="Arial" w:cs="Arial" w:eastAsia="Arial" w:hAnsi="Arial"/>
          <w:sz w:val="18"/>
          <w:szCs w:val="18"/>
          <w:color w:val="auto"/>
        </w:rPr>
      </w:pPr>
    </w:p>
    <w:p>
      <w:pPr>
        <w:ind w:left="-20" w:right="60" w:firstLine="436"/>
        <w:spacing w:after="0" w:line="291" w:lineRule="auto"/>
        <w:tabs>
          <w:tab w:leader="none" w:pos="690"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Right Certificate Holder Not Deemed a Stockholder</w:t>
      </w:r>
      <w:r>
        <w:rPr>
          <w:rFonts w:ascii="Arial" w:cs="Arial" w:eastAsia="Arial" w:hAnsi="Arial"/>
          <w:sz w:val="16"/>
          <w:szCs w:val="16"/>
          <w:color w:val="auto"/>
        </w:rPr>
        <w:t>. No holder, as such, of any Right Certificate will be entitled to vote, receive dividends, or be deemed for any purpose the holder of Preferred Shares or any other securities of the Company, which may at any time be issuable upon the exercise of the Rights represented thereby, nor will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or to receive dividends or subscription rights, or otherwise, until the Right or Rights evidenced by such Right Certificate shall have been exercised in accordance with the provisions of this Agreement or exchanged pursuant to the provisions of Section 24.</w:t>
      </w:r>
    </w:p>
    <w:p>
      <w:pPr>
        <w:spacing w:after="0" w:line="166" w:lineRule="exact"/>
        <w:rPr>
          <w:rFonts w:ascii="Arial" w:cs="Arial" w:eastAsia="Arial" w:hAnsi="Arial"/>
          <w:sz w:val="16"/>
          <w:szCs w:val="16"/>
          <w:color w:val="auto"/>
        </w:rPr>
      </w:pPr>
    </w:p>
    <w:p>
      <w:pPr>
        <w:ind w:left="-20" w:right="380" w:firstLine="436"/>
        <w:spacing w:after="0" w:line="263" w:lineRule="auto"/>
        <w:tabs>
          <w:tab w:leader="none" w:pos="69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Concerning the Rights Agent</w:t>
      </w:r>
      <w:r>
        <w:rPr>
          <w:rFonts w:ascii="Arial" w:cs="Arial" w:eastAsia="Arial" w:hAnsi="Arial"/>
          <w:sz w:val="18"/>
          <w:szCs w:val="18"/>
          <w:color w:val="auto"/>
        </w:rPr>
        <w:t>. (a) The Company will pay to the Rights Agent reasonable compensation for all services rendered by it hereunder and, from time to time, on demand of the Rights Agent, its reasonable expenses and counsel fees and other disbursements incurred in the preparation, negotiation, delivery, amendment, administration and execution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60" w:top="274" w:right="479" w:bottom="1440" w:gutter="0" w:footer="0" w:header="0"/>
        </w:sectPr>
      </w:pPr>
    </w:p>
    <w:bookmarkStart w:id="132" w:name="page133"/>
    <w:bookmarkEnd w:id="13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Agreement and the exercise and performance of its duties hereunder. The Company will also indemnify the Rights Agent and its affiliates, directors, employees. representatives and advisors for, and hold them harmless against, any loss, liability, suit, action, proceeding, damage, judgment, fine, penalty, claim, demand, settlement, cost or expense (including, without limitation, the reasonable fees and expenses of legal counsel), incurred without gross negligence, bad faith or willful misconduct on the part of the Rights Agent (which gross negligence, bad faith or willful misconduct must be determined by a final, non-appealable order, judgment, decree or ruling of a court of competent jurisdiction), for action taken, suffered or omitted to be taken by the Rights Agent in connection with the acceptance and administration of this Agreement, including the costs and expenses of defending against any claim of liability arising therefrom, directly or indirectly. The provisions provided for under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below shall survive the exercise or expiration of the Rights, the termination or expiration of this Agreement and the resignation, replacement or removal of the Rights Agent. The costs and expenses incurred in enforcing this right of indemnification shall be paid by the Company.</w:t>
      </w:r>
    </w:p>
    <w:p>
      <w:pPr>
        <w:spacing w:after="0" w:line="166" w:lineRule="exact"/>
        <w:rPr>
          <w:sz w:val="20"/>
          <w:szCs w:val="20"/>
          <w:color w:val="auto"/>
        </w:rPr>
      </w:pPr>
    </w:p>
    <w:p>
      <w:pPr>
        <w:ind w:firstLine="987"/>
        <w:spacing w:after="0" w:line="272" w:lineRule="auto"/>
        <w:tabs>
          <w:tab w:leader="none" w:pos="1246"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Rights Agent will be protected and will incur no liability for or in respect of any action taken, suffered, or omitted to be taken by it in connection with its administration of this Agreement in reliance upon any Right Certificate or certificate or other notice evidencing Preferred Shares or Common Shares 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 The Rights Agent shall not be deemed to have knowledge of any event of which it was supposed to receive notice thereof hereunder, and the Rights Agent shall be fully protected and shall incur no liability for failing to take any action in connection therewith, unless and until it has received such notice in writing.</w:t>
      </w:r>
    </w:p>
    <w:p>
      <w:pPr>
        <w:spacing w:after="0" w:line="177" w:lineRule="exact"/>
        <w:rPr>
          <w:rFonts w:ascii="Arial" w:cs="Arial" w:eastAsia="Arial" w:hAnsi="Arial"/>
          <w:sz w:val="17"/>
          <w:szCs w:val="17"/>
          <w:color w:val="auto"/>
        </w:rPr>
      </w:pPr>
    </w:p>
    <w:p>
      <w:pPr>
        <w:ind w:right="20" w:firstLine="436"/>
        <w:spacing w:after="0" w:line="269" w:lineRule="auto"/>
        <w:tabs>
          <w:tab w:leader="none" w:pos="710"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Merger or Consolidation or Change of Name of Rights Agent</w:t>
      </w:r>
      <w:r>
        <w:rPr>
          <w:rFonts w:ascii="Arial" w:cs="Arial" w:eastAsia="Arial" w:hAnsi="Arial"/>
          <w:sz w:val="17"/>
          <w:szCs w:val="17"/>
          <w:color w:val="auto"/>
        </w:rPr>
        <w:t xml:space="preserve">. (a) Any Person into which the Rights Agent or any successor Rights Agent may be merged or with which it may be consolidated, or any Person resulting from any merger or consolidation to which the Rights Agent or any successor Rights Agent is a party, or any Person succeeding to the stockholder services business of the Rights Agent or any successor Rights Agent, will be the successor to the Rights Agent under this Agreement without the execution or filing of any paper or any further act on the part of any of the parties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Person would be eligible for appointment as a successor Rights Agent under the provisions of Section 21. If at the time such successor Rights Agent succeeds to the agency created by this Agreement any of the Right Certificates shall have been countersigned but not delivered, any such successor Rights Agent may adopt the countersignature of the predecessor Rights Agent and deliver such Right Certificates so countersigned; and if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will have the full force provided in the Right Certificates and in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133" w:name="page134"/>
    <w:bookmarkEnd w:id="133"/>
    <w:p>
      <w:pPr>
        <w:ind w:left="-40" w:right="120" w:firstLine="987"/>
        <w:spacing w:after="0" w:line="301" w:lineRule="auto"/>
        <w:tabs>
          <w:tab w:leader="none" w:pos="1206" w:val="left"/>
        </w:tabs>
        <w:numPr>
          <w:ilvl w:val="1"/>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at any time the name of the Rights Agent changes and at such time any of the Right Certificates have been countersigned but not delivered, the Rights Agent may adopt the countersignature under its prior name and deliver the Right Certificates so countersigned; and if at that time any of the Right Certificates have not been countersigned, the Rights Agent may countersign such Right Certificates either in its prior name or in its changed name; and in all such cases such Right Certificates will have the full force provided in the Right Certificates and in this Agreement.</w:t>
      </w:r>
    </w:p>
    <w:p>
      <w:pPr>
        <w:spacing w:after="0" w:line="157" w:lineRule="exact"/>
        <w:rPr>
          <w:rFonts w:ascii="Arial" w:cs="Arial" w:eastAsia="Arial" w:hAnsi="Arial"/>
          <w:sz w:val="16"/>
          <w:szCs w:val="16"/>
          <w:color w:val="auto"/>
        </w:rPr>
      </w:pPr>
    </w:p>
    <w:p>
      <w:pPr>
        <w:ind w:left="-40" w:right="340" w:firstLine="436"/>
        <w:spacing w:after="0" w:line="308" w:lineRule="auto"/>
        <w:tabs>
          <w:tab w:leader="none" w:pos="670"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Duties of Rights Agent</w:t>
      </w:r>
      <w:r>
        <w:rPr>
          <w:rFonts w:ascii="Arial" w:cs="Arial" w:eastAsia="Arial" w:hAnsi="Arial"/>
          <w:sz w:val="17"/>
          <w:szCs w:val="17"/>
          <w:color w:val="auto"/>
        </w:rPr>
        <w:t>. The Rights Agent undertakes the duties and obligations expressly imposed by this Agreement upon the following terms and conditions, by all of which the Company and the holders of Right Certificates, by their acceptance thereof, will be bound:</w:t>
      </w:r>
    </w:p>
    <w:p>
      <w:pPr>
        <w:spacing w:after="0" w:line="38" w:lineRule="exact"/>
        <w:rPr>
          <w:rFonts w:ascii="Arial" w:cs="Arial" w:eastAsia="Arial" w:hAnsi="Arial"/>
          <w:sz w:val="17"/>
          <w:szCs w:val="17"/>
          <w:color w:val="auto"/>
        </w:rPr>
      </w:pPr>
    </w:p>
    <w:p>
      <w:pPr>
        <w:jc w:val="both"/>
        <w:ind w:left="-40" w:right="120" w:firstLine="987"/>
        <w:spacing w:after="0" w:line="311" w:lineRule="auto"/>
        <w:tabs>
          <w:tab w:leader="none" w:pos="1196"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Rights Agent may consult with legal counsel (who may be legal counsel for the Rights Agent or the Company or an employee of the Rights Agent), and the advice or opinion of such counsel will be full and complete authorization and protection to the Rights Agent and the Rights Agent shall incur no liability for or in respect of any action taken or omitted to be taken by it in accordance with such advice or opinion.</w:t>
      </w:r>
    </w:p>
    <w:p>
      <w:pPr>
        <w:spacing w:after="0" w:line="148" w:lineRule="exact"/>
        <w:rPr>
          <w:rFonts w:ascii="Arial" w:cs="Arial" w:eastAsia="Arial" w:hAnsi="Arial"/>
          <w:sz w:val="16"/>
          <w:szCs w:val="16"/>
          <w:color w:val="auto"/>
        </w:rPr>
      </w:pPr>
    </w:p>
    <w:p>
      <w:pPr>
        <w:ind w:left="-40" w:right="120" w:firstLine="987"/>
        <w:spacing w:after="0" w:line="255" w:lineRule="auto"/>
        <w:tabs>
          <w:tab w:leader="none" w:pos="120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Whenever in the performance of its duties under this Agreement the Rights Agent deems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any one of the Chairman of the Board, the President, any Vice President, the Secretary or the Treasurer of the Company and delivered to the Rights Agent, and such certificate will be full authorization to the Rights Agent for any action taken, suffered or omitted to be taken by it under the provisions of this Agreement in reliance upon such certificate.</w:t>
      </w:r>
    </w:p>
    <w:p>
      <w:pPr>
        <w:spacing w:after="0" w:line="192" w:lineRule="exact"/>
        <w:rPr>
          <w:rFonts w:ascii="Arial" w:cs="Arial" w:eastAsia="Arial" w:hAnsi="Arial"/>
          <w:sz w:val="18"/>
          <w:szCs w:val="18"/>
          <w:color w:val="auto"/>
        </w:rPr>
      </w:pPr>
    </w:p>
    <w:p>
      <w:pPr>
        <w:ind w:left="-40" w:firstLine="987"/>
        <w:spacing w:after="0" w:line="290" w:lineRule="auto"/>
        <w:tabs>
          <w:tab w:leader="none" w:pos="1196"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Rights Agent shall be liable hereunder only for its own gross negligence, bad faith or willful misconduct (which gross negligence, bad faith or willful misconduct must be determined by a final, non-appealable order, judgment, decree or ruling of a court of competent jurisdiction). Any liability of the Rights Agent under this Agreement will be limited to the amount of annual fees paid by the Company to the Rights Agent.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the action; and the Company agrees to indemnify the Rights Agent and its affiliates, directors, employees, representatives and advisors and to hold them harmless to the fullest extent permitted by law against any loss, liability or expense incurred as a result of claims for special, punitive, incidental, indirect or consequential losses or damages of any kind whatsoever.</w:t>
      </w:r>
    </w:p>
    <w:p>
      <w:pPr>
        <w:spacing w:after="0" w:line="165" w:lineRule="exact"/>
        <w:rPr>
          <w:rFonts w:ascii="Arial" w:cs="Arial" w:eastAsia="Arial" w:hAnsi="Arial"/>
          <w:sz w:val="16"/>
          <w:szCs w:val="16"/>
          <w:color w:val="auto"/>
        </w:rPr>
      </w:pPr>
    </w:p>
    <w:p>
      <w:pPr>
        <w:ind w:left="-40" w:right="160" w:firstLine="987"/>
        <w:spacing w:after="0" w:line="263" w:lineRule="auto"/>
        <w:tabs>
          <w:tab w:leader="none" w:pos="120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Rights Agent will not be liable for or by reason of any of the statements of fact or recitals contained in this Agreement or in the Right Certificates (except its countersignature thereof) or be required to verify the same, but all such statements and recitals are and will be deemed to have been made by the Company only.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480" w:top="274" w:right="499" w:bottom="1440" w:gutter="0" w:footer="0" w:header="0"/>
        </w:sectPr>
      </w:pPr>
    </w:p>
    <w:bookmarkStart w:id="134" w:name="page135"/>
    <w:bookmarkEnd w:id="134"/>
    <w:p>
      <w:pPr>
        <w:ind w:left="-20" w:right="20" w:firstLine="987"/>
        <w:spacing w:after="0" w:line="289" w:lineRule="auto"/>
        <w:tabs>
          <w:tab w:leader="none" w:pos="1216" w:val="left"/>
        </w:tabs>
        <w:numPr>
          <w:ilvl w:val="0"/>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Agent will not be under any responsibility or have any liability in respect of the validity of this Agreement or the execution and delivery hereof (except the due execution and delivery hereof by the Rights Agent) or in respect of the validity or execution of any Right Certificate (except its countersignature thereof); nor will it be liable or responsible for any breach by the Company of any covenant contained in this Agreement or in any Right Certificate; nor will it be liable or responsible for any adjustment required under the provisions of Sections 11 or 13 (including any adjustment which results in the Rights becoming null and void) or liable or responsible for the manner, method or amount of any such adjustment or the ascertaining of the existence of facts that would require any such adjustment (except with respect to the exercise of the Rights evidenced by the Right Certificates after actual notice of any such adjustment); nor will it by any act hereunder be deemed to make any representation or warranty as to the authorization or reservation of any shares of stock or other securities to be issued pursuant to this Agreement or any Right Certificate or as to whether any shares of stock or other securities will, when issued, be duly authorized, validly issued, fully paid and non-assessable.</w:t>
      </w:r>
    </w:p>
    <w:p>
      <w:pPr>
        <w:spacing w:after="0" w:line="166" w:lineRule="exact"/>
        <w:rPr>
          <w:rFonts w:ascii="Arial" w:cs="Arial" w:eastAsia="Arial" w:hAnsi="Arial"/>
          <w:sz w:val="16"/>
          <w:szCs w:val="16"/>
          <w:color w:val="auto"/>
        </w:rPr>
      </w:pPr>
    </w:p>
    <w:p>
      <w:pPr>
        <w:jc w:val="both"/>
        <w:ind w:left="-20" w:right="320" w:firstLine="987"/>
        <w:spacing w:after="0" w:line="263" w:lineRule="auto"/>
        <w:tabs>
          <w:tab w:leader="none" w:pos="119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Company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83" w:lineRule="exact"/>
        <w:rPr>
          <w:rFonts w:ascii="Arial" w:cs="Arial" w:eastAsia="Arial" w:hAnsi="Arial"/>
          <w:sz w:val="18"/>
          <w:szCs w:val="18"/>
          <w:color w:val="auto"/>
        </w:rPr>
      </w:pPr>
    </w:p>
    <w:p>
      <w:pPr>
        <w:ind w:left="-20" w:firstLine="987"/>
        <w:spacing w:after="0" w:line="255" w:lineRule="auto"/>
        <w:tabs>
          <w:tab w:leader="none" w:pos="122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Rights Agent is hereby authorized and directed to accept instructions with respect to the performance of its duties hereunder from any one of the Chairman of the Board, the President, any Vice President, the Secretary or the Treasurer of the Company, and to apply to such officers for advice or instructions in connection with its duties, and the Rights Agent will not be liable for any action taken, suffered or omitted to be taken by it in accordance with instructions of any such officer(s). The Rights Agent will be fully authorized and protected in relying upon instructions received by any such officer(s). The Rights Agent will not be held to have notice of any change of authority of any person until its receipt of written notice thereof from the Company.</w:t>
      </w:r>
    </w:p>
    <w:p>
      <w:pPr>
        <w:spacing w:after="0" w:line="192" w:lineRule="exact"/>
        <w:rPr>
          <w:rFonts w:ascii="Arial" w:cs="Arial" w:eastAsia="Arial" w:hAnsi="Arial"/>
          <w:sz w:val="18"/>
          <w:szCs w:val="18"/>
          <w:color w:val="auto"/>
        </w:rPr>
      </w:pPr>
    </w:p>
    <w:p>
      <w:pPr>
        <w:ind w:left="-20" w:right="160" w:firstLine="987"/>
        <w:spacing w:after="0" w:line="257" w:lineRule="auto"/>
        <w:tabs>
          <w:tab w:leader="none" w:pos="122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will preclude the Rights Agent (or its shareholders, affiliates, directors, officers or employees) from acting in any other capacity for the Company or for any other Person.</w:t>
      </w:r>
    </w:p>
    <w:p>
      <w:pPr>
        <w:spacing w:after="0" w:line="187" w:lineRule="exact"/>
        <w:rPr>
          <w:rFonts w:ascii="Arial" w:cs="Arial" w:eastAsia="Arial" w:hAnsi="Arial"/>
          <w:sz w:val="18"/>
          <w:szCs w:val="18"/>
          <w:color w:val="auto"/>
        </w:rPr>
      </w:pPr>
    </w:p>
    <w:p>
      <w:pPr>
        <w:ind w:left="-20" w:right="140" w:firstLine="987"/>
        <w:spacing w:after="0" w:line="254" w:lineRule="auto"/>
        <w:tabs>
          <w:tab w:leader="none" w:pos="118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Rights Agent may execute and exercise any of the rights or powers hereby vested in it or perform any duty hereunder either itself or by or through its attorneys or agents, and the Rights Agent will not be answerable or accountable for any act, default, neglect or misconduct of any such attorneys or agents or for any loss to the Company resulting from any such act, default, neglect or misconduct in the absence of gross negligence, bad faith or willful misconduct in the selection and continued employment thereof (which gross negligence, bad faith or willful misconduct must be determined by a final, non-appealable order, judgment, decree or ruling of a court of competent jurisdiction). The Rights Agent will not be under any duty or responsibility to ensure compliance with any applicable federal or state securities laws in connection with the issuance, transfer or exchange of the Right Certificates.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60" w:top="274" w:right="479" w:bottom="1440" w:gutter="0" w:footer="0" w:header="0"/>
        </w:sectPr>
      </w:pPr>
    </w:p>
    <w:bookmarkStart w:id="135" w:name="page136"/>
    <w:bookmarkEnd w:id="135"/>
    <w:p>
      <w:pPr>
        <w:ind w:left="1204" w:hanging="213"/>
        <w:spacing w:after="0"/>
        <w:tabs>
          <w:tab w:leader="none" w:pos="1204" w:val="left"/>
        </w:tabs>
        <w:numPr>
          <w:ilvl w:val="2"/>
          <w:numId w:val="1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with respect to any Right Certificate surrendered to the Rights Agent for exercise, transfer, split up, combination or exchange, either</w:t>
      </w:r>
    </w:p>
    <w:p>
      <w:pPr>
        <w:spacing w:after="0" w:line="46" w:lineRule="exact"/>
        <w:rPr>
          <w:rFonts w:ascii="Arial" w:cs="Arial" w:eastAsia="Arial" w:hAnsi="Arial"/>
          <w:sz w:val="16"/>
          <w:szCs w:val="16"/>
          <w:color w:val="auto"/>
        </w:rPr>
      </w:pPr>
    </w:p>
    <w:p>
      <w:pPr>
        <w:ind w:left="4" w:right="200" w:hanging="4"/>
        <w:spacing w:after="0" w:line="273" w:lineRule="auto"/>
        <w:tabs>
          <w:tab w:leader="none" w:pos="21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certificate attached to the form of assignment or form of election to purchase, as the case may be, has either not been completed or indicates an affirmative response to clause 1 or 2 thereof, or (ii) any other actual or suspected irregularity exists, the Rights Agent will not take any further action with respect to such requested exercise, transfer, split up, combination or exchange without first consulting with the Company, and will thereafter take further action with respect thereto only in accordance with the Company’s written instructions.</w:t>
      </w:r>
    </w:p>
    <w:p>
      <w:pPr>
        <w:spacing w:after="0" w:line="176" w:lineRule="exact"/>
        <w:rPr>
          <w:rFonts w:ascii="Arial" w:cs="Arial" w:eastAsia="Arial" w:hAnsi="Arial"/>
          <w:sz w:val="17"/>
          <w:szCs w:val="17"/>
          <w:color w:val="auto"/>
        </w:rPr>
      </w:pPr>
    </w:p>
    <w:p>
      <w:pPr>
        <w:ind w:left="4" w:right="60" w:firstLine="987"/>
        <w:spacing w:after="0" w:line="263" w:lineRule="auto"/>
        <w:tabs>
          <w:tab w:leader="none" w:pos="125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its rights if it believes that repayment of such funds or adequate indemnification against such risk or liability is not reasonably assured to it.</w:t>
      </w:r>
    </w:p>
    <w:p>
      <w:pPr>
        <w:spacing w:after="0" w:line="183" w:lineRule="exact"/>
        <w:rPr>
          <w:rFonts w:ascii="Arial" w:cs="Arial" w:eastAsia="Arial" w:hAnsi="Arial"/>
          <w:sz w:val="18"/>
          <w:szCs w:val="18"/>
          <w:color w:val="auto"/>
        </w:rPr>
      </w:pPr>
    </w:p>
    <w:p>
      <w:pPr>
        <w:ind w:left="4" w:right="160" w:firstLine="987"/>
        <w:spacing w:after="0" w:line="296" w:lineRule="auto"/>
        <w:tabs>
          <w:tab w:leader="none" w:pos="121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In the event that the Rights Agent reasonably believes any ambiguity or uncertainty exists hereunder or in any notice, instruction, direction, request or other communication, paper or document received by the Rights Agent hereunder, the Rights Agent shall, as soon as practicable, inform the Company or such Person seeking clarification and may, in its sole discretion, refrain from taking any action, and will be fully protected and will not be liable in any way to the Company or other Person or entity for refraining from taking such action, unless the Rights Agent receives written instructions signed by the Company which eliminates such ambiguity or uncertainty to the reasonable satisfaction of the Rights Agent.</w:t>
      </w:r>
    </w:p>
    <w:p>
      <w:pPr>
        <w:spacing w:after="0" w:line="161" w:lineRule="exact"/>
        <w:rPr>
          <w:rFonts w:ascii="Arial" w:cs="Arial" w:eastAsia="Arial" w:hAnsi="Arial"/>
          <w:sz w:val="16"/>
          <w:szCs w:val="16"/>
          <w:color w:val="auto"/>
        </w:rPr>
      </w:pPr>
    </w:p>
    <w:p>
      <w:pPr>
        <w:ind w:left="4" w:firstLine="436"/>
        <w:spacing w:after="0" w:line="268" w:lineRule="auto"/>
        <w:tabs>
          <w:tab w:leader="none" w:pos="714" w:val="left"/>
        </w:tabs>
        <w:numPr>
          <w:ilvl w:val="1"/>
          <w:numId w:val="170"/>
        </w:numPr>
        <w:rPr>
          <w:rFonts w:ascii="Arial" w:cs="Arial" w:eastAsia="Arial" w:hAnsi="Arial"/>
          <w:sz w:val="17"/>
          <w:szCs w:val="17"/>
          <w:color w:val="auto"/>
        </w:rPr>
      </w:pPr>
      <w:r>
        <w:rPr>
          <w:rFonts w:ascii="Arial" w:cs="Arial" w:eastAsia="Arial" w:hAnsi="Arial"/>
          <w:sz w:val="17"/>
          <w:szCs w:val="17"/>
          <w:u w:val="single" w:color="auto"/>
          <w:color w:val="auto"/>
        </w:rPr>
        <w:t>Change of Rights Agent</w:t>
      </w:r>
      <w:r>
        <w:rPr>
          <w:rFonts w:ascii="Arial" w:cs="Arial" w:eastAsia="Arial" w:hAnsi="Arial"/>
          <w:sz w:val="17"/>
          <w:szCs w:val="17"/>
          <w:color w:val="auto"/>
        </w:rPr>
        <w:t>. The Rights Agent or any successor Rights Agent may resign and be discharged from its duties under this Agreement upon 30 calendar days’ notice in writing mailed to the Company in accordance with Section 26 hereof and, in the event that the Rights Agent or one of its Affiliates is not also the transfer agent for the Company, to each transfer agent of the Preferred Shares or the Common Shares, by first-class mail, postage prepaid, or nationally recognized overnight delivery. In the event that the transfer agency relationship in effect between the Company and the Rights Agent terminates, the Rights Agent will be deemed to have resigned automatically and be discharged from its duties under this Agreement as of the effective date of such termination, and the Company shall be responsible for sending any required notice. The Company may remove the Rights Agent or any successor Rights Agent upon 30 calendar days’ notice in writing, mailed to the Rights Agent or such successor Rights Agent, as the case may be, and to each transfer agent of the Preferred Shares and the Common Shares by registered or certified mail, and to the holders of the Right Certificates by first-class mail. If the Rights Agent resigns or is removed or otherwise becomes incapable of acting, the Company will appoint a successor to the Rights Agent. If the Company fails to make such appointment within a period of 90 calendar days after giving notice of such removal or after it has been notified in writing of such resignation or incapacity by the resigning or incapacitated Rights Agent or by the holder of a Right Certificate (who will, with such notice, submit his/her Right Certificate for inspection by the Company), then the registered holder of any Right Certificate may apply to any court of competent jurisdiction for the appointment of a new Rights Agent. Any successor Rights Agent, whether appointed by the Company or by such a court, will be a corporation or other legal entity organized and doing business under the laws of the United States, in good standing, which is authorized under such laws to exercise stockholder services powers and is subject to supervision or examination by federal or state authority and</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136" w:name="page137"/>
    <w:bookmarkEnd w:id="136"/>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has, along with its Affiliates, at the time of its appointment as Rights Agent a combined capital and surplus of at least $50 million. After its appointment, the successor Rights Agent will be vested with the same powers, rights, duties and responsibilities as if it had been originally named as Rights Agent without further act or deed; but the predecessor Rights Agent will deliver to the successor Rights Agent any property at the time held by it hereunder, and will execute and deliver any further assurance, conveyance, act or deed necessary for the purpose. Not later than the effective date of any such appointment, the Company will file notice thereof in writing with the predecessor Rights Agent and each transfer agent of the Preferred Shares and/or the Common Shares, and mail a notice thereof in writing to the registered holders of the Right Certificates. Failure to give any notice provided for in this Section 21, however, or any defect therein, will not affect the legality or validity of the resignation or removal of the Rights Agent or the appointment of the successor Rights Agent, as the case may be.</w:t>
      </w:r>
    </w:p>
    <w:p>
      <w:pPr>
        <w:spacing w:after="0" w:line="178" w:lineRule="exact"/>
        <w:rPr>
          <w:sz w:val="20"/>
          <w:szCs w:val="20"/>
          <w:color w:val="auto"/>
        </w:rPr>
      </w:pPr>
    </w:p>
    <w:p>
      <w:pPr>
        <w:ind w:right="20" w:firstLine="436"/>
        <w:spacing w:after="0" w:line="287" w:lineRule="auto"/>
        <w:tabs>
          <w:tab w:leader="none" w:pos="710"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Issuance of New Right Certificates</w:t>
      </w:r>
      <w:r>
        <w:rPr>
          <w:rFonts w:ascii="Arial" w:cs="Arial" w:eastAsia="Arial" w:hAnsi="Arial"/>
          <w:sz w:val="16"/>
          <w:szCs w:val="16"/>
          <w:color w:val="auto"/>
        </w:rPr>
        <w:t xml:space="preserve">. Notwithstanding any of the provisions of this Agreement or of the Right Certificates to the contrary, the Company may, at its option, issue new Right Certificates evidencing Rights in such form as may be approved by the Board to reflect any adjustment or change in the Purchase Price per share and the number and/or kind of securities issuable upon the exercise of the Rights made in accordance with the provisions of this Agreement. In addition, in connection with the issuance or sale by the Company of Common Shares following the Distribution Date and prior to the Expiration Date, the Company (a) will, with respect to Common Shares so issued or sold pursuant to the exercise, exchange or conversion of securities (other than the Rights) issued prior to the Distribution Date which are exercisable or exchangeable for, or convertible into, Common Shares, and (b) may, in any other case, if deemed necessary, appropriate or desirable by the Board, issue Right Certificates representing an equivalent number of Rights as would have been issued in respect of such Common Shares if they had been issued or sold prior to the Distribution Date, as appropriately adjusted as provided herein as if they had been so issued or sold;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no such Right Certificate will be issued if, and to the extent that, in its good faith judgment the Board determines that the issuance of such Right Certificate could have a material adverse tax consequence to the Company or to the Person to whom or which such Right Certificate otherwise would be issued and (ii) no such Right Certificate will be issued if, and to the extent that, appropriate adjustment otherwise has been made in lieu of the issuance thereof.</w:t>
      </w:r>
    </w:p>
    <w:p>
      <w:pPr>
        <w:spacing w:after="0" w:line="167" w:lineRule="exact"/>
        <w:rPr>
          <w:rFonts w:ascii="Arial" w:cs="Arial" w:eastAsia="Arial" w:hAnsi="Arial"/>
          <w:sz w:val="16"/>
          <w:szCs w:val="16"/>
          <w:color w:val="auto"/>
        </w:rPr>
      </w:pPr>
    </w:p>
    <w:p>
      <w:pPr>
        <w:ind w:firstLine="436"/>
        <w:spacing w:after="0" w:line="257" w:lineRule="auto"/>
        <w:tabs>
          <w:tab w:leader="none" w:pos="71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(a) The Board may, at its option, at any time prior to such time as any Person becomes an Acquiring Person, redeem all but not less than all of the then-outstanding Rights at the Redemption Price. Any such redemption will be effective immediately upon the action of the Board ordering the same, unless such action of the Board expressly provides that such redemption will be effective at a subsequent time or upon the occurrence or nonoccurrence of one or more specified events (in which case such redemption will be effective in accordance with the provisions of such action of the Board).</w:t>
      </w:r>
    </w:p>
    <w:p>
      <w:pPr>
        <w:spacing w:after="0" w:line="187" w:lineRule="exact"/>
        <w:rPr>
          <w:rFonts w:ascii="Arial" w:cs="Arial" w:eastAsia="Arial" w:hAnsi="Arial"/>
          <w:sz w:val="18"/>
          <w:szCs w:val="18"/>
          <w:color w:val="auto"/>
        </w:rPr>
      </w:pPr>
    </w:p>
    <w:p>
      <w:pPr>
        <w:ind w:right="40" w:firstLine="987"/>
        <w:spacing w:after="0" w:line="279" w:lineRule="auto"/>
        <w:tabs>
          <w:tab w:leader="none" w:pos="1246"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Immediately upon the effectiveness of the redemption of the Rights as provided in Section 23(a), and without any further action and without any notice, the right to exercise the Rights will terminate and the only right thereafter of the holders of Rights will be to receive the Redemption Price, without interest thereon. Promptly after the effectiveness of the redemption of the Rights as provided in Section 23(a), the Company will publicly announce such redemption (with prompt written notice to the Rights Agent) and, within 10 calendar days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37" w:name="page138"/>
    <w:bookmarkEnd w:id="13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thereafter, will give notice of such redemption to the holders of the then-outstanding Rights by mailing such notice to all such holders at their last addresses as they appear upon the registry books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to give, or any defect in, any such notice will not affect the validity of the redemption of the Rights. Any notice that is mailed in the manner herein provided will be deemed given, whether or not the holder receives such notice. The notice of redemption mailed to the holders of Rights will state the method by which the payment of the Redemption Price will be made. The Company may, at its option, pay the Redemption Price in cash, Common Shares (based upon the current per share market price of the Common Shares (as determined pursuant to Section 11(d)) at the time of such redemption), or any other form of consideration deemed appropriate by the Board (based upon the fair market value of such other consideration, as determined by the Board in good faith) or any combination thereof. The Company may, at its option, combine the payment of the Redemption Price with any other payment being made concurrently to the holders of Common Shares and, to the extent that any such other payment is discretionary, may reduce the amount thereof on account of the concurrent payment of the Redemption Price. If legal or contractual restrictions prevent the Company from paying the Redemption Price (in the form of consideration deemed appropriate by the Board) at the time of such redemption, the Company will pay the Redemption Price, without interest, promptly after such time as the Company ceases to be so prevented from paying the Redemption Price.</w:t>
      </w:r>
    </w:p>
    <w:p>
      <w:pPr>
        <w:spacing w:after="0" w:line="179" w:lineRule="exact"/>
        <w:rPr>
          <w:sz w:val="20"/>
          <w:szCs w:val="20"/>
          <w:color w:val="auto"/>
        </w:rPr>
      </w:pPr>
    </w:p>
    <w:p>
      <w:pPr>
        <w:ind w:right="20" w:firstLine="436"/>
        <w:spacing w:after="0" w:line="286" w:lineRule="auto"/>
        <w:tabs>
          <w:tab w:leader="none" w:pos="71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Exchange</w:t>
      </w:r>
      <w:r>
        <w:rPr>
          <w:rFonts w:ascii="Arial" w:cs="Arial" w:eastAsia="Arial" w:hAnsi="Arial"/>
          <w:sz w:val="16"/>
          <w:szCs w:val="16"/>
          <w:color w:val="auto"/>
        </w:rPr>
        <w:t>. (a) The Board may, at its option, at any time after any Person becomes an Acquiring Person, exchange all or part of the then-outstanding and exercisable Rights (which will not include Rights that have become null and void pursuant to the provisions of Section 11(a)(ii)) for Common Shares at an exchange ratio of two Common Shares per Right, appropriately adjusted to reflect any stock split, stock dividend or similar transaction occurring after the Record Date (such exchange ratio being hereinafter referred to as the “</w:t>
      </w:r>
      <w:r>
        <w:rPr>
          <w:rFonts w:ascii="Arial" w:cs="Arial" w:eastAsia="Arial" w:hAnsi="Arial"/>
          <w:sz w:val="16"/>
          <w:szCs w:val="16"/>
          <w:b w:val="1"/>
          <w:bCs w:val="1"/>
          <w:i w:val="1"/>
          <w:iCs w:val="1"/>
          <w:color w:val="auto"/>
        </w:rPr>
        <w:t>Exchange Ratio</w:t>
      </w:r>
      <w:r>
        <w:rPr>
          <w:rFonts w:ascii="Arial" w:cs="Arial" w:eastAsia="Arial" w:hAnsi="Arial"/>
          <w:sz w:val="16"/>
          <w:szCs w:val="16"/>
          <w:color w:val="auto"/>
        </w:rPr>
        <w:t>”). Any such exchange will be effective immediately upon the action of the Board ordering the same, unless such action of the Board expressly provides that such exchange will be effective at a subsequent time or upon the occurrence or nonoccurrence of one or more specified events (in which case such exchange will be effective in accordance with the provisions of such action of the Board). Prior to effecting an exchange pursuant to this Section 24, the Board may direct the Company to enter into a Trust Agreement in such form and with such terms as the Board shall then approve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If the Board so directs, the Company shall enter into the Trust Agreement and shall issue to the trust created by such agreement (the “</w:t>
      </w:r>
      <w:r>
        <w:rPr>
          <w:rFonts w:ascii="Arial" w:cs="Arial" w:eastAsia="Arial" w:hAnsi="Arial"/>
          <w:sz w:val="16"/>
          <w:szCs w:val="16"/>
          <w:b w:val="1"/>
          <w:bCs w:val="1"/>
          <w:i w:val="1"/>
          <w:iCs w:val="1"/>
          <w:color w:val="auto"/>
        </w:rPr>
        <w:t>Trust</w:t>
      </w:r>
      <w:r>
        <w:rPr>
          <w:rFonts w:ascii="Arial" w:cs="Arial" w:eastAsia="Arial" w:hAnsi="Arial"/>
          <w:sz w:val="16"/>
          <w:szCs w:val="16"/>
          <w:color w:val="auto"/>
        </w:rPr>
        <w:t>”) all of the Common Shares issuable pursuant to the exchange, and all Persons entitled to receive Common Shares pursuant to the exchange shall be entitled to receive such Common Shares (and any dividends or distributions made thereon after the date on which such shares are deposited in the Trust) only from the Trust and solely upon compliance with the relevant terms and provisions of the Trust Agreement. Notwithstanding the foregoing, the Board will not be empowered to effect such exchange at any time after any Acquiring Person, who or which, together with all Affiliates and Associates of such Person, becomes the Beneficial Owner of 50% or more of the then-outstanding Common Shares.</w:t>
      </w:r>
    </w:p>
    <w:p>
      <w:pPr>
        <w:spacing w:after="0" w:line="170" w:lineRule="exact"/>
        <w:rPr>
          <w:rFonts w:ascii="Arial" w:cs="Arial" w:eastAsia="Arial" w:hAnsi="Arial"/>
          <w:sz w:val="16"/>
          <w:szCs w:val="16"/>
          <w:color w:val="auto"/>
        </w:rPr>
      </w:pPr>
    </w:p>
    <w:p>
      <w:pPr>
        <w:ind w:right="140" w:firstLine="987"/>
        <w:spacing w:after="0" w:line="263" w:lineRule="auto"/>
        <w:tabs>
          <w:tab w:leader="none" w:pos="124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Immediately upon the effectiveness of the exchange of any Rights as provided in Section 24(a), and without any further action and without any notice, the right to exercise such Rights will terminate and the only right with respect to such Rights thereafter of the holder of such Rights will be to receive that number of Common Shares equal to the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138" w:name="page139"/>
    <w:bookmarkEnd w:id="13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such Rights held by such holder multiplied by the Exchange Ratio. Promptly after the effectiveness of the exchange of any Rights as provided in Section 24(a), the Company will publicly announce such exchange (with prompt written notice thereof also provided to the Rights Agent) and, within 10 calendar days thereafter, will give notice of such exchange to all of the holders of such Rights at their last addresses as they appear upon the registry books of the Rights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to give, or any defect in, such notice will not affect the validity of such exchange. Any notice that is mailed in the manner herein provided will be deemed given, whether or not the holder receives such notice. Each such notice of exchange will state the method by which the exchange of the Common Shares for the Rights will be effected and, in the event of any partial exchange, the number of Rights which will be exchanged. Any partial exchange will be effected pro rata based on the number of Rights (other than Rights which have become null and void pursuant to the provisions of Section 11(a)(ii)) held by each holder of Rights.</w:t>
      </w:r>
    </w:p>
    <w:p>
      <w:pPr>
        <w:spacing w:after="0" w:line="178" w:lineRule="exact"/>
        <w:rPr>
          <w:sz w:val="20"/>
          <w:szCs w:val="20"/>
          <w:color w:val="auto"/>
        </w:rPr>
      </w:pPr>
    </w:p>
    <w:p>
      <w:pPr>
        <w:ind w:firstLine="987"/>
        <w:spacing w:after="0" w:line="275" w:lineRule="auto"/>
        <w:tabs>
          <w:tab w:leader="none" w:pos="123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In any exchange pursuant to this Section 24, the Company, at its option, may substitute for any Common Share exchangeable for a Right (i) equivalent common shares (as such term is used in Section 11(a)(iii)), (ii) cash, (iii) debt securities of the Company, (iv) other assets, or (v) any combination of the foregoing, in any event having an aggregate value, as determined in good faith by the Board (which determination will be described in a written statement filed with the Rights Agent), equal to the current market value of one Common Share (as determined pursuant to Section 11(d)) on the Trading Day immediately preceding the date of the effectiveness of the exchange pursuant to this Section 24.</w:t>
      </w:r>
    </w:p>
    <w:p>
      <w:pPr>
        <w:spacing w:after="0" w:line="176" w:lineRule="exact"/>
        <w:rPr>
          <w:rFonts w:ascii="Arial" w:cs="Arial" w:eastAsia="Arial" w:hAnsi="Arial"/>
          <w:sz w:val="17"/>
          <w:szCs w:val="17"/>
          <w:color w:val="auto"/>
        </w:rPr>
      </w:pPr>
    </w:p>
    <w:p>
      <w:pPr>
        <w:ind w:right="20" w:firstLine="436"/>
        <w:spacing w:after="0" w:line="285" w:lineRule="auto"/>
        <w:tabs>
          <w:tab w:leader="none" w:pos="71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(a) If after the Distribution Date the Company proposes (i) to pay any dividend payable in stock of any class to the holders of Preferred Shares or to make any other distribution to the holders of Preferred Shares (other than a regular periodic cash dividend), (ii) to offer to the holders of Preferred Shares rights, options or warrants to subscribe for or to purchase any additional Preferred Shares or shares of stock of any class or any other securities, rights or options, (iii) to effect any reclassification of its Preferred Shares (other than a reclassification involving only the subdivision of outstanding Preferred Shares), (iv) to effect any consolidation or merger into or with, or to effect any sale or other transfer (or to permit one or more of its Subsidiaries to effect any sale or other transfer), in one or more transactions, of assets or earning power (including, without limitation, securities creating any obligation on the part of the Company and/or any of its Subsidiaries) representing more than 50% of the assets and earning power of the Company and its Subsidiaries, taken as a whole, to any other Person or Persons other than the Company or one or more of its wholly owned Subsidiaries, (v) to effect the liquidation, dissolution or winding up of the Company, or (vi) to declare or pay any dividend on the Common Shares payable in Common Shares or to effect a subdivision, combination or reclassification of the Common Shares, then, in each such case, the Company will give to the Rights Agent and each holder of a Right Certificate, to the extent feasible and in accordance with Section 26 hereof, a notice of such proposed action, which specifies the record date for the purposes of such stock dividend, distribution or offering of rights, options or warrants, or the date on which such reclassification, consolidation, merger, sale, transfer, liquidation, dissolution or winding up is to take place and the date of participation therein by the holders of the Common Shares and/or Preferred Shares, if any such date is to be fixed, and such notice will be so given, in the case of any action covered by clause (i) or (ii) above, at least 10 calendar days prior to the record date for determining the holders of the Preferred Shares for the purposes of such action, and, in the case of any such other action, at least 10 calendar days prior to the date of the taking of such proposed action or the date of participation therein by the holders of the Common Shares and/or Preferred Shares, whichever is the earlier.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39" w:name="page140"/>
    <w:bookmarkEnd w:id="139"/>
    <w:p>
      <w:pPr>
        <w:ind w:left="-100" w:right="40" w:firstLine="987"/>
        <w:spacing w:after="0" w:line="263" w:lineRule="auto"/>
        <w:tabs>
          <w:tab w:leader="none" w:pos="1146" w:val="left"/>
        </w:tabs>
        <w:numPr>
          <w:ilvl w:val="1"/>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any Triggering Event occurs, then, in any such case, the Company will as soon as practicable thereafter give to the Rights Agent and each holder of a Right Certificate, in accordance with Section 26 hereof, a notice in writing of the occurrence of such event, which specifies the event and the consequences of the event to the holders of Rights.</w:t>
      </w:r>
    </w:p>
    <w:p>
      <w:pPr>
        <w:spacing w:after="0" w:line="183" w:lineRule="exact"/>
        <w:rPr>
          <w:rFonts w:ascii="Arial" w:cs="Arial" w:eastAsia="Arial" w:hAnsi="Arial"/>
          <w:sz w:val="18"/>
          <w:szCs w:val="18"/>
          <w:color w:val="auto"/>
        </w:rPr>
      </w:pPr>
    </w:p>
    <w:p>
      <w:pPr>
        <w:ind w:left="-100" w:right="260" w:firstLine="987"/>
        <w:spacing w:after="0" w:line="263" w:lineRule="auto"/>
        <w:tabs>
          <w:tab w:leader="none" w:pos="1136" w:val="left"/>
        </w:tabs>
        <w:numPr>
          <w:ilvl w:val="1"/>
          <w:numId w:val="17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prior to the Distribution Date, a press release issued with national distribution or a filing by the Company with the SEC shall constitute sufficient notice to the holders of any Rights or of any Common Shares for the purposes of this Agreement.</w:t>
      </w:r>
    </w:p>
    <w:p>
      <w:pPr>
        <w:spacing w:after="0" w:line="183" w:lineRule="exact"/>
        <w:rPr>
          <w:rFonts w:ascii="Arial" w:cs="Arial" w:eastAsia="Arial" w:hAnsi="Arial"/>
          <w:sz w:val="18"/>
          <w:szCs w:val="18"/>
          <w:color w:val="auto"/>
        </w:rPr>
      </w:pPr>
    </w:p>
    <w:p>
      <w:pPr>
        <w:ind w:left="-100" w:right="40" w:firstLine="436"/>
        <w:spacing w:after="0" w:line="263" w:lineRule="auto"/>
        <w:tabs>
          <w:tab w:leader="none" w:pos="61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 Notices or demands authorized by this Agreement to be given or made by the Rights Agent or by the holder of any Right Certificate to or on the Company will be sufficiently given or made if sent in writing by first-class mail, postage prepaid, or overnight delivery service, addressed (until another address is filed in writing with the Rights Agent) as follows: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P10, Inc.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4514 Cole Avenue, Suite 1600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Dallas, Texas 75205</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Corporate Secretary</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to (which copy shall not constitute notice):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Olshan Frome Wolosky LLP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Adam W. Finerman, Esq.</w:t>
      </w:r>
    </w:p>
    <w:p>
      <w:pPr>
        <w:spacing w:after="0" w:line="211" w:lineRule="exact"/>
        <w:rPr>
          <w:sz w:val="20"/>
          <w:szCs w:val="20"/>
          <w:color w:val="auto"/>
        </w:rPr>
      </w:pPr>
    </w:p>
    <w:p>
      <w:pPr>
        <w:ind w:left="-100" w:right="300" w:firstLine="987"/>
        <w:spacing w:after="0" w:line="286" w:lineRule="auto"/>
        <w:tabs>
          <w:tab w:leader="none" w:pos="1146" w:val="left"/>
        </w:tabs>
        <w:numPr>
          <w:ilvl w:val="0"/>
          <w:numId w:val="177"/>
        </w:numPr>
        <w:rPr>
          <w:rFonts w:ascii="Arial" w:cs="Arial" w:eastAsia="Arial" w:hAnsi="Arial"/>
          <w:sz w:val="17"/>
          <w:szCs w:val="17"/>
          <w:color w:val="auto"/>
        </w:rPr>
      </w:pPr>
      <w:r>
        <w:rPr>
          <w:rFonts w:ascii="Arial" w:cs="Arial" w:eastAsia="Arial" w:hAnsi="Arial"/>
          <w:sz w:val="17"/>
          <w:szCs w:val="17"/>
          <w:color w:val="auto"/>
        </w:rPr>
        <w:t>Subject to the provisions of Section 21 hereof, any notice or demand authorized by this Agreement to be given or made by the Company or by the holder of any Right Certificate to or on the Rights Agent will be sufficiently given or made if sent in writing by first-class mail, postage prepaid, or overnight delivery service, addressed (until another address is filed in writing with the Company) as follows:</w:t>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American Stock Transfer &amp; Trust Company, LLC</w:t>
      </w:r>
    </w:p>
    <w:p>
      <w:pPr>
        <w:spacing w:after="0" w:line="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6201 15</w:t>
      </w:r>
      <w:r>
        <w:rPr>
          <w:rFonts w:ascii="Arial" w:cs="Arial" w:eastAsia="Arial" w:hAnsi="Arial"/>
          <w:sz w:val="15"/>
          <w:szCs w:val="15"/>
          <w:color w:val="auto"/>
        </w:rPr>
        <w:t>th</w:t>
      </w:r>
      <w:r>
        <w:rPr>
          <w:rFonts w:ascii="Arial" w:cs="Arial" w:eastAsia="Arial" w:hAnsi="Arial"/>
          <w:sz w:val="18"/>
          <w:szCs w:val="18"/>
          <w:color w:val="auto"/>
        </w:rPr>
        <w:t xml:space="preserve"> Avenue</w:t>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Brooklyn, New York 11219</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Stock Transfer Administration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to (which copy shall not constitute notice):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American Stock Transfer &amp; Trust Company, LLC</w:t>
      </w:r>
    </w:p>
    <w:p>
      <w:pPr>
        <w:spacing w:after="0" w:line="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48 Wall Street, 22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Legal Department</w:t>
      </w:r>
    </w:p>
    <w:p>
      <w:pPr>
        <w:spacing w:after="0" w:line="211" w:lineRule="exact"/>
        <w:rPr>
          <w:sz w:val="20"/>
          <w:szCs w:val="20"/>
          <w:color w:val="auto"/>
        </w:rPr>
      </w:pPr>
    </w:p>
    <w:p>
      <w:pPr>
        <w:ind w:left="-100" w:firstLine="987"/>
        <w:spacing w:after="0" w:line="259" w:lineRule="auto"/>
        <w:tabs>
          <w:tab w:leader="none" w:pos="11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Notices or demands authorized by this Agreement to be given or made by the Company or the Rights Agent to the holder of any Right Certificate (or, if prior to the Distribution Date, to the holder of any Common Shares) will be sufficiently given or made if sent in writing by first-class mail, postage prepaid, or overnight delivery service, addressed to such holder at the address of such holder as shown on the registry books of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00"/>
          </w:cols>
          <w:pgMar w:left="540" w:top="274" w:right="559" w:bottom="1440" w:gutter="0" w:footer="0" w:header="0"/>
        </w:sectPr>
      </w:pPr>
    </w:p>
    <w:bookmarkStart w:id="140" w:name="page141"/>
    <w:bookmarkEnd w:id="140"/>
    <w:p>
      <w:pPr>
        <w:ind w:left="4" w:right="20" w:firstLine="436"/>
        <w:spacing w:after="0" w:line="284" w:lineRule="auto"/>
        <w:tabs>
          <w:tab w:leader="none" w:pos="714"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Supplements and Amendments</w:t>
      </w:r>
      <w:r>
        <w:rPr>
          <w:rFonts w:ascii="Arial" w:cs="Arial" w:eastAsia="Arial" w:hAnsi="Arial"/>
          <w:sz w:val="16"/>
          <w:szCs w:val="16"/>
          <w:color w:val="auto"/>
        </w:rPr>
        <w:t>. Prior to the time at which any Person becomes an Acquiring Person, and subject to the penultimate sentence of this Section 27, the Company may, in its sole and absolute discretion, and the Rights Agent will if the Company so directs, supplement or amend any provision of this Agreement in any respect without the approval of any holders of the Rights or Common Shares. At any time, and subject to the penultimate sentence of this Section 27, the Company may, and the Rights Agent will if the Company so directs, supplement or amend this Agreement without the approval of any holders of the Rights or Common Shares in order (i) to cure any ambiguity, (ii) to correct or supplement any provision contained herein which may be defective or inconsistent with any other provisions herein, (iii) to shorten or lengthen any time period hereunder, or</w:t>
      </w:r>
    </w:p>
    <w:p>
      <w:pPr>
        <w:spacing w:after="0" w:line="4" w:lineRule="exact"/>
        <w:rPr>
          <w:rFonts w:ascii="Arial" w:cs="Arial" w:eastAsia="Arial" w:hAnsi="Arial"/>
          <w:sz w:val="16"/>
          <w:szCs w:val="16"/>
          <w:color w:val="auto"/>
        </w:rPr>
      </w:pPr>
    </w:p>
    <w:p>
      <w:pPr>
        <w:ind w:left="4" w:hanging="4"/>
        <w:spacing w:after="0" w:line="266" w:lineRule="auto"/>
        <w:tabs>
          <w:tab w:leader="none" w:pos="30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to supplement or amend the provisions hereunder in any manner which the Company may deem desirable;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from and after the time any Person becomes an Acquiring Person, no such supplement or amendment shall adversely affect the interests of the holders of Rights as such (other than an Acquiring Person or an Affiliate or Associate of an Acquiring Person), and no such supplement or amendment shall cause the Rights again to become redeemable or cause this Agreement again to become supplementable or amendable other than in accordance with the terms of this Section 27. Without limiting the generality or effect of the foregoing, this Agreement may be supplemented or amended to provide for such voting powers for the Rights and such procedures for the exercise thereof, if any, as the Board may determine to be appropriate. Notwithstanding anything in this Agreement to the contrary, any supplement or amendment to this Agreement shall be evidenced by a writing signed by the Company and the Rights Agent. Upon the delivery of a certificate from an appropriate officer of the Company which states that the proposed supplement or amendment is in compliance with the terms of this Section 27, the Rights Agent will execute such supplement or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supplement or amendment does not adversely affect the rights, duties, obligations or immunities of the Rights Agent under this Agreement. Notwithstanding anything in this Agreement to the contrary, no supplement or amendment may be made which decreases the stated Redemption Price to an amount less than $0.001 per Right. Notwithstanding anything in this Agreement to the contrary, the limitations on the ability of the Board to amend this Agreement set forth in this Section 27 shall not affect the power or ability of the Board to take any other action that is consistent with its fiduciary duties under applicable Delaware law, including, without limitation, accelerating or extending the Expiration Date or making any other amendment to this Agreement that is permitted by this Section 27 or adopting a new stockholder rights agreement with such terms as the Board determines in its sole discretion to be appropriate.</w:t>
      </w:r>
    </w:p>
    <w:p>
      <w:pPr>
        <w:spacing w:after="0" w:line="191" w:lineRule="exact"/>
        <w:rPr>
          <w:rFonts w:ascii="Arial" w:cs="Arial" w:eastAsia="Arial" w:hAnsi="Arial"/>
          <w:sz w:val="17"/>
          <w:szCs w:val="17"/>
          <w:color w:val="auto"/>
        </w:rPr>
      </w:pPr>
    </w:p>
    <w:p>
      <w:pPr>
        <w:ind w:left="4" w:right="440" w:firstLine="436"/>
        <w:spacing w:after="0" w:line="277" w:lineRule="auto"/>
        <w:tabs>
          <w:tab w:leader="none" w:pos="714"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Successors; Certain Covenants</w:t>
      </w:r>
      <w:r>
        <w:rPr>
          <w:rFonts w:ascii="Arial" w:cs="Arial" w:eastAsia="Arial" w:hAnsi="Arial"/>
          <w:sz w:val="18"/>
          <w:szCs w:val="18"/>
          <w:color w:val="auto"/>
        </w:rPr>
        <w:t>. All of the covenants and provisions of this Agreement by or for the benefit of the Company or the Rights Agent will be binding on and inure to the benefit of their respective successors and assigns hereunder.</w:t>
      </w:r>
    </w:p>
    <w:p>
      <w:pPr>
        <w:spacing w:after="0" w:line="170" w:lineRule="exact"/>
        <w:rPr>
          <w:rFonts w:ascii="Arial" w:cs="Arial" w:eastAsia="Arial" w:hAnsi="Arial"/>
          <w:sz w:val="18"/>
          <w:szCs w:val="18"/>
          <w:color w:val="auto"/>
        </w:rPr>
      </w:pPr>
    </w:p>
    <w:p>
      <w:pPr>
        <w:ind w:left="4" w:right="20" w:firstLine="436"/>
        <w:spacing w:after="0" w:line="259" w:lineRule="auto"/>
        <w:tabs>
          <w:tab w:leader="none" w:pos="714"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Benefits of This Agreement</w:t>
      </w:r>
      <w:r>
        <w:rPr>
          <w:rFonts w:ascii="Arial" w:cs="Arial" w:eastAsia="Arial" w:hAnsi="Arial"/>
          <w:sz w:val="18"/>
          <w:szCs w:val="18"/>
          <w:color w:val="auto"/>
        </w:rPr>
        <w:t>. Nothing in this Agreement will be construed to give to any Person other than the Company, the Rights Agent, and the registered holders of the Right Certificates (and, prior to the Distribution Date, the Common Shares) any legal or equitable right, remedy or claim under this Agreement. This Agreement will be for the sole and exclusive benefit of the Company, the Rights Agent, and the registered holders of the Right Certificates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4"/>
          </w:cols>
          <w:pgMar w:left="436" w:top="274" w:right="439" w:bottom="1440" w:gutter="0" w:footer="0" w:header="0"/>
        </w:sectPr>
      </w:pPr>
    </w:p>
    <w:bookmarkStart w:id="141" w:name="page142"/>
    <w:bookmarkEnd w:id="14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prior to the Distribution Date, the Common Shares). The Company and, by accepting the Rights hereunder, each holder of the Rights:</w:t>
      </w:r>
    </w:p>
    <w:p>
      <w:pPr>
        <w:spacing w:after="0" w:line="23" w:lineRule="exact"/>
        <w:rPr>
          <w:sz w:val="20"/>
          <w:szCs w:val="20"/>
          <w:color w:val="auto"/>
        </w:rPr>
      </w:pPr>
    </w:p>
    <w:p>
      <w:pPr>
        <w:ind w:left="4" w:hanging="4"/>
        <w:spacing w:after="0" w:line="281" w:lineRule="auto"/>
        <w:tabs>
          <w:tab w:leader="none" w:pos="24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irrevocably submit to the exclusive jurisdiction of the Court of Chancery of the State of Delaware, or, if such court shall lack subject matter jurisdiction, the United States District Court for the District of Delaware, over any suit, action or proceeding arising out of or relating to this Agreement;</w:t>
      </w:r>
    </w:p>
    <w:p>
      <w:pPr>
        <w:spacing w:after="0" w:line="1" w:lineRule="exact"/>
        <w:rPr>
          <w:rFonts w:ascii="Arial" w:cs="Arial" w:eastAsia="Arial" w:hAnsi="Arial"/>
          <w:sz w:val="16"/>
          <w:szCs w:val="16"/>
          <w:color w:val="auto"/>
        </w:rPr>
      </w:pPr>
    </w:p>
    <w:p>
      <w:pPr>
        <w:ind w:left="4" w:right="20" w:hanging="4"/>
        <w:spacing w:after="0" w:line="252" w:lineRule="auto"/>
        <w:tabs>
          <w:tab w:leader="none" w:pos="25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acknowledge that the forum designated by this Section 29 has a reasonable relation to this Agreement and to such Persons’ relationship with one another; (c) waive, to the fullest extent permitted by applicable law, any objection which they now or hereafter have to personal jurisdiction or to the laying of venue of any such suit, action or proceeding brought in any court referred to in this Section 29; (d) undertake not to commence any action subject to this Agreement in any forum other than the forum described in this Section 29; and (e) agree that, to the fullest extent permitted by applicable law, a final and non-appealable judgment in any such suit, action or proceeding brought in any such court shall be conclusive and binding upon such Persons.</w:t>
      </w:r>
    </w:p>
    <w:p>
      <w:pPr>
        <w:spacing w:after="0" w:line="193" w:lineRule="exact"/>
        <w:rPr>
          <w:rFonts w:ascii="Arial" w:cs="Arial" w:eastAsia="Arial" w:hAnsi="Arial"/>
          <w:sz w:val="18"/>
          <w:szCs w:val="18"/>
          <w:color w:val="auto"/>
        </w:rPr>
      </w:pPr>
    </w:p>
    <w:p>
      <w:pPr>
        <w:ind w:left="4" w:right="280" w:firstLine="436"/>
        <w:spacing w:after="0" w:line="286" w:lineRule="auto"/>
        <w:tabs>
          <w:tab w:leader="none" w:pos="714" w:val="left"/>
        </w:tabs>
        <w:numPr>
          <w:ilvl w:val="1"/>
          <w:numId w:val="18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each Right and each Right Certificate issued hereunder will be deemed to be a contract made under the internal substantive laws of the State of Delaware and for all purposes will be governed by and construed in accordance with the internal substantive laws of such State applicable to contracts to be made and performed entirely within such State.</w:t>
      </w:r>
    </w:p>
    <w:p>
      <w:pPr>
        <w:spacing w:after="0" w:line="165" w:lineRule="exact"/>
        <w:rPr>
          <w:rFonts w:ascii="Arial" w:cs="Arial" w:eastAsia="Arial" w:hAnsi="Arial"/>
          <w:sz w:val="17"/>
          <w:szCs w:val="17"/>
          <w:color w:val="auto"/>
        </w:rPr>
      </w:pPr>
    </w:p>
    <w:p>
      <w:pPr>
        <w:ind w:left="4" w:right="20" w:firstLine="436"/>
        <w:spacing w:after="0" w:line="272" w:lineRule="auto"/>
        <w:tabs>
          <w:tab w:leader="none" w:pos="714" w:val="left"/>
        </w:tabs>
        <w:numPr>
          <w:ilvl w:val="1"/>
          <w:numId w:val="18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term, provision, covenant or restriction of this Agreement is held by a court of competent jurisdiction or other authority to be invalid, null and void or unenforceable, the remainder of the terms, provisions, covenants and restrictions of this Agreement will remain in full force and effect and will in no way be affected, impaired or invalidated;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contained in this Section 31 will affect the ability of the Company under the provisions of Section 27 to supplement or amend this Agreement to replace such invalid, null and void or unenforceable term, provision, covenant or restriction with a legal, valid and enforceable term, provision, covenant or restriction;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such excluded or severed term, provision, covenant or restriction adversely affects the rights, immunities, duties or obligations of the Rights Agent, then the Rights Agent will be entitled to resign immediately upon written notice to the Company.</w:t>
      </w:r>
    </w:p>
    <w:p>
      <w:pPr>
        <w:spacing w:after="0" w:line="177" w:lineRule="exact"/>
        <w:rPr>
          <w:rFonts w:ascii="Arial" w:cs="Arial" w:eastAsia="Arial" w:hAnsi="Arial"/>
          <w:sz w:val="17"/>
          <w:szCs w:val="17"/>
          <w:color w:val="auto"/>
        </w:rPr>
      </w:pPr>
    </w:p>
    <w:p>
      <w:pPr>
        <w:ind w:left="4" w:right="400" w:firstLine="436"/>
        <w:spacing w:after="0" w:line="263" w:lineRule="auto"/>
        <w:tabs>
          <w:tab w:leader="none" w:pos="714"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Descriptive Headings, Etc</w:t>
      </w:r>
      <w:r>
        <w:rPr>
          <w:rFonts w:ascii="Arial" w:cs="Arial" w:eastAsia="Arial" w:hAnsi="Arial"/>
          <w:sz w:val="18"/>
          <w:szCs w:val="18"/>
          <w:color w:val="auto"/>
        </w:rPr>
        <w:t>. Descriptive headings of the several Sections of this Agreement are inserted for convenience only and will not control or affect the meaning or construction of any of the provisions hereof. Unless otherwise expressly provided, references herein to Articles, Sections and Exhibits are to Articles, Sections and Exhibits of or to this Agreement.</w:t>
      </w:r>
    </w:p>
    <w:p>
      <w:pPr>
        <w:spacing w:after="0" w:line="183" w:lineRule="exact"/>
        <w:rPr>
          <w:rFonts w:ascii="Arial" w:cs="Arial" w:eastAsia="Arial" w:hAnsi="Arial"/>
          <w:sz w:val="18"/>
          <w:szCs w:val="18"/>
          <w:color w:val="auto"/>
        </w:rPr>
      </w:pPr>
    </w:p>
    <w:p>
      <w:pPr>
        <w:ind w:left="4" w:right="40" w:firstLine="436"/>
        <w:spacing w:after="0" w:line="273" w:lineRule="auto"/>
        <w:tabs>
          <w:tab w:leader="none" w:pos="714" w:val="left"/>
        </w:tabs>
        <w:numPr>
          <w:ilvl w:val="1"/>
          <w:numId w:val="181"/>
        </w:numPr>
        <w:rPr>
          <w:rFonts w:ascii="Arial" w:cs="Arial" w:eastAsia="Arial" w:hAnsi="Arial"/>
          <w:sz w:val="17"/>
          <w:szCs w:val="17"/>
          <w:color w:val="auto"/>
        </w:rPr>
      </w:pPr>
      <w:r>
        <w:rPr>
          <w:rFonts w:ascii="Arial" w:cs="Arial" w:eastAsia="Arial" w:hAnsi="Arial"/>
          <w:sz w:val="17"/>
          <w:szCs w:val="17"/>
          <w:u w:val="single" w:color="auto"/>
          <w:color w:val="auto"/>
        </w:rPr>
        <w:t>Determinations and Actions by the Board</w:t>
      </w:r>
      <w:r>
        <w:rPr>
          <w:rFonts w:ascii="Arial" w:cs="Arial" w:eastAsia="Arial" w:hAnsi="Arial"/>
          <w:sz w:val="17"/>
          <w:szCs w:val="17"/>
          <w:color w:val="auto"/>
        </w:rPr>
        <w:t>. (a) For all the purposes of this Agreement, any calculation of the number of Common Shares outstanding at any particular time, including for the purpose of determining the particular percentage of such outstanding Common Shares of which any Person is the Beneficial Owner, will be made in accordance with the provisions of Section 382 of the Code, or any successor or replacement provision, and the Treasury Regulations promulgated thereunder. The Board will have the exclusive power and authority to administer this Agreement and to exercise or refrain from exercising all rights and powers specifically granted to the Board or to the Company, or as may be necessary or advisable in the administration of this Agreement, including, without limitation, the right and power (i) to</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4"/>
          </w:cols>
          <w:pgMar w:left="436" w:top="274" w:right="499" w:bottom="1440" w:gutter="0" w:footer="0" w:header="0"/>
        </w:sectPr>
      </w:pPr>
    </w:p>
    <w:bookmarkStart w:id="142" w:name="page143"/>
    <w:bookmarkEnd w:id="14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 the provisions of this Agreement (including, without limitation, Section 27, this Section 33 and other provisions hereof relating to its powers or authority hereunder) and (ii) to make all determinations deemed necessary or advisable for the administration of this Agreement (including, without limitation, any determination contemplated by Section 1(a) or any determination as to whether particular Rights shall have become null and void). All such actions, calculations, interpretations and determinations (including, for the purpose of clause (y) below, any omission with respect to any of the foregoing) which are done or made by the Board in good faith will (x) be final, conclusive and binding on the Company, the Rights Agent, the holders of the Rights and all other parties and (y) not subject the Board to any liability to any Person, including, without limitation, the Rights Agent and the holders of the Rights. The Rights Agent is entitled always to assume the Board acted in good faith and shall be fully protected and incur no liability in reliance thereon.</w:t>
      </w:r>
    </w:p>
    <w:p>
      <w:pPr>
        <w:spacing w:after="0" w:line="192" w:lineRule="exact"/>
        <w:rPr>
          <w:sz w:val="20"/>
          <w:szCs w:val="20"/>
          <w:color w:val="auto"/>
        </w:rPr>
      </w:pPr>
    </w:p>
    <w:p>
      <w:pPr>
        <w:ind w:right="240" w:firstLine="987"/>
        <w:spacing w:after="0" w:line="286" w:lineRule="auto"/>
        <w:tabs>
          <w:tab w:leader="none" w:pos="1246" w:val="left"/>
        </w:tabs>
        <w:numPr>
          <w:ilvl w:val="1"/>
          <w:numId w:val="182"/>
        </w:numPr>
        <w:rPr>
          <w:rFonts w:ascii="Arial" w:cs="Arial" w:eastAsia="Arial" w:hAnsi="Arial"/>
          <w:sz w:val="17"/>
          <w:szCs w:val="17"/>
          <w:color w:val="auto"/>
        </w:rPr>
      </w:pPr>
      <w:r>
        <w:rPr>
          <w:rFonts w:ascii="Arial" w:cs="Arial" w:eastAsia="Arial" w:hAnsi="Arial"/>
          <w:sz w:val="17"/>
          <w:szCs w:val="17"/>
          <w:color w:val="auto"/>
        </w:rPr>
        <w:t>If at any time the Board determines that a Person has become an Acquiring Person, the Company will give written notice of such determination, indicating the identity of such Person, to the Rights Agent promptly thereafter. Until such a notice is received by the Rights Agent, the Rights Agent may presume conclusively for all purposes that no Person has become an Acquiring Person.</w:t>
      </w:r>
    </w:p>
    <w:p>
      <w:pPr>
        <w:spacing w:after="0" w:line="165" w:lineRule="exact"/>
        <w:rPr>
          <w:rFonts w:ascii="Arial" w:cs="Arial" w:eastAsia="Arial" w:hAnsi="Arial"/>
          <w:sz w:val="17"/>
          <w:szCs w:val="17"/>
          <w:color w:val="auto"/>
        </w:rPr>
      </w:pPr>
    </w:p>
    <w:p>
      <w:pPr>
        <w:ind w:right="60" w:firstLine="436"/>
        <w:spacing w:after="0" w:line="285" w:lineRule="auto"/>
        <w:tabs>
          <w:tab w:leader="none" w:pos="710"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Process to Seek Exemption</w:t>
      </w:r>
      <w:r>
        <w:rPr>
          <w:rFonts w:ascii="Arial" w:cs="Arial" w:eastAsia="Arial" w:hAnsi="Arial"/>
          <w:sz w:val="16"/>
          <w:szCs w:val="16"/>
          <w:color w:val="auto"/>
        </w:rPr>
        <w:t>. (a) Any Person who desires to effect any transaction that might, if consummated, result in such Person becoming the Beneficial Owner of 4.99% or more of the then-outstanding Common Shares (or, in the case of any Person who would otherwise constitute an Acquiring Person as of the Effective Time but will not be deemed to be an Acquiring Person for any purpose of this Agreement unless and until such time as provided in Section 1(a), any additional Common Shares) (a “</w:t>
      </w:r>
      <w:r>
        <w:rPr>
          <w:rFonts w:ascii="Arial" w:cs="Arial" w:eastAsia="Arial" w:hAnsi="Arial"/>
          <w:sz w:val="16"/>
          <w:szCs w:val="16"/>
          <w:b w:val="1"/>
          <w:bCs w:val="1"/>
          <w:i w:val="1"/>
          <w:iCs w:val="1"/>
          <w:color w:val="auto"/>
        </w:rPr>
        <w:t>Requesting Person</w:t>
      </w:r>
      <w:r>
        <w:rPr>
          <w:rFonts w:ascii="Arial" w:cs="Arial" w:eastAsia="Arial" w:hAnsi="Arial"/>
          <w:sz w:val="16"/>
          <w:szCs w:val="16"/>
          <w:color w:val="auto"/>
        </w:rPr>
        <w:t>”) may, prior to the date of the transaction for which the Requesting Person is seeking a determination, request in writing that the Board make a determination under this Agreement so that such Person would be deemed to be an “Exempt Person” for the purposes of this Agreement or such transaction would be deemed to be an “Exempt Transaction” for the purposes of this Agreement (an “</w:t>
      </w:r>
      <w:r>
        <w:rPr>
          <w:rFonts w:ascii="Arial" w:cs="Arial" w:eastAsia="Arial" w:hAnsi="Arial"/>
          <w:sz w:val="16"/>
          <w:szCs w:val="16"/>
          <w:b w:val="1"/>
          <w:bCs w:val="1"/>
          <w:i w:val="1"/>
          <w:iCs w:val="1"/>
          <w:color w:val="auto"/>
        </w:rPr>
        <w:t>Exemption Request</w:t>
      </w:r>
      <w:r>
        <w:rPr>
          <w:rFonts w:ascii="Arial" w:cs="Arial" w:eastAsia="Arial" w:hAnsi="Arial"/>
          <w:sz w:val="16"/>
          <w:szCs w:val="16"/>
          <w:color w:val="auto"/>
        </w:rPr>
        <w:t xml:space="preserve">”). Any Exemption Request must be delivered by registered mail, return receipt requested, to the Secretary of the Company at the Company’s principal executive office. Such Exemption Request will be deemed to have been made when actually received by the Company. Any Exemption Request must include: (i) the name, address and telephone number of the Requesting Person; (ii) the number and percentage of Common Shares then Beneficially Owned by the Requesting Person; (iii) a reasonably detailed description of the transaction or transactions by which the Requesting Person would propose to acquire Beneficial Ownership of Common Shares, the maximum number and percentage of Common Shares that the Requesting Person proposes to acquire and the proposed tax treatment thereof; and (iv) a commitment by the Requesting Person that such Requesting Person will not acquire Beneficial Ownership of 4.99% or more of the then-outstanding Common Shares or, if such Requesting Person Beneficially Owns 4.99% or more of the then-outstanding Common Shares, any additional Common Shares prior to such time as the Board has responded to, or is deemed to have responded to, the Exemption Request pursuant to this Section 34. The Board will, in good faith, endeavor to respond to any Exemption Request within 30 calendar days of receiving such Exemption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Board to make a determination within such period will be deemed to constitute the denial by the Board of the Exemption Request. The Requesting Person must respond promptly to reasonable and appropriate requests for additional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43" w:name="page144"/>
    <w:bookmarkEnd w:id="14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from the Company or the Board and its advisors to assist the Board in making its determination. As a condition to making any determination requested pursuant to this Section 34(a), the Board may, in its discretion, require (at the expense of the Requesting Person) a report from advisors selected by the Board to the effect that the proposed transaction or transactions will not result in the application of any limitations on the use by the Company of the Tax Benefits taking into account any and all other transactions that have been consummated prior to receipt of the Exemption Request, any and all other proposed transactions that have been approved by the Board prior to its receipt of the Exemption Request and any such other actual or proposed transactions involving Common Shares as the Board may require;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may make the determination requested in the Exemption Request notwithstanding the effect of the proposed transaction or transactions on the Tax Benefits if it determines that such determination is in the best interests of the Company. The Board may impose any conditions that it deems reasonable and appropriate in connection with a determination pursuant to this Section 34(a), including, without limitation, restrictions on the ability of the Requesting Person to transfer Common Shares acquired by it in the transaction or transactions to which such determination relates. Any Exemption Request may be submitted on a confidential basis and, except to the extent required by applicable law, the Company will maintain the confidentiality of such Exemption Request and the determination of the Board with respect thereto, unless the information contained in the Exemption Request or the determination of the Board with respect thereto otherwise becomes publicly available.</w:t>
      </w:r>
    </w:p>
    <w:p>
      <w:pPr>
        <w:spacing w:after="0" w:line="186" w:lineRule="exact"/>
        <w:rPr>
          <w:sz w:val="20"/>
          <w:szCs w:val="20"/>
          <w:color w:val="auto"/>
        </w:rPr>
      </w:pPr>
    </w:p>
    <w:p>
      <w:pPr>
        <w:ind w:right="20" w:firstLine="987"/>
        <w:spacing w:after="0" w:line="255" w:lineRule="auto"/>
        <w:tabs>
          <w:tab w:leader="none" w:pos="1246"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Board may make a determination under this Agreement so that a Person would be deemed to be an “Exempt Person” for the purposes of this Agreement or a transaction would be deemed to be an “Exempt Transaction” for the purposes of this Agreement, whether or not an Exemption Request has been made pursuant to Section 34(a). In connection with such determination, the Board may impose any conditions that it deems reasonable and appropriate, including, without limitation, restrictions on the ability of the transferee to transfer Common Shares acquired by it in the transaction or transactions to which such determination relates. Any determination of the Board pursuant to this Section 34(b) may be made prospectively or retroactively.</w:t>
      </w:r>
    </w:p>
    <w:p>
      <w:pPr>
        <w:spacing w:after="0" w:line="192" w:lineRule="exact"/>
        <w:rPr>
          <w:rFonts w:ascii="Arial" w:cs="Arial" w:eastAsia="Arial" w:hAnsi="Arial"/>
          <w:sz w:val="18"/>
          <w:szCs w:val="18"/>
          <w:color w:val="auto"/>
        </w:rPr>
      </w:pPr>
    </w:p>
    <w:p>
      <w:pPr>
        <w:ind w:right="80" w:firstLine="436"/>
        <w:spacing w:after="0" w:line="270" w:lineRule="auto"/>
        <w:tabs>
          <w:tab w:leader="none" w:pos="710"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Suspension of Exercisability or Exchangeability</w:t>
      </w:r>
      <w:r>
        <w:rPr>
          <w:rFonts w:ascii="Arial" w:cs="Arial" w:eastAsia="Arial" w:hAnsi="Arial"/>
          <w:sz w:val="17"/>
          <w:szCs w:val="17"/>
          <w:color w:val="auto"/>
        </w:rPr>
        <w:t>. To the extent that the Board determines in good faith that some action will or may need to be taken pursuant to, or in order to properly give effect to, Sections 7, 11, 13, 21, 23 or 24 or to comply with federal or state securities laws or rules and regulations of any national securities exchange on which the Common Shares are listed or admitted to trading, the Company may suspend the exercisability or exchangeability of the Rights for a reasonable period of time sufficient to allow it to take such action or to comply with such laws or rules and regulations. In the event of any such suspension, the Company will issue as promptly as practicable a public announcement stating that the exercisability or exchangeability of the Rights has been temporarily suspended. The Company shall promptly notify the Rights Agent in writing whenever it makes such a public announcement temporarily suspending the exercisability or exchangeability of the Rights, and whenever such suspension has been lifted. Upon such suspension, any rights of action vested in a holder of the Rights will be similarly suspended. Failure to give a notice pursuant to the provisions of this Agreement will not affect the validity of any action taken hereunder.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144" w:name="page145"/>
    <w:bookmarkEnd w:id="144"/>
    <w:p>
      <w:pPr>
        <w:ind w:left="580" w:hanging="264"/>
        <w:spacing w:after="0"/>
        <w:tabs>
          <w:tab w:leader="none" w:pos="580"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Time</w:t>
      </w:r>
      <w:r>
        <w:rPr>
          <w:rFonts w:ascii="Arial" w:cs="Arial" w:eastAsia="Arial" w:hAnsi="Arial"/>
          <w:sz w:val="17"/>
          <w:szCs w:val="17"/>
          <w:color w:val="auto"/>
        </w:rPr>
        <w:t>. Notwithstanding anything in this Agreement to the contrary, this Agreement will not be effective until the Effective Time.</w:t>
      </w:r>
    </w:p>
    <w:p>
      <w:pPr>
        <w:spacing w:after="0" w:line="236" w:lineRule="exact"/>
        <w:rPr>
          <w:rFonts w:ascii="Arial" w:cs="Arial" w:eastAsia="Arial" w:hAnsi="Arial"/>
          <w:sz w:val="17"/>
          <w:szCs w:val="17"/>
          <w:color w:val="auto"/>
        </w:rPr>
      </w:pPr>
    </w:p>
    <w:p>
      <w:pPr>
        <w:ind w:left="-120" w:right="40" w:firstLine="436"/>
        <w:spacing w:after="0" w:line="286" w:lineRule="auto"/>
        <w:tabs>
          <w:tab w:leader="none" w:pos="590"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each of such counterparts will for all purposes be deemed to be an original, and all such counterparts will together constitute but one and the same instrument. A signature to this Agreement executed and/or transmitted electronically will have the same authority, effect and enforceability as an original signature.</w:t>
      </w:r>
    </w:p>
    <w:p>
      <w:pPr>
        <w:spacing w:after="0" w:line="165" w:lineRule="exact"/>
        <w:rPr>
          <w:rFonts w:ascii="Arial" w:cs="Arial" w:eastAsia="Arial" w:hAnsi="Arial"/>
          <w:sz w:val="17"/>
          <w:szCs w:val="17"/>
          <w:color w:val="auto"/>
        </w:rPr>
      </w:pPr>
    </w:p>
    <w:p>
      <w:pPr>
        <w:ind w:left="-120" w:firstLine="436"/>
        <w:spacing w:after="0" w:line="259" w:lineRule="auto"/>
        <w:tabs>
          <w:tab w:leader="none" w:pos="59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Notwithstanding anything to the contrary contained herein, the Rights Agent shall not be liable for any delays or failures in performance resulting from acts beyond its reasonable control, including, without limitation, acts of God,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60"/>
          </w:cols>
          <w:pgMar w:left="560" w:top="274" w:right="57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P10,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Amanda Coussens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CFO</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AMERICAN STOCK TRANSFER &amp; TRUST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 LLC</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Michael A. Nespoli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Michael A. Nespoli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Page to Rights Agreement]</w:t>
      </w:r>
    </w:p>
    <w:p>
      <w:pPr>
        <w:sectPr>
          <w:pgSz w:w="11900" w:h="16838" w:orient="portrait"/>
          <w:cols w:equalWidth="0" w:num="1">
            <w:col w:w="9820"/>
          </w:cols>
          <w:pgMar w:left="880" w:top="274" w:right="119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DESIGNATION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A JUNIOR PARTICIPATING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P10,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P10, Inc., a corporation organized and existing under the General Corporation Law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w:t>
      </w:r>
    </w:p>
    <w:p>
      <w:pPr>
        <w:spacing w:after="0" w:line="62" w:lineRule="exact"/>
        <w:rPr>
          <w:sz w:val="20"/>
          <w:szCs w:val="20"/>
          <w:color w:val="auto"/>
        </w:rPr>
      </w:pPr>
    </w:p>
    <w:p>
      <w:pPr>
        <w:jc w:val="both"/>
        <w:ind w:right="700" w:firstLine="440"/>
        <w:spacing w:after="0" w:line="286" w:lineRule="auto"/>
        <w:rPr>
          <w:sz w:val="20"/>
          <w:szCs w:val="20"/>
          <w:color w:val="auto"/>
        </w:rPr>
      </w:pPr>
      <w:r>
        <w:rPr>
          <w:rFonts w:ascii="Arial" w:cs="Arial" w:eastAsia="Arial" w:hAnsi="Arial"/>
          <w:sz w:val="17"/>
          <w:szCs w:val="17"/>
          <w:color w:val="auto"/>
        </w:rPr>
        <w:t>That, pursuant to authority vested in the Board of Directors of the Company by its Amended and Restated Certificate of Incorporation, as amended, and pursuant to the provisions of Section 151 of the General Corporation Law of the State of Delaware, the Board of Directors of the Company has adopted the following resolution providing for the issuance of a series of Preferred Stock:</w:t>
      </w:r>
    </w:p>
    <w:p>
      <w:pPr>
        <w:spacing w:after="0" w:line="5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RESOLVED, that pursuant to the authority expressly granted to and vested in the Board of Directors of the Company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by the Amended and Restated Certificate of Incorporation, of the Company, as amended (the “</w:t>
      </w:r>
      <w:r>
        <w:rPr>
          <w:rFonts w:ascii="Arial" w:cs="Arial" w:eastAsia="Arial" w:hAnsi="Arial"/>
          <w:sz w:val="17"/>
          <w:szCs w:val="17"/>
          <w:b w:val="1"/>
          <w:bCs w:val="1"/>
          <w:i w:val="1"/>
          <w:iCs w:val="1"/>
          <w:color w:val="auto"/>
        </w:rPr>
        <w:t>Amended and Restated Certificate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Incorporation</w:t>
      </w:r>
      <w:r>
        <w:rPr>
          <w:rFonts w:ascii="Arial" w:cs="Arial" w:eastAsia="Arial" w:hAnsi="Arial"/>
          <w:sz w:val="17"/>
          <w:szCs w:val="17"/>
          <w:color w:val="auto"/>
        </w:rPr>
        <w:t>”), a series of Preferred Stock, par value $0.001 per share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of the Company be, and it hereby is, created, and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designation and amount thereof and the powers, designations, preferences and relative, participating, optional and other special rights of the shares of such series, and the qualifications, limitations or restrictions thereof are as follows: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Designation and Amount</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shares of such series will be designated as Series A Junior Participating Preferred Stock (the “</w:t>
      </w:r>
      <w:r>
        <w:rPr>
          <w:rFonts w:ascii="Arial" w:cs="Arial" w:eastAsia="Arial" w:hAnsi="Arial"/>
          <w:sz w:val="18"/>
          <w:szCs w:val="18"/>
          <w:b w:val="1"/>
          <w:bCs w:val="1"/>
          <w:i w:val="1"/>
          <w:iCs w:val="1"/>
          <w:color w:val="auto"/>
        </w:rPr>
        <w:t>Series A Preferred</w:t>
      </w:r>
      <w:r>
        <w:rPr>
          <w:rFonts w:ascii="Arial" w:cs="Arial" w:eastAsia="Arial" w:hAnsi="Arial"/>
          <w:sz w:val="18"/>
          <w:szCs w:val="18"/>
          <w:color w:val="auto"/>
        </w:rPr>
        <w:t xml:space="preserve">”) and the number of shares constituting the Series A Preferred is 150,000. Such number of shares may be increased or decreased by resolution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decrease will reduce the number of shares of Series A Preferred to a number less than the number of shares then outstanding plus the number of shares reserved for issuance upon the exercise of outstanding options, rights or warrants or upon the conversion of any outstanding securities issued by the Company convertible into the Series A Preferred.</w:t>
      </w:r>
    </w:p>
    <w:p>
      <w:pPr>
        <w:spacing w:after="0" w:line="200" w:lineRule="exact"/>
        <w:rPr>
          <w:sz w:val="20"/>
          <w:szCs w:val="20"/>
          <w:color w:val="auto"/>
        </w:rPr>
      </w:pPr>
    </w:p>
    <w:p>
      <w:pPr>
        <w:spacing w:after="0" w:line="204" w:lineRule="exact"/>
        <w:rPr>
          <w:sz w:val="20"/>
          <w:szCs w:val="20"/>
          <w:color w:val="auto"/>
        </w:rPr>
      </w:pPr>
    </w:p>
    <w:p>
      <w:pPr>
        <w:ind w:left="4600" w:hanging="215"/>
        <w:spacing w:after="0"/>
        <w:tabs>
          <w:tab w:leader="none" w:pos="4600"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p>
    <w:p>
      <w:pPr>
        <w:spacing w:after="0" w:line="225" w:lineRule="exact"/>
        <w:rPr>
          <w:rFonts w:ascii="Arial" w:cs="Arial" w:eastAsia="Arial" w:hAnsi="Arial"/>
          <w:sz w:val="18"/>
          <w:szCs w:val="18"/>
          <w:color w:val="auto"/>
        </w:rPr>
      </w:pPr>
    </w:p>
    <w:p>
      <w:pPr>
        <w:ind w:right="120" w:firstLine="436"/>
        <w:spacing w:after="0" w:line="273" w:lineRule="auto"/>
        <w:tabs>
          <w:tab w:leader="none" w:pos="68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Subject to the rights of the holders of any shares of any series of Preferred Stock ranking prior to the Series A Preferred with respect to dividends, the holders of shares of the Series A Preferred, in preference to the holders of the Class A Common Stock, par value $0.001 per share and Class B Common Stock,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the Company, and of any other junior stock, will be entitled to receive, when, as and if declared by the Board out of funds legally available for the purpose, dividends payable in cash (except as otherwise provided below) on such dates as are from time to time established for the payment of dividends on the Common Stock (each such date being referred to herein as a “</w:t>
      </w:r>
      <w:r>
        <w:rPr>
          <w:rFonts w:ascii="Arial" w:cs="Arial" w:eastAsia="Arial" w:hAnsi="Arial"/>
          <w:sz w:val="17"/>
          <w:szCs w:val="17"/>
          <w:b w:val="1"/>
          <w:bCs w:val="1"/>
          <w:i w:val="1"/>
          <w:iCs w:val="1"/>
          <w:color w:val="auto"/>
        </w:rPr>
        <w:t>Dividend Payment Date</w:t>
      </w:r>
      <w:r>
        <w:rPr>
          <w:rFonts w:ascii="Arial" w:cs="Arial" w:eastAsia="Arial" w:hAnsi="Arial"/>
          <w:sz w:val="17"/>
          <w:szCs w:val="17"/>
          <w:color w:val="auto"/>
        </w:rPr>
        <w:t>”), commencing on the first Dividend Payment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4" w:right="439" w:bottom="1440" w:gutter="0" w:footer="0" w:header="0"/>
        </w:sectPr>
      </w:pPr>
    </w:p>
    <w:bookmarkStart w:id="147" w:name="page148"/>
    <w:bookmarkEnd w:id="147"/>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after the first issuance of a share or fraction of a share of the Series A Preferred (the “</w:t>
      </w:r>
      <w:r>
        <w:rPr>
          <w:rFonts w:ascii="Arial" w:cs="Arial" w:eastAsia="Arial" w:hAnsi="Arial"/>
          <w:sz w:val="17"/>
          <w:szCs w:val="17"/>
          <w:b w:val="1"/>
          <w:bCs w:val="1"/>
          <w:i w:val="1"/>
          <w:iCs w:val="1"/>
          <w:color w:val="auto"/>
        </w:rPr>
        <w:t>First Dividend Payment Date</w:t>
      </w:r>
      <w:r>
        <w:rPr>
          <w:rFonts w:ascii="Arial" w:cs="Arial" w:eastAsia="Arial" w:hAnsi="Arial"/>
          <w:sz w:val="17"/>
          <w:szCs w:val="17"/>
          <w:color w:val="auto"/>
        </w:rPr>
        <w:t>”), in an amount per share (rounded to the nearest cent) equal to the greater of (i) $1.00 or (ii) subject to the provision for adjustment hereinafter set forth, 1,000 times the aggregate per share amount of all cash dividends, and 1,000 times the aggregate per share amount (payable in kind) of all non-cash dividends, other than a dividend payable in shares of the Common Stock or a subdivision of the outstanding shares of Common Stock (by reclassification or otherwise), declared on the Common Stock since the immediately preceding Dividend Payment Date or, with respect to the First Dividend Payment Date, since the first issuance of any share or fraction of a share of the Series A Preferred. In the event that the Company at any time (i) declares a dividend on the outstanding shares of Common Stock payable in shares of Common Stock, (ii) subdivides the outstanding shares of Common Stock, (iii) combines the outstanding shares of Common Stock into a smaller number of shares, or (iv) issues any shares of its capital stock in a reclassification of the outstanding shares of Common Stock (including any such reclassification in connection with a consolidation or merger in which the Company is the continuing or surviving corporation), then, in each such case and regardless of whether any shares of the Series A Preferred are then issued or outstanding, the amount to which the holders of shares of the Series A Preferred would otherwise be entitled immediately prior to such event under clause (ii) of the preceding sentence will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4" w:lineRule="exact"/>
        <w:rPr>
          <w:sz w:val="20"/>
          <w:szCs w:val="20"/>
          <w:color w:val="auto"/>
        </w:rPr>
      </w:pPr>
    </w:p>
    <w:p>
      <w:pPr>
        <w:ind w:right="260" w:firstLine="436"/>
        <w:spacing w:after="0" w:line="286" w:lineRule="auto"/>
        <w:tabs>
          <w:tab w:leader="none" w:pos="69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Company will declare a dividend on the Series A Preferred as provided in the immediately preceding paragraph immediately after it declares a dividend on the Common Stock (other than a dividend payable in shares of Common Stock). Each such dividend on the Series A Preferred will be payable immediately prior to the time at which the related dividend on the Common Stock is payable.</w:t>
      </w:r>
    </w:p>
    <w:p>
      <w:pPr>
        <w:spacing w:after="0" w:line="165" w:lineRule="exact"/>
        <w:rPr>
          <w:rFonts w:ascii="Arial" w:cs="Arial" w:eastAsia="Arial" w:hAnsi="Arial"/>
          <w:sz w:val="17"/>
          <w:szCs w:val="17"/>
          <w:color w:val="auto"/>
        </w:rPr>
      </w:pPr>
    </w:p>
    <w:p>
      <w:pPr>
        <w:ind w:firstLine="436"/>
        <w:spacing w:after="0" w:line="253" w:lineRule="auto"/>
        <w:tabs>
          <w:tab w:leader="none" w:pos="68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Dividends will accrue on outstanding shares of the Series A Preferred from the Dividend Payment Date next preceding the date of issue of such shares, unless (i) the date of issue of such shares is prior to the record date for the First Dividend Payment Date, in which case dividends on such shares will accrue from the date of the first issuance of a share of the Series A Preferred or (ii) the date of issue is a Dividend Payment Date or is a date after the record date for the determination of the holders of shares of the Series A Preferred entitled to receive a dividend and before such Dividend Payment Date, in either of which events such dividends will accrue from such Dividend Payment Date. Accrued but unpaid dividends will cumulate from the applicable Dividend Payment Date but will not bear interest. Dividends paid on the shares of Series A Preferred in an amount less than the total amount of such dividends at the time accrued and payable on such shares will be allocated pro rata on a share-by-share basis among all such shares at the time outstanding. The Board may fix a record date for the determination of the holders of shares of the Series A Preferred entitled to receive payment of a dividend or distribution declared thereon, which record date will be not more than 60 calendar days prior to the date fixed for the payment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0"/>
          </w:cols>
          <w:pgMar w:left="440" w:top="274" w:right="459" w:bottom="1440" w:gutter="0" w:footer="0" w:header="0"/>
        </w:sectPr>
      </w:pPr>
    </w:p>
    <w:bookmarkStart w:id="148" w:name="page149"/>
    <w:bookmarkEnd w:id="148"/>
    <w:p>
      <w:pPr>
        <w:ind w:left="5140" w:hanging="266"/>
        <w:spacing w:after="0"/>
        <w:tabs>
          <w:tab w:leader="none" w:pos="51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 Rights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shares of the Series A Preferred will have the following voting rights:</w:t>
      </w:r>
    </w:p>
    <w:p>
      <w:pPr>
        <w:spacing w:after="0" w:line="117" w:lineRule="exact"/>
        <w:rPr>
          <w:sz w:val="20"/>
          <w:szCs w:val="20"/>
          <w:color w:val="auto"/>
        </w:rPr>
      </w:pPr>
    </w:p>
    <w:p>
      <w:pPr>
        <w:ind w:right="20" w:firstLine="436"/>
        <w:spacing w:after="0" w:line="289" w:lineRule="auto"/>
        <w:tabs>
          <w:tab w:leader="none" w:pos="68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the Series A Preferred will entitle the holder thereof to 1,000 votes on all matters submitted to a vote of the stockholders of the Company. In the event the Company at any time (i) declares a dividend on the outstanding shares of Common Stock payable in shares of Common Stock, (ii) subdivides the outstanding shares of Common Stock, (iii) combines the outstanding shares of Common Stock into a smaller number of shares, or (iv) issues any shares of its capital stock in a reclassification of the outstanding shares of Common Stock (including any such reclassification in connection with a consolidation or merger in which the Company is the continuing or surviving corporation), then, in each such case and regardless of whether any shares of Series A Preferred are then issued or outstanding, the number of votes per share to which the holders of shares of the Series A Preferred would otherwise be entitled immediately prior to such event will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6" w:lineRule="exact"/>
        <w:rPr>
          <w:rFonts w:ascii="Arial" w:cs="Arial" w:eastAsia="Arial" w:hAnsi="Arial"/>
          <w:sz w:val="16"/>
          <w:szCs w:val="16"/>
          <w:color w:val="auto"/>
        </w:rPr>
      </w:pPr>
    </w:p>
    <w:p>
      <w:pPr>
        <w:ind w:right="140" w:firstLine="436"/>
        <w:spacing w:after="0" w:line="286" w:lineRule="auto"/>
        <w:tabs>
          <w:tab w:leader="none" w:pos="69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Except as otherwise provided herein, in any Certificate of Designation creating a series of Preferred Stock or any similar stock, or by law, the holders of shares of the Series A Preferred and the holders of shares of the Common Stock and any other capital stock of the Company having general voting rights will vote together as one class on all matters submitted to a vote of stockholders of the Company.</w:t>
      </w:r>
    </w:p>
    <w:p>
      <w:pPr>
        <w:spacing w:after="0" w:line="165" w:lineRule="exact"/>
        <w:rPr>
          <w:rFonts w:ascii="Arial" w:cs="Arial" w:eastAsia="Arial" w:hAnsi="Arial"/>
          <w:sz w:val="17"/>
          <w:szCs w:val="17"/>
          <w:color w:val="auto"/>
        </w:rPr>
      </w:pPr>
    </w:p>
    <w:p>
      <w:pPr>
        <w:ind w:right="160" w:firstLine="436"/>
        <w:spacing w:after="0" w:line="277" w:lineRule="auto"/>
        <w:tabs>
          <w:tab w:leader="none" w:pos="68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Except as set forth in the Amended and Restated Certificate of Incorporation or herein, or as otherwise provided by law, the holders of shares of the Series A Preferred will have no voting rights.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u w:val="single" w:color="auto"/>
          <w:color w:val="auto"/>
        </w:rPr>
        <w:t>Certain Restrictions</w:t>
      </w:r>
    </w:p>
    <w:p>
      <w:pPr>
        <w:spacing w:after="0" w:line="225" w:lineRule="exact"/>
        <w:rPr>
          <w:sz w:val="20"/>
          <w:szCs w:val="20"/>
          <w:color w:val="auto"/>
        </w:rPr>
      </w:pPr>
    </w:p>
    <w:p>
      <w:pPr>
        <w:jc w:val="both"/>
        <w:ind w:right="260" w:firstLine="436"/>
        <w:spacing w:after="0" w:line="263" w:lineRule="auto"/>
        <w:tabs>
          <w:tab w:leader="none" w:pos="68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Whenever dividends or other dividends or distributions payable on the Series A Preferred are in arrears, thereafter and until all accrued and unpaid dividends and distributions, whether or not declared, on shares of the Series A Preferred outstanding have been paid in full, the Company will not:</w:t>
      </w:r>
    </w:p>
    <w:p>
      <w:pPr>
        <w:spacing w:after="0" w:line="75" w:lineRule="exact"/>
        <w:rPr>
          <w:rFonts w:ascii="Arial" w:cs="Arial" w:eastAsia="Arial" w:hAnsi="Arial"/>
          <w:sz w:val="18"/>
          <w:szCs w:val="18"/>
          <w:color w:val="auto"/>
        </w:rPr>
      </w:pPr>
    </w:p>
    <w:p>
      <w:pPr>
        <w:ind w:right="660" w:firstLine="987"/>
        <w:spacing w:after="0" w:line="277" w:lineRule="auto"/>
        <w:tabs>
          <w:tab w:leader="none" w:pos="120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on any shares of stock ranking junior (either as to dividends or upon liquidation, dissolution or winding up) to the shares of Series A Preferred;</w:t>
      </w:r>
    </w:p>
    <w:p>
      <w:pPr>
        <w:spacing w:after="0" w:line="170" w:lineRule="exact"/>
        <w:rPr>
          <w:rFonts w:ascii="Arial" w:cs="Arial" w:eastAsia="Arial" w:hAnsi="Arial"/>
          <w:sz w:val="18"/>
          <w:szCs w:val="18"/>
          <w:color w:val="auto"/>
        </w:rPr>
      </w:pPr>
    </w:p>
    <w:p>
      <w:pPr>
        <w:jc w:val="both"/>
        <w:ind w:right="40" w:firstLine="987"/>
        <w:spacing w:after="0" w:line="311" w:lineRule="auto"/>
        <w:tabs>
          <w:tab w:leader="none" w:pos="1256" w:val="left"/>
        </w:tabs>
        <w:numPr>
          <w:ilvl w:val="1"/>
          <w:numId w:val="192"/>
        </w:numPr>
        <w:rPr>
          <w:rFonts w:ascii="Arial" w:cs="Arial" w:eastAsia="Arial" w:hAnsi="Arial"/>
          <w:sz w:val="16"/>
          <w:szCs w:val="16"/>
          <w:color w:val="auto"/>
        </w:rPr>
      </w:pPr>
      <w:r>
        <w:rPr>
          <w:rFonts w:ascii="Arial" w:cs="Arial" w:eastAsia="Arial" w:hAnsi="Arial"/>
          <w:sz w:val="16"/>
          <w:szCs w:val="16"/>
          <w:color w:val="auto"/>
        </w:rPr>
        <w:t>Declare or pay dividends, or make any other distributions, on any shares of stock ranking on a parity (either as to dividends or upon liquidation, dissolution or winding up) with the shares of Series A Preferred, except dividends paid ratably on the shares of Series A Preferred and all such parity stock on which dividends are payable or in arrears in proportion to the total amounts to which the holders of all such shares are then entitled;</w:t>
      </w:r>
    </w:p>
    <w:p>
      <w:pPr>
        <w:spacing w:after="0" w:line="148" w:lineRule="exact"/>
        <w:rPr>
          <w:rFonts w:ascii="Arial" w:cs="Arial" w:eastAsia="Arial" w:hAnsi="Arial"/>
          <w:sz w:val="16"/>
          <w:szCs w:val="16"/>
          <w:color w:val="auto"/>
        </w:rPr>
      </w:pPr>
    </w:p>
    <w:p>
      <w:pPr>
        <w:ind w:firstLine="987"/>
        <w:spacing w:after="0" w:line="259" w:lineRule="auto"/>
        <w:tabs>
          <w:tab w:leader="none" w:pos="130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Redeem, purchase or otherwise acquire for consideration shares of any stock ranking junior (either as to dividends or upon liquidation, dissolution or winding up) to the shares of Series A Preferred;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at any time redeem, purchase or otherwise acquire shares of any such junior stock in exchange for shares of any stock of the Company ranking junior (either as to dividends or upon dissolution, liquidation or winding up) to the shares of Series A Preferred;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4" w:right="459" w:bottom="1440" w:gutter="0" w:footer="0" w:header="0"/>
        </w:sectPr>
      </w:pPr>
    </w:p>
    <w:bookmarkStart w:id="149" w:name="page150"/>
    <w:bookmarkEnd w:id="149"/>
    <w:p>
      <w:pPr>
        <w:ind w:right="120" w:firstLine="987"/>
        <w:spacing w:after="0" w:line="257" w:lineRule="auto"/>
        <w:tabs>
          <w:tab w:leader="none" w:pos="1296" w:val="left"/>
        </w:tabs>
        <w:numPr>
          <w:ilvl w:val="1"/>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Redeem, purchase or otherwise acquire for consideration any shares of the Series A Preferred, or any shares of stock ranking on a parity with the shares of Series A Preferred,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may determine in good faith will result in fair and equitable treatment among the respective series or classes.</w:t>
      </w:r>
    </w:p>
    <w:p>
      <w:pPr>
        <w:spacing w:after="0" w:line="187"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will not permit any majority-owned subsidiary of the Company to purchase or otherwise acquire for consideration any shares of stock of the Company unless the Company could, under paragraph (a) of this Article IV, purchase or otherwise acquire such shares at such time and in such manner.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u w:val="single" w:color="auto"/>
          <w:color w:val="auto"/>
        </w:rPr>
        <w:t>Reacquired Shares</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Any shares of the Series A Preferred purchased or otherwise acquired by the Company in any manner whatsoever will be retired and canceled promptly after the acquisition thereof. All such shares will upon their cancellation become authorized but unissued shares of Preferred Stock and may be reissued as part of a new series of Preferred Stock subject to the conditions and restrictions on issuance set forth herein, in the Amended and Restated Certificate of Incorporation, or in any other Certificate of Designation creating a series of Preferred Stock or any similar stock or as otherwise required by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VI. </w:t>
      </w:r>
      <w:r>
        <w:rPr>
          <w:rFonts w:ascii="Arial" w:cs="Arial" w:eastAsia="Arial" w:hAnsi="Arial"/>
          <w:sz w:val="18"/>
          <w:szCs w:val="18"/>
          <w:u w:val="single" w:color="auto"/>
          <w:color w:val="auto"/>
        </w:rPr>
        <w:t>Liquidation, Dissolution or Winding Up</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Upon any liquidation, dissolution or winding up of the Company, no distribution will be made (a) to the holders of shares of stock ranking junior (either as to dividends or upon liquidation, dissolution or winding up) to the shares of Series A Preferred unless, prior thereto, the holders of shares of the Series A Preferred have received $1,000 per share, plus an amount equal to accrued and unpaid dividends and distributions thereon, whether or not declared, to the date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holders of shares of the Series A Preferred will be entitled to receive an aggregate amount per share, subject to the provision for adjustment hereinafter set forth, equal to 1,000 times the aggregate amount to be distributed per share to the holders of shares of the Common Stock or (b) to the holders of shares of stock ranking on a parity (either as to dividends or upon liquidation, dissolution or winding up) with the shares of Series A Preferred, except distributions made ratably on the shares of Series A Preferred and all such parity stock in proportion to the total amounts to which the holders of all such shares are entitled upon such liquidation, dissolution or winding up. In the event the Company at any time (i) declares a dividend on the outstanding shares of Common Stock payable in shares of Common Stock, (ii) subdivides the outstanding shares of Common Stock, (iii) combines the outstanding shares of Common Stock into a smaller number of shares, or (iv) issues any shares of its capital stock in a reclassification of the outstanding shares of Common Stock (including any such reclassification in connection with a consolidation or merger in which the Company is the continuing or surviving corporation), then, in each such case and regardless of whether any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150" w:name="page151"/>
    <w:bookmarkEnd w:id="150"/>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the Series A Preferred are then issued or outstanding, the aggregate amount to which each holder of shares of the Series A Preferred would otherwise be entitled immediately prior to such event under the proviso in clause (a) of the preceding sentence will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VII. </w:t>
      </w:r>
      <w:r>
        <w:rPr>
          <w:rFonts w:ascii="Arial" w:cs="Arial" w:eastAsia="Arial" w:hAnsi="Arial"/>
          <w:sz w:val="18"/>
          <w:szCs w:val="18"/>
          <w:u w:val="single" w:color="auto"/>
          <w:color w:val="auto"/>
        </w:rPr>
        <w:t>Consolidation, Merger, Etc.</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In the event that the Company enters into any consolidation, merger, combination or other transaction in which the shares of Common Stock are exchanged for or changed into other stock or securities, cash and/or any other property, then, in each such case, each share of the Series A Preferred will at the same time be similarly exchanged for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Company at any time (a) declares a dividend on the outstanding shares of Common Stock payable in shares of Common Stock, (b) subdivides the outstanding shares of Common Stock, (c) combines the outstanding shares of Common Stock into a smaller number of shares, or (d) issues any shares of its capital stock in a reclassification of the outstanding shares of Common Stock (including any such reclassification in connection with a consolidation or merger in which the Company is the continuing or surviving corporation), then, in each such case and regardless of whether any shares of the Series A Preferred are then issued or outstanding, the amount set forth in the preceding sentence with respect to the exchange or change of shares of the Series A Preferred will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VIII. </w:t>
      </w:r>
      <w:r>
        <w:rPr>
          <w:rFonts w:ascii="Arial" w:cs="Arial" w:eastAsia="Arial" w:hAnsi="Arial"/>
          <w:sz w:val="18"/>
          <w:szCs w:val="18"/>
          <w:u w:val="single" w:color="auto"/>
          <w:color w:val="auto"/>
        </w:rPr>
        <w:t>Redemption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shares of Series A Preferred are not redeemable.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IX. </w:t>
      </w:r>
      <w:r>
        <w:rPr>
          <w:rFonts w:ascii="Arial" w:cs="Arial" w:eastAsia="Arial" w:hAnsi="Arial"/>
          <w:sz w:val="18"/>
          <w:szCs w:val="18"/>
          <w:u w:val="single" w:color="auto"/>
          <w:color w:val="auto"/>
        </w:rPr>
        <w:t>Rank</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Series A Preferred rank, with respect to the payment of dividends and the distribution of assets, junior to all other series of the Company’s Preferred Stock and shall rank senior to the Common Stock as to such matters.</w:t>
      </w:r>
    </w:p>
    <w:p>
      <w:pPr>
        <w:spacing w:after="0" w:line="386" w:lineRule="exact"/>
        <w:rPr>
          <w:sz w:val="20"/>
          <w:szCs w:val="20"/>
          <w:color w:val="auto"/>
        </w:rPr>
      </w:pPr>
    </w:p>
    <w:p>
      <w:pPr>
        <w:ind w:left="5160" w:hanging="211"/>
        <w:spacing w:after="0"/>
        <w:tabs>
          <w:tab w:leader="none" w:pos="51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Amendment</w:t>
      </w:r>
    </w:p>
    <w:p>
      <w:pPr>
        <w:spacing w:after="0" w:line="225"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Notwithstanding anything contained in the Amended and Restated Certificate of Incorporation to the contrary and in addition to any other vote required by applicable law, the Amended and Restated Certificate of Incorporation may not be amended in any manner that would materially alter or change the powers, preferences or special rights of the Series A Preferred so as to affect them adversely without the affirmative vote of the holders of at least two-thirds of the outstanding shares of Series A Preferred, voting together as a single series.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440" w:top="274" w:right="47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I have signed this Certificate of Designation on behalf of P10, Inc. this ____ day of [●], 2021.</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P10,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9579"/>
          </w:cols>
          <w:pgMar w:left="880" w:top="274" w:right="1440"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RIGHT CERTIFICATE</w:t>
      </w:r>
    </w:p>
    <w:p>
      <w:pPr>
        <w:spacing w:after="0" w:line="250" w:lineRule="exact"/>
        <w:rPr>
          <w:sz w:val="20"/>
          <w:szCs w:val="20"/>
          <w:color w:val="auto"/>
        </w:rPr>
      </w:pPr>
    </w:p>
    <w:p>
      <w:pPr>
        <w:spacing w:after="0"/>
        <w:tabs>
          <w:tab w:leader="none" w:pos="9040" w:val="left"/>
        </w:tabs>
        <w:rPr>
          <w:sz w:val="20"/>
          <w:szCs w:val="20"/>
          <w:color w:val="auto"/>
        </w:rPr>
      </w:pPr>
      <w:r>
        <w:rPr>
          <w:rFonts w:ascii="Arial" w:cs="Arial" w:eastAsia="Arial" w:hAnsi="Arial"/>
          <w:sz w:val="18"/>
          <w:szCs w:val="18"/>
          <w:color w:val="auto"/>
        </w:rPr>
        <w:t>Certificate No. R-___________</w:t>
      </w:r>
      <w:r>
        <w:rPr>
          <w:sz w:val="20"/>
          <w:szCs w:val="20"/>
          <w:color w:val="auto"/>
        </w:rPr>
        <w:tab/>
      </w:r>
      <w:r>
        <w:rPr>
          <w:rFonts w:ascii="Arial" w:cs="Arial" w:eastAsia="Arial" w:hAnsi="Arial"/>
          <w:sz w:val="16"/>
          <w:szCs w:val="16"/>
          <w:color w:val="auto"/>
        </w:rPr>
        <w:t>______________ Rights</w:t>
      </w:r>
    </w:p>
    <w:p>
      <w:pPr>
        <w:spacing w:after="0" w:line="241"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NOT EXERCISABLE AFTER [●], 2024 OR EARLIER IF REDEEMED, EXCHANGED OR AMENDED. THE RIGHTS ARE SUBJECT TO REDEMPTION, EXCHANGE AND AMENDMENT AT THE OPTION OF THE COMPANY, ON THE TERMS SET FORTH IN THE RIGHTS AGREEMENT. UNDER CERTAIN CIRCUMSTANCES SPECIFIED IN THE RIGHTS AGREEMENT, RIGHTS THAT ARE OR WERE BENEFICIALLY OWNED BY AN ACQUIRING PERSON OR AN AFFILIATE OR AN ASSOCIATE OF AN ACQUIRING PERSON (AS SUCH TERMS ARE DEFINED IN THE RIGHTS AGREEMENT) OR A TRANSFEREE THEREOF MAY BECOME NULL AND VOID.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 Certificate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P10,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certifies that ________, or registered assigns, is the registered owner of the number of Rights set forth above, each of which entitles the</w:t>
      </w:r>
    </w:p>
    <w:p>
      <w:pPr>
        <w:spacing w:after="0" w:line="35"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owner thereof, subject to the terms, provisions, and conditions of the Rights Agreement, dated as of [●], 2021 (the “</w:t>
      </w:r>
      <w:r>
        <w:rPr>
          <w:rFonts w:ascii="Arial" w:cs="Arial" w:eastAsia="Arial" w:hAnsi="Arial"/>
          <w:sz w:val="17"/>
          <w:szCs w:val="17"/>
          <w:b w:val="1"/>
          <w:bCs w:val="1"/>
          <w:i w:val="1"/>
          <w:iCs w:val="1"/>
          <w:color w:val="auto"/>
        </w:rPr>
        <w:t>Rights Agreement</w:t>
      </w:r>
      <w:r>
        <w:rPr>
          <w:rFonts w:ascii="Arial" w:cs="Arial" w:eastAsia="Arial" w:hAnsi="Arial"/>
          <w:sz w:val="17"/>
          <w:szCs w:val="17"/>
          <w:color w:val="auto"/>
        </w:rPr>
        <w:t>”), by and between P10,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American Stock Transfer &amp; Trust Company, LLC, (the “</w:t>
      </w:r>
      <w:r>
        <w:rPr>
          <w:rFonts w:ascii="Arial" w:cs="Arial" w:eastAsia="Arial" w:hAnsi="Arial"/>
          <w:sz w:val="17"/>
          <w:szCs w:val="17"/>
          <w:b w:val="1"/>
          <w:bCs w:val="1"/>
          <w:i w:val="1"/>
          <w:iCs w:val="1"/>
          <w:color w:val="auto"/>
        </w:rPr>
        <w:t>Rights Agent</w:t>
      </w:r>
      <w:r>
        <w:rPr>
          <w:rFonts w:ascii="Arial" w:cs="Arial" w:eastAsia="Arial" w:hAnsi="Arial"/>
          <w:sz w:val="17"/>
          <w:szCs w:val="17"/>
          <w:color w:val="auto"/>
        </w:rPr>
        <w:t>”), to purchase from the Company at any time after the Distribution Date (as such term is defined in the Rights Agreement) and prior to the Expiration Date (as such term is defined in the Rights Agreement) at the office or offices of the Rights Agent designated for such purpose, one one-thousandth of a fully paid, non-assessable share of Series A Junior Participating Preferred Stock, par value $0.001 per share (the “</w:t>
      </w:r>
      <w:r>
        <w:rPr>
          <w:rFonts w:ascii="Arial" w:cs="Arial" w:eastAsia="Arial" w:hAnsi="Arial"/>
          <w:sz w:val="17"/>
          <w:szCs w:val="17"/>
          <w:b w:val="1"/>
          <w:bCs w:val="1"/>
          <w:i w:val="1"/>
          <w:iCs w:val="1"/>
          <w:color w:val="auto"/>
        </w:rPr>
        <w:t>Preferred Shares</w:t>
      </w:r>
      <w:r>
        <w:rPr>
          <w:rFonts w:ascii="Arial" w:cs="Arial" w:eastAsia="Arial" w:hAnsi="Arial"/>
          <w:sz w:val="17"/>
          <w:szCs w:val="17"/>
          <w:color w:val="auto"/>
        </w:rPr>
        <w:t>”), of the Company, at a purchase price of $5.00 per one one-thousandth of a Preferred Share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upon presentation and surrender of this Right Certificate with the Form of Election to Purchase and related Certificate duly executed. If this Right Certificate is exercised in part, the holder will be entitled to receive upon the surrender hereof another Right Certificate or Right Certificates for the number of whole Rights not exercised. The number of Rights evidenced by this Right Certificate (and the number of one one-thousandths of a Preferred Share which may be purchased upon the exercise hereof) set forth above, and the Purchase Price set forth above, are the number and Purchase Price as of the date of the Rights Agreement, based on the Preferred Shares as constituted at such date.</w:t>
      </w:r>
    </w:p>
    <w:p>
      <w:pPr>
        <w:spacing w:after="0" w:line="186"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As provided in the Rights Agreement, the Purchase Price and/or the number and/or kind of securities issuable upon the exercise of the Rights evidenced by this Right Certificate are subject to adjustment upon the occurrence of certain events.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of the Rights Agent, the Company and the holders of the Right Certificates, which limitations of rights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4" w:right="439" w:bottom="1440" w:gutter="0" w:footer="0" w:header="0"/>
        </w:sectPr>
      </w:pPr>
    </w:p>
    <w:bookmarkStart w:id="153" w:name="page154"/>
    <w:bookmarkEnd w:id="15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 the temporary suspension of the exercisability of the Rights under the circumstances specified in the Rights Agreement. Copies of the Rights Agreement are on file at the office or offices of the Rights Agent designated for such purpose and can be obtained from the Company without charge upon the written request therefor. Terms used herein with initial capital letters and not defined herein are used herein with the meanings ascribed thereto in the Rights Agreement.</w:t>
      </w:r>
    </w:p>
    <w:p>
      <w:pPr>
        <w:spacing w:after="0" w:line="18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Pursuant to the Rights Agreement, from and after the occurrence of a Flip-in Event, any Rights that are Beneficially Owned by (i) any Acquiring Person (or any Affiliate or Associate of any Acquiring Person), (ii) a transferee of any Acquiring Person (or any such Affiliate or Associate) who becomes a transferee after the occurrence of a Flip-in Event, or (iii) a transferee of any Acquiring Person (or any such Affiliate or Associate) who became a transferee prior to or concurrently with the Flip-in Event pursuant to either (a) a transfer from an Acquiring Person to holders of its equity securities or to any Person with whom it has any continuing agreement, arrangement or understanding regarding the transferred Rights or (b) a transfer which the Board of Directors of the Company has determined is part of a plan, an arrangement or understanding which has the purpose or effect of avoiding certain provisions of the Rights Agreement, and subsequent transferees of any of such Persons, will be null and void without any further action and any holder of such Rights will thereafter have no rights whatsoever with respect to such Rights under any provision of the Rights Agreement. From and after the occurrence of a Flip-in Event, no Right Certificate will be issued that represents Rights that are or have become null and void pursuant to the provisions of the Rights Agreement, and any Right Certificate delivered to the Rights Agent that represents Rights that are or have become null and void pursuant to the provisions of the Rights Agreement will be canceled.</w:t>
      </w:r>
    </w:p>
    <w:p>
      <w:pPr>
        <w:spacing w:after="0" w:line="172"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This Right Certificate, with or without other Right Certificates, may be transferred, split up, combined or exchanged for another Right Certificate or Right Certificates entitling the holder to purchase a like number of one one-thousandths of a Preferred Share (or other securities, as the case may be) as the Right Certificate or Right Certificates surrendered entitled such holder (or former holder in the case of a transfer) to purchase, upon the presentation and surrender hereof at the office or offices of the Rights Agent designated for such purpose, with the Form of Assignment (if appropriate) and the related Certificate duly executed.</w:t>
      </w:r>
    </w:p>
    <w:p>
      <w:pPr>
        <w:spacing w:after="0" w:line="18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Subject to the provisions of the Rights Agreement, the Rights evidenced by this Certificate may be redeemed by the Company, at its option, at a redemption price of $0.001 per Right or may be exchanged in whole or in part. The Rights Agreement may be supplemented and amended by the Company, as provided therein.</w:t>
      </w:r>
    </w:p>
    <w:p>
      <w:pPr>
        <w:spacing w:after="0" w:line="184"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Company is not required to issue fractions of Preferred Shares (other than fractions which are integral multiples of one one-thousandth of a Preferred Share, which may, at the option of the Company, be evidenced by depositary receipts) or other securities issuable upon the exercise of any Right or Rights evidenced hereby. In lieu of issuing such fractional Preferred Shares or other securities, the Company may make a cash payment, as provided in the Rights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60"/>
          </w:cols>
          <w:pgMar w:left="440" w:top="274" w:right="499" w:bottom="1440" w:gutter="0" w:footer="0" w:header="0"/>
        </w:sectPr>
      </w:pPr>
    </w:p>
    <w:bookmarkStart w:id="154" w:name="page155"/>
    <w:bookmarkEnd w:id="15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holder of this Right Certificate, as such, will be entitled to vote or receive dividends or be deemed for any purpose the holder of the Preferred Shares or of any other securities of the Company which may at any time be issuable upon the exercise of the Right or Rights represented hereby, nor will anything contained herein or in the Rights Agreement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 Certificate have been exercised in accordance with the provisions of the Rights Agreement.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Right Certificate will not be valid or obligatory for any purpose until it has been countersigned by the Rights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WITNESS the facsimile signature of the officers of the Company and its corporate seal. Dated as of _______, ____.</w:t>
      </w:r>
    </w:p>
    <w:p>
      <w:pPr>
        <w:spacing w:after="0" w:line="252"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P10, INC.</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 as Rights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Signature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960"/>
          </w:cols>
          <w:pgMar w:left="440" w:top="274" w:right="499" w:bottom="1440" w:gutter="0" w:footer="0" w:header="0"/>
        </w:sectPr>
      </w:pPr>
    </w:p>
    <w:bookmarkStart w:id="155" w:name="page156"/>
    <w:bookmarkEnd w:id="15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Side of Right Certificate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FORM OF ASSIGNMENT</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(To be executed by the registered holder if such</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holder desires to transfer the Right Certificate)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VALUE RECEIVED, ___________ hereby sells, assigns and transfers unto</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print name and 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this Right Certificate, together with all right, title and interest therein, and does hereby irrevocably constitute and appoint ________ Attorney, to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within Right Certificate on the books of the within-named Company, with full power of substitution.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________, ____</w:t>
      </w:r>
    </w:p>
    <w:p>
      <w:pPr>
        <w:spacing w:after="0" w:line="200" w:lineRule="exact"/>
        <w:rPr>
          <w:sz w:val="20"/>
          <w:szCs w:val="20"/>
          <w:color w:val="auto"/>
        </w:rPr>
      </w:pPr>
    </w:p>
    <w:p>
      <w:pPr>
        <w:spacing w:after="0" w:line="21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-130175</wp:posOffset>
            </wp:positionV>
            <wp:extent cx="33515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-10160</wp:posOffset>
            </wp:positionV>
            <wp:extent cx="9137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9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Signatures must be guaranteed by an eligible guarantor institution (a bank, stockbroker, savings and loan association or credit union with membership in an approved signature guarantee medallion program) at a guarantee level satisfactory to the Rights Agent. A notary public is not sufficient.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980"/>
          </w:cols>
          <w:pgMar w:left="440" w:top="274" w:right="479" w:bottom="1440" w:gutter="0" w:footer="0" w:header="0"/>
        </w:sectPr>
      </w:pPr>
    </w:p>
    <w:bookmarkStart w:id="156" w:name="page157"/>
    <w:bookmarkEnd w:id="156"/>
    <w:p>
      <w:pPr>
        <w:ind w:left="49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192" w:lineRule="exact"/>
        <w:rPr>
          <w:sz w:val="20"/>
          <w:szCs w:val="20"/>
          <w:color w:val="auto"/>
        </w:rPr>
      </w:pPr>
    </w:p>
    <w:p>
      <w:pPr>
        <w:ind w:right="280" w:firstLine="436"/>
        <w:spacing w:after="0" w:line="232" w:lineRule="exact"/>
        <w:tabs>
          <w:tab w:leader="none" w:pos="69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Rights evidenced by this Right Certificate </w:t>
      </w:r>
      <w:r>
        <w:rPr>
          <w:rFonts w:ascii="MS PGothic" w:cs="MS PGothic" w:eastAsia="MS PGothic" w:hAnsi="MS PGothic"/>
          <w:sz w:val="18"/>
          <w:szCs w:val="18"/>
          <w:color w:val="auto"/>
        </w:rPr>
        <w:t>☐</w:t>
      </w:r>
      <w:r>
        <w:rPr>
          <w:rFonts w:ascii="Arial" w:cs="Arial" w:eastAsia="Arial" w:hAnsi="Arial"/>
          <w:sz w:val="18"/>
          <w:szCs w:val="18"/>
          <w:color w:val="auto"/>
        </w:rPr>
        <w:t xml:space="preserve"> are </w:t>
      </w:r>
      <w:r>
        <w:rPr>
          <w:rFonts w:ascii="MS PGothic" w:cs="MS PGothic" w:eastAsia="MS PGothic" w:hAnsi="MS PGothic"/>
          <w:sz w:val="18"/>
          <w:szCs w:val="18"/>
          <w:color w:val="auto"/>
        </w:rPr>
        <w:t>☐</w:t>
      </w:r>
      <w:r>
        <w:rPr>
          <w:rFonts w:ascii="Arial" w:cs="Arial" w:eastAsia="Arial" w:hAnsi="Arial"/>
          <w:sz w:val="18"/>
          <w:szCs w:val="18"/>
          <w:color w:val="auto"/>
        </w:rPr>
        <w:t xml:space="preserve"> are not being sold, assigned, transferred, split up, combined or exchanged by or on behalf of a Person who is or was an Acquiring Person or an Affiliate or Associate of any such Person (as such terms are defined in the Rights Agreement); and</w:t>
      </w:r>
    </w:p>
    <w:p>
      <w:pPr>
        <w:spacing w:after="0" w:line="170" w:lineRule="exact"/>
        <w:rPr>
          <w:rFonts w:ascii="Arial" w:cs="Arial" w:eastAsia="Arial" w:hAnsi="Arial"/>
          <w:sz w:val="18"/>
          <w:szCs w:val="18"/>
          <w:color w:val="auto"/>
        </w:rPr>
      </w:pPr>
    </w:p>
    <w:p>
      <w:pPr>
        <w:ind w:firstLine="436"/>
        <w:spacing w:after="0" w:line="239" w:lineRule="exact"/>
        <w:tabs>
          <w:tab w:leader="none" w:pos="69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after due inquiry and to the best knowledge of the undersigned, it </w:t>
      </w:r>
      <w:r>
        <w:rPr>
          <w:rFonts w:ascii="MS PGothic" w:cs="MS PGothic" w:eastAsia="MS PGothic" w:hAnsi="MS PGothic"/>
          <w:sz w:val="18"/>
          <w:szCs w:val="18"/>
          <w:color w:val="auto"/>
        </w:rPr>
        <w:t>☐</w:t>
      </w:r>
      <w:r>
        <w:rPr>
          <w:rFonts w:ascii="Arial" w:cs="Arial" w:eastAsia="Arial" w:hAnsi="Arial"/>
          <w:sz w:val="18"/>
          <w:szCs w:val="18"/>
          <w:color w:val="auto"/>
        </w:rPr>
        <w:t xml:space="preserve"> did </w:t>
      </w:r>
      <w:r>
        <w:rPr>
          <w:rFonts w:ascii="MS PGothic" w:cs="MS PGothic" w:eastAsia="MS PGothic" w:hAnsi="MS PGothic"/>
          <w:sz w:val="18"/>
          <w:szCs w:val="18"/>
          <w:color w:val="auto"/>
        </w:rPr>
        <w:t>☐</w:t>
      </w:r>
      <w:r>
        <w:rPr>
          <w:rFonts w:ascii="Arial" w:cs="Arial" w:eastAsia="Arial" w:hAnsi="Arial"/>
          <w:sz w:val="18"/>
          <w:szCs w:val="18"/>
          <w:color w:val="auto"/>
        </w:rPr>
        <w:t xml:space="preserve"> did not acquire the Rights evidenced by this Right Certificate from any Person who is, was or became an Acquiring Person or an Affiliate or Associate of an Acquiring Person.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Dated: ________, ____</w:t>
      </w:r>
    </w:p>
    <w:p>
      <w:pPr>
        <w:spacing w:after="0" w:line="200" w:lineRule="exact"/>
        <w:rPr>
          <w:sz w:val="20"/>
          <w:szCs w:val="20"/>
          <w:color w:val="auto"/>
        </w:rPr>
      </w:pPr>
    </w:p>
    <w:p>
      <w:pPr>
        <w:spacing w:after="0" w:line="21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-130175</wp:posOffset>
            </wp:positionV>
            <wp:extent cx="33515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920"/>
          </w:cols>
          <w:pgMar w:left="440" w:top="274" w:right="539" w:bottom="1440" w:gutter="0" w:footer="0" w:header="0"/>
        </w:sectPr>
      </w:pPr>
    </w:p>
    <w:bookmarkStart w:id="157" w:name="page158"/>
    <w:bookmarkEnd w:id="157"/>
    <w:p>
      <w:pPr>
        <w:ind w:left="40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ELECTION TO PURCHASE</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(To be executed if the holder desires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exercise the Right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P10, Inc.: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hereby irrevocably elects to exercise _________ Rights represented by this Right Certificate to purchase the one one-thousandths</w:t>
      </w:r>
    </w:p>
    <w:p>
      <w:pPr>
        <w:spacing w:after="0" w:line="46"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of a Preferred Share or other securities issuable upon the exercise of such Rights and requests that a certificate or certificates for such securities be issued in the name of and delivered to: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14605</wp:posOffset>
            </wp:positionV>
            <wp:extent cx="5520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such number of Rights is not all of the Rights evidenced by this Right Certificate, a new Right Certificate for the balance remaining of such Rights will be registered in the name of and delivered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14605</wp:posOffset>
            </wp:positionV>
            <wp:extent cx="5520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 ____</w:t>
      </w:r>
    </w:p>
    <w:p>
      <w:pPr>
        <w:spacing w:after="0" w:line="200" w:lineRule="exact"/>
        <w:rPr>
          <w:sz w:val="20"/>
          <w:szCs w:val="20"/>
          <w:color w:val="auto"/>
        </w:rPr>
      </w:pPr>
    </w:p>
    <w:p>
      <w:pPr>
        <w:spacing w:after="0" w:line="21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-130175</wp:posOffset>
            </wp:positionV>
            <wp:extent cx="33515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-10160</wp:posOffset>
            </wp:positionV>
            <wp:extent cx="9137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Signatures must be guaranteed by an eligible guarantor institution (a bank, stockbroker, savings and loan association or credit union with membership in an approved signature guarantee medallion program) at a guarantee level satisfactory to the Rights Agent. A notary public is not sufficient.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000"/>
          </w:cols>
          <w:pgMar w:left="440" w:top="274" w:right="459" w:bottom="1440" w:gutter="0" w:footer="0" w:header="0"/>
        </w:sectPr>
      </w:pPr>
    </w:p>
    <w:bookmarkStart w:id="158" w:name="page159"/>
    <w:bookmarkEnd w:id="158"/>
    <w:p>
      <w:pPr>
        <w:ind w:left="49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84" w:lineRule="exact"/>
        <w:rPr>
          <w:sz w:val="20"/>
          <w:szCs w:val="20"/>
          <w:color w:val="auto"/>
        </w:rPr>
      </w:pPr>
    </w:p>
    <w:p>
      <w:pPr>
        <w:ind w:right="20" w:firstLine="436"/>
        <w:spacing w:after="0" w:line="239" w:lineRule="exact"/>
        <w:tabs>
          <w:tab w:leader="none" w:pos="69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the Rights evidenced by this Right Certificate </w:t>
      </w:r>
      <w:r>
        <w:rPr>
          <w:rFonts w:ascii="MS PGothic" w:cs="MS PGothic" w:eastAsia="MS PGothic" w:hAnsi="MS PGothic"/>
          <w:sz w:val="18"/>
          <w:szCs w:val="18"/>
          <w:color w:val="auto"/>
        </w:rPr>
        <w:t>☐</w:t>
      </w:r>
      <w:r>
        <w:rPr>
          <w:rFonts w:ascii="Arial" w:cs="Arial" w:eastAsia="Arial" w:hAnsi="Arial"/>
          <w:sz w:val="18"/>
          <w:szCs w:val="18"/>
          <w:color w:val="auto"/>
        </w:rPr>
        <w:t xml:space="preserve"> are </w:t>
      </w:r>
      <w:r>
        <w:rPr>
          <w:rFonts w:ascii="MS PGothic" w:cs="MS PGothic" w:eastAsia="MS PGothic" w:hAnsi="MS PGothic"/>
          <w:sz w:val="18"/>
          <w:szCs w:val="18"/>
          <w:color w:val="auto"/>
        </w:rPr>
        <w:t>☐</w:t>
      </w:r>
      <w:r>
        <w:rPr>
          <w:rFonts w:ascii="Arial" w:cs="Arial" w:eastAsia="Arial" w:hAnsi="Arial"/>
          <w:sz w:val="18"/>
          <w:szCs w:val="18"/>
          <w:color w:val="auto"/>
        </w:rPr>
        <w:t xml:space="preserve"> are not being exercised by or on behalf of a Person who is or was an Acquiring Person or an Affiliate or Associate of any such Person (as such terms are defined pursuant to the Rights Agreement); and</w:t>
      </w:r>
    </w:p>
    <w:p>
      <w:pPr>
        <w:spacing w:after="0" w:line="170" w:lineRule="exact"/>
        <w:rPr>
          <w:rFonts w:ascii="Arial" w:cs="Arial" w:eastAsia="Arial" w:hAnsi="Arial"/>
          <w:sz w:val="18"/>
          <w:szCs w:val="18"/>
          <w:color w:val="auto"/>
        </w:rPr>
      </w:pPr>
    </w:p>
    <w:p>
      <w:pPr>
        <w:ind w:right="20" w:firstLine="436"/>
        <w:spacing w:after="0" w:line="239" w:lineRule="exact"/>
        <w:tabs>
          <w:tab w:leader="none" w:pos="69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after due inquiry and to the best knowledge of the undersigned, it </w:t>
      </w:r>
      <w:r>
        <w:rPr>
          <w:rFonts w:ascii="MS PGothic" w:cs="MS PGothic" w:eastAsia="MS PGothic" w:hAnsi="MS PGothic"/>
          <w:sz w:val="18"/>
          <w:szCs w:val="18"/>
          <w:color w:val="auto"/>
        </w:rPr>
        <w:t>☐</w:t>
      </w:r>
      <w:r>
        <w:rPr>
          <w:rFonts w:ascii="Arial" w:cs="Arial" w:eastAsia="Arial" w:hAnsi="Arial"/>
          <w:sz w:val="18"/>
          <w:szCs w:val="18"/>
          <w:color w:val="auto"/>
        </w:rPr>
        <w:t xml:space="preserve"> did </w:t>
      </w:r>
      <w:r>
        <w:rPr>
          <w:rFonts w:ascii="MS PGothic" w:cs="MS PGothic" w:eastAsia="MS PGothic" w:hAnsi="MS PGothic"/>
          <w:sz w:val="18"/>
          <w:szCs w:val="18"/>
          <w:color w:val="auto"/>
        </w:rPr>
        <w:t>☐</w:t>
      </w:r>
      <w:r>
        <w:rPr>
          <w:rFonts w:ascii="Arial" w:cs="Arial" w:eastAsia="Arial" w:hAnsi="Arial"/>
          <w:sz w:val="18"/>
          <w:szCs w:val="18"/>
          <w:color w:val="auto"/>
        </w:rPr>
        <w:t xml:space="preserve"> did not acquire the Rights evidenced by this Right Certificate from any Person who is, was, or became an Acquiring Person or an Affiliate or Associate of an Acquiring Person.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Dated: ________, ____</w:t>
      </w:r>
    </w:p>
    <w:p>
      <w:pPr>
        <w:spacing w:after="0" w:line="200" w:lineRule="exact"/>
        <w:rPr>
          <w:sz w:val="20"/>
          <w:szCs w:val="20"/>
          <w:color w:val="auto"/>
        </w:rPr>
      </w:pPr>
    </w:p>
    <w:p>
      <w:pPr>
        <w:spacing w:after="0" w:line="25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-130175</wp:posOffset>
            </wp:positionV>
            <wp:extent cx="32829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NOTICE</w:t>
      </w:r>
    </w:p>
    <w:p>
      <w:pPr>
        <w:spacing w:after="0" w:line="221"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Signatures on the foregoing Form of Assignment and Form of Election to Purchase and in the related Certificates must correspond to the name as written upon the face of this Right Certificate in every particular, without alteration or enlargement or any change whatsoever.</w:t>
      </w:r>
    </w:p>
    <w:p>
      <w:pPr>
        <w:spacing w:after="0" w:line="116"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Signatures must be guaranteed by an eligible guarantor institution (banks, stockbrokers, savings and loan associations and credit unions with membership in an approved medallion signature program) pursuant to Rule 17Ad-15 under the Securities Exchange Act of 1934, as amended.</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0940"/>
          </w:cols>
          <w:pgMar w:left="440" w:top="274" w:right="5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RIGHTS TO PURCHASE PREFERRED STOCK</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On October 20, 2021, the Board of Directors of P10, Inc. declared a dividend of one preferred share purchase right for each outstanding share of P10, Inc.’s Class A common stock, par value $0.001 per share, of the Company and Class B common stock, par value $0.001 per share, of the Company (collectively, the “common stock”). The dividend is payable on November 2, 2021 to our stockholders of record on that date. The terms of the rights are set forth in a rights agreement, dated as of October 20, 2021, by and between P10, Inc. and American Stock Transfer &amp; Trust Company, LLC, as rights agent.</w:t>
      </w:r>
    </w:p>
    <w:p>
      <w:pPr>
        <w:spacing w:after="0" w:line="188"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The rights agreement is intended to protect stockholder value by attempting to protect against a possible limitation on our ability to use our net operating loss carryforwards and other tax attributes to reduce potential future federal income tax obligations. Under the Internal Revenue Code and rules promulgated by the Internal Revenue Service, we may “</w:t>
      </w:r>
      <w:r>
        <w:rPr>
          <w:rFonts w:ascii="Arial" w:cs="Arial" w:eastAsia="Arial" w:hAnsi="Arial"/>
          <w:sz w:val="17"/>
          <w:szCs w:val="17"/>
          <w:b w:val="1"/>
          <w:bCs w:val="1"/>
          <w:i w:val="1"/>
          <w:iCs w:val="1"/>
          <w:color w:val="auto"/>
        </w:rPr>
        <w:t>carry forward</w:t>
      </w:r>
      <w:r>
        <w:rPr>
          <w:rFonts w:ascii="Arial" w:cs="Arial" w:eastAsia="Arial" w:hAnsi="Arial"/>
          <w:sz w:val="17"/>
          <w:szCs w:val="17"/>
          <w:color w:val="auto"/>
        </w:rPr>
        <w:t>” tax losses and credits in certain circumstances to offset any current and future earnings and thus reduce our federal income tax liability, subject to certain requirements and restrictions. To the extent that our tax attributes do not otherwise become limited, we believe that we will be able to carry forward a significant amount of losses and credits, and therefore these tax attributes could be a substantial asset to us. However, if we experience an “</w:t>
      </w:r>
      <w:r>
        <w:rPr>
          <w:rFonts w:ascii="Arial" w:cs="Arial" w:eastAsia="Arial" w:hAnsi="Arial"/>
          <w:sz w:val="17"/>
          <w:szCs w:val="17"/>
          <w:b w:val="1"/>
          <w:bCs w:val="1"/>
          <w:i w:val="1"/>
          <w:iCs w:val="1"/>
          <w:color w:val="auto"/>
        </w:rPr>
        <w:t>ownership change</w:t>
      </w:r>
      <w:r>
        <w:rPr>
          <w:rFonts w:ascii="Arial" w:cs="Arial" w:eastAsia="Arial" w:hAnsi="Arial"/>
          <w:sz w:val="17"/>
          <w:szCs w:val="17"/>
          <w:color w:val="auto"/>
        </w:rPr>
        <w:t>,” as defined in Section 382 of the Internal Revenue Code, our ability to use these tax attributes will be substantially limited, and the timing of the usage of the tax attributes could be substantially delayed, which could significantly impair the value of that asset.</w:t>
      </w:r>
    </w:p>
    <w:p>
      <w:pPr>
        <w:spacing w:after="0" w:line="178" w:lineRule="exact"/>
        <w:rPr>
          <w:sz w:val="20"/>
          <w:szCs w:val="20"/>
          <w:color w:val="auto"/>
        </w:rPr>
      </w:pPr>
    </w:p>
    <w:p>
      <w:pPr>
        <w:ind w:right="420" w:firstLine="440"/>
        <w:spacing w:after="0" w:line="259" w:lineRule="auto"/>
        <w:rPr>
          <w:sz w:val="20"/>
          <w:szCs w:val="20"/>
          <w:color w:val="auto"/>
        </w:rPr>
      </w:pPr>
      <w:r>
        <w:rPr>
          <w:rFonts w:ascii="Arial" w:cs="Arial" w:eastAsia="Arial" w:hAnsi="Arial"/>
          <w:sz w:val="18"/>
          <w:szCs w:val="18"/>
          <w:color w:val="auto"/>
        </w:rPr>
        <w:t>In general terms, the rights agreement imposes a significant penalty upon any person or group that acquires beneficial ownership of 4.99% or more of our outstanding common stock without the prior approval of our Board of Directors. A person or group that acquires a percentage of our common stock in excess of that threshold is called an “</w:t>
      </w:r>
      <w:r>
        <w:rPr>
          <w:rFonts w:ascii="Arial" w:cs="Arial" w:eastAsia="Arial" w:hAnsi="Arial"/>
          <w:sz w:val="18"/>
          <w:szCs w:val="18"/>
          <w:b w:val="1"/>
          <w:bCs w:val="1"/>
          <w:i w:val="1"/>
          <w:iCs w:val="1"/>
          <w:color w:val="auto"/>
        </w:rPr>
        <w:t>acquiring person</w:t>
      </w:r>
      <w:r>
        <w:rPr>
          <w:rFonts w:ascii="Arial" w:cs="Arial" w:eastAsia="Arial" w:hAnsi="Arial"/>
          <w:sz w:val="18"/>
          <w:szCs w:val="18"/>
          <w:color w:val="auto"/>
        </w:rPr>
        <w:t>.” Any rights held by an acquiring person are null and void and may not be exercised.</w:t>
      </w:r>
    </w:p>
    <w:p>
      <w:pPr>
        <w:spacing w:after="0" w:line="187"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This summary of rights provides a general description of the rights agreement. Because it is only a summary, this description should be read together with the entire rights agreement, which we incorporate in this summary by reference. We intend to file the rights agreement with the Securities and Exchange Commission. Upon written request, we will provide a copy of the rights agreement free of charge to any stockholder.</w:t>
      </w:r>
    </w:p>
    <w:p>
      <w:pPr>
        <w:spacing w:after="0" w:line="145"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b w:val="1"/>
          <w:bCs w:val="1"/>
          <w:color w:val="auto"/>
        </w:rPr>
        <w:t>The Rights</w:t>
      </w:r>
      <w:r>
        <w:rPr>
          <w:rFonts w:ascii="Arial" w:cs="Arial" w:eastAsia="Arial" w:hAnsi="Arial"/>
          <w:sz w:val="18"/>
          <w:szCs w:val="18"/>
          <w:color w:val="auto"/>
        </w:rPr>
        <w:t>. Our Board of Directors authorized the issuance of one right per each outstanding share of our common stock on October 20, 2021. If</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become exercisable, each right would allow its holder to purchase from us one one-thousandth of a share of our Series A Junior Participating Preferred Stock for a purchase price of $40.00.</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Each fractional share of preferred stock would give the stockholder approximately the same dividend, voting and liquidation rights as does one share of our common stock. Prior to exercise, however, a right does not give its holder any dividend, voting or liquidation rights.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Exercisability</w:t>
      </w:r>
      <w:r>
        <w:rPr>
          <w:rFonts w:ascii="Arial" w:cs="Arial" w:eastAsia="Arial" w:hAnsi="Arial"/>
          <w:sz w:val="18"/>
          <w:szCs w:val="18"/>
          <w:color w:val="auto"/>
        </w:rPr>
        <w:t>. The rights will not be exercisable until the earlier of:</w:t>
      </w:r>
    </w:p>
    <w:p>
      <w:pPr>
        <w:spacing w:after="0" w:line="135" w:lineRule="exact"/>
        <w:rPr>
          <w:sz w:val="20"/>
          <w:szCs w:val="20"/>
          <w:color w:val="auto"/>
        </w:rPr>
      </w:pPr>
    </w:p>
    <w:p>
      <w:pPr>
        <w:ind w:left="5360" w:right="2160" w:hanging="4824"/>
        <w:spacing w:after="0" w:line="449" w:lineRule="auto"/>
        <w:tabs>
          <w:tab w:leader="none" w:pos="95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10 days after a public announcement by P10, Inc. that a person or group has become an acquiring person; and C-1</w:t>
      </w:r>
    </w:p>
    <w:p>
      <w:pPr>
        <w:sectPr>
          <w:pgSz w:w="11900" w:h="16838" w:orient="portrait"/>
          <w:cols w:equalWidth="0" w:num="1">
            <w:col w:w="11020"/>
          </w:cols>
          <w:pgMar w:left="440" w:top="274" w:right="439" w:bottom="1440" w:gutter="0" w:footer="0" w:header="0"/>
        </w:sectPr>
      </w:pPr>
    </w:p>
    <w:bookmarkStart w:id="160" w:name="page161"/>
    <w:bookmarkEnd w:id="160"/>
    <w:p>
      <w:pPr>
        <w:ind w:left="960" w:right="40" w:hanging="424"/>
        <w:spacing w:after="0" w:line="277" w:lineRule="auto"/>
        <w:tabs>
          <w:tab w:leader="none" w:pos="9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 business days (or a later date determined by our Board of Directors) after a person or group begins a tender or an exchange offer that, if completed, would result in that person or group becoming an acquiring person.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refer to the date that the rights become exercisable as the “</w:t>
      </w:r>
      <w:r>
        <w:rPr>
          <w:rFonts w:ascii="Arial" w:cs="Arial" w:eastAsia="Arial" w:hAnsi="Arial"/>
          <w:sz w:val="18"/>
          <w:szCs w:val="18"/>
          <w:b w:val="1"/>
          <w:bCs w:val="1"/>
          <w:i w:val="1"/>
          <w:iCs w:val="1"/>
          <w:color w:val="auto"/>
        </w:rPr>
        <w:t>distribution date</w:t>
      </w:r>
      <w:r>
        <w:rPr>
          <w:rFonts w:ascii="Arial" w:cs="Arial" w:eastAsia="Arial" w:hAnsi="Arial"/>
          <w:sz w:val="18"/>
          <w:szCs w:val="18"/>
          <w:color w:val="auto"/>
        </w:rPr>
        <w:t>.” Until the distribution date, our common stock certificates will also evidence the rights and will contain a notation to that effect. Any transfer of shares of common stock prior to the distribution date will constitute a transfer of the associated rights. After the distribution date, the rights will separate from the common stock and be evidenced by right certificates, which we will mail to all holders of rights that have not become null and void.</w:t>
      </w:r>
    </w:p>
    <w:p>
      <w:pPr>
        <w:spacing w:after="0" w:line="187"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After the distribution date, if a person or group already is or becomes an acquiring person, all holders of rights, except the acquiring person, may exercise their rights upon payment of the purchase price to purchase shares of our common stock (or other securities or assets as determined by the Board of Directors) with a market value of two times the purchase price. We refer to this as a “</w:t>
      </w:r>
      <w:r>
        <w:rPr>
          <w:rFonts w:ascii="Arial" w:cs="Arial" w:eastAsia="Arial" w:hAnsi="Arial"/>
          <w:sz w:val="17"/>
          <w:szCs w:val="17"/>
          <w:b w:val="1"/>
          <w:bCs w:val="1"/>
          <w:i w:val="1"/>
          <w:iCs w:val="1"/>
          <w:color w:val="auto"/>
        </w:rPr>
        <w:t>flip-in event</w:t>
      </w:r>
      <w:r>
        <w:rPr>
          <w:rFonts w:ascii="Arial" w:cs="Arial" w:eastAsia="Arial" w:hAnsi="Arial"/>
          <w:sz w:val="17"/>
          <w:szCs w:val="17"/>
          <w:color w:val="auto"/>
        </w:rPr>
        <w:t>.”</w:t>
      </w:r>
    </w:p>
    <w:p>
      <w:pPr>
        <w:spacing w:after="0" w:line="16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After the distribution date, if a flip-in event has already occurred and P10, Inc. is acquired in a merger or similar transaction, all holders of rights, except the acquiring person, may exercise their rights upon payment of the purchase price, to purchase shares of the acquiring or other appropriate entity with a market value of two times the purchase price of the rights. We refer to this as a “</w:t>
      </w:r>
      <w:r>
        <w:rPr>
          <w:rFonts w:ascii="Arial" w:cs="Arial" w:eastAsia="Arial" w:hAnsi="Arial"/>
          <w:sz w:val="17"/>
          <w:szCs w:val="17"/>
          <w:b w:val="1"/>
          <w:bCs w:val="1"/>
          <w:i w:val="1"/>
          <w:iCs w:val="1"/>
          <w:color w:val="auto"/>
        </w:rPr>
        <w:t>flip-over event</w:t>
      </w:r>
      <w:r>
        <w:rPr>
          <w:rFonts w:ascii="Arial" w:cs="Arial" w:eastAsia="Arial" w:hAnsi="Arial"/>
          <w:sz w:val="17"/>
          <w:szCs w:val="17"/>
          <w:color w:val="auto"/>
        </w:rPr>
        <w:t>.”</w:t>
      </w:r>
    </w:p>
    <w:p>
      <w:pPr>
        <w:spacing w:after="0" w:line="165" w:lineRule="exact"/>
        <w:rPr>
          <w:sz w:val="20"/>
          <w:szCs w:val="20"/>
          <w:color w:val="auto"/>
        </w:rPr>
      </w:pPr>
    </w:p>
    <w:p>
      <w:pPr>
        <w:ind w:right="200" w:firstLine="440"/>
        <w:spacing w:after="0" w:line="296" w:lineRule="auto"/>
        <w:rPr>
          <w:sz w:val="20"/>
          <w:szCs w:val="20"/>
          <w:color w:val="auto"/>
        </w:rPr>
      </w:pPr>
      <w:r>
        <w:rPr>
          <w:rFonts w:ascii="Arial" w:cs="Arial" w:eastAsia="Arial" w:hAnsi="Arial"/>
          <w:sz w:val="16"/>
          <w:szCs w:val="16"/>
          <w:color w:val="auto"/>
        </w:rPr>
        <w:t>Rights may be exercised to purchase our preferred shares only after the distribution date occurs and prior to the occurrence of a flip-in event as described above. A distribution date resulting from the commencement of a tender offer or an exchange offer as described in the second bullet point above could precede the occurrence of a flip-in event, in which case the rights could be exercised to purchase our preferred shares. A distribution date resulting from any occurrence described in the first bullet point above would necessarily follow the occurrence of a flip-in event, in which case the rights could be exercised to purchase shares of common stock (or other securities or assets) as described above.</w:t>
      </w:r>
    </w:p>
    <w:p>
      <w:pPr>
        <w:spacing w:after="0" w:line="157"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b w:val="1"/>
          <w:bCs w:val="1"/>
          <w:color w:val="auto"/>
        </w:rPr>
        <w:t>Exempted Persons and Exempted Transactions</w:t>
      </w:r>
      <w:r>
        <w:rPr>
          <w:rFonts w:ascii="Arial" w:cs="Arial" w:eastAsia="Arial" w:hAnsi="Arial"/>
          <w:sz w:val="18"/>
          <w:szCs w:val="18"/>
          <w:color w:val="auto"/>
        </w:rPr>
        <w:t>. Our Board of Directors recognizes that there may be instances when an acquisition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that would cause a stockholder to become an acquiring person may not jeopardize the availability of any tax attributes to P10, Inc. Accordingly, the rights agreement grants discretion to the Board of Directors to designate a person as an “Exempt Person” or to designate a transaction involving our common stock as an “Exempt Transaction.” An “Exempt Person” cannot become an acquiring person under the rights agreement. Our Board of Directors can revoke an “Exempt Person” designation if it subsequently makes a contrary determination regarding whether a person jeopardizes the availability of tax attributes to P10, Inc.</w:t>
      </w:r>
    </w:p>
    <w:p>
      <w:pPr>
        <w:spacing w:after="0" w:line="18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Expiration</w:t>
      </w:r>
      <w:r>
        <w:rPr>
          <w:rFonts w:ascii="Arial" w:cs="Arial" w:eastAsia="Arial" w:hAnsi="Arial"/>
          <w:sz w:val="18"/>
          <w:szCs w:val="18"/>
          <w:color w:val="auto"/>
        </w:rPr>
        <w:t>. The rights will expire on the earliest of (i) October 20, 2024, which is the third anniversary of the date on which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authorized and declared a dividend of the rights, or such earlier date as of which our Board of Directors determines that the rights agreement is no longer necessary for the preservation of our tax assets, (ii) the time at which the rights are redeemed, (iii) the time at which the rights are exchanged, (iv) the effective time of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980"/>
          </w:cols>
          <w:pgMar w:left="440" w:top="274" w:right="479" w:bottom="1440" w:gutter="0" w:footer="0" w:header="0"/>
        </w:sectPr>
      </w:pPr>
    </w:p>
    <w:bookmarkStart w:id="161" w:name="page162"/>
    <w:bookmarkEnd w:id="161"/>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repeal of Section 382 of the Code or any successor statute if the Board of Directors determines that the rights agreement is no longer necessary for the preservation of our tax assets, and (v) the first day of a taxable year of the Company to which the Board of Directors determines that no NOLs or other tax assets may be carried forward.</w:t>
      </w:r>
    </w:p>
    <w:p>
      <w:pPr>
        <w:spacing w:after="0" w:line="180" w:lineRule="exact"/>
        <w:rPr>
          <w:sz w:val="20"/>
          <w:szCs w:val="20"/>
          <w:color w:val="auto"/>
        </w:rPr>
      </w:pPr>
    </w:p>
    <w:p>
      <w:pPr>
        <w:jc w:val="both"/>
        <w:ind w:right="40" w:firstLine="440"/>
        <w:spacing w:after="0" w:line="261" w:lineRule="auto"/>
        <w:rPr>
          <w:sz w:val="20"/>
          <w:szCs w:val="20"/>
          <w:color w:val="auto"/>
        </w:rPr>
      </w:pPr>
      <w:r>
        <w:rPr>
          <w:rFonts w:ascii="Arial" w:cs="Arial" w:eastAsia="Arial" w:hAnsi="Arial"/>
          <w:sz w:val="18"/>
          <w:szCs w:val="18"/>
          <w:b w:val="1"/>
          <w:bCs w:val="1"/>
          <w:color w:val="auto"/>
        </w:rPr>
        <w:t>Redemption</w:t>
      </w:r>
      <w:r>
        <w:rPr>
          <w:rFonts w:ascii="Arial" w:cs="Arial" w:eastAsia="Arial" w:hAnsi="Arial"/>
          <w:sz w:val="18"/>
          <w:szCs w:val="18"/>
          <w:color w:val="auto"/>
        </w:rPr>
        <w:t>. Our Board may redeem all (but not less than all) of the rights for a redemption price of $0.001 per right at any time before a person</w:t>
      </w:r>
      <w:r>
        <w:rPr>
          <w:rFonts w:ascii="Arial" w:cs="Arial" w:eastAsia="Arial" w:hAnsi="Arial"/>
          <w:sz w:val="18"/>
          <w:szCs w:val="18"/>
          <w:b w:val="1"/>
          <w:bCs w:val="1"/>
          <w:color w:val="auto"/>
        </w:rPr>
        <w:t xml:space="preserve"> </w:t>
      </w:r>
      <w:r>
        <w:rPr>
          <w:rFonts w:ascii="Arial" w:cs="Arial" w:eastAsia="Arial" w:hAnsi="Arial"/>
          <w:sz w:val="18"/>
          <w:szCs w:val="18"/>
          <w:color w:val="auto"/>
        </w:rPr>
        <w:t>or group has become an acquiring person. Once the rights are redeemed, the right to exercise the rights will terminate, and the only right of the holders of such rights will be to receive the redemption price. The redemption price will be adjusted if we declare a stock split or issue a stock dividend on our common stock.</w:t>
      </w:r>
    </w:p>
    <w:p>
      <w:pPr>
        <w:spacing w:after="0" w:line="180" w:lineRule="exact"/>
        <w:rPr>
          <w:sz w:val="20"/>
          <w:szCs w:val="20"/>
          <w:color w:val="auto"/>
        </w:rPr>
      </w:pPr>
    </w:p>
    <w:p>
      <w:pPr>
        <w:jc w:val="both"/>
        <w:ind w:right="540" w:firstLine="440"/>
        <w:spacing w:after="0" w:line="266" w:lineRule="auto"/>
        <w:rPr>
          <w:sz w:val="20"/>
          <w:szCs w:val="20"/>
          <w:color w:val="auto"/>
        </w:rPr>
      </w:pPr>
      <w:r>
        <w:rPr>
          <w:rFonts w:ascii="Arial" w:cs="Arial" w:eastAsia="Arial" w:hAnsi="Arial"/>
          <w:sz w:val="18"/>
          <w:szCs w:val="18"/>
          <w:b w:val="1"/>
          <w:bCs w:val="1"/>
          <w:color w:val="auto"/>
        </w:rPr>
        <w:t>Exchange</w:t>
      </w:r>
      <w:r>
        <w:rPr>
          <w:rFonts w:ascii="Arial" w:cs="Arial" w:eastAsia="Arial" w:hAnsi="Arial"/>
          <w:sz w:val="18"/>
          <w:szCs w:val="18"/>
          <w:color w:val="auto"/>
        </w:rPr>
        <w:t>. At any time after a person or group has become an acquiring person, but before an acquiring person owns 50% or more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common stock, our Board of Directors may exchange each right (other than rights that have become null and void) for two shares of common stock or equivalent securities.</w:t>
      </w:r>
    </w:p>
    <w:p>
      <w:pPr>
        <w:spacing w:after="0" w:line="176"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b w:val="1"/>
          <w:bCs w:val="1"/>
          <w:color w:val="auto"/>
        </w:rPr>
        <w:t>Anti-Dilution Provisions</w:t>
      </w:r>
      <w:r>
        <w:rPr>
          <w:rFonts w:ascii="Arial" w:cs="Arial" w:eastAsia="Arial" w:hAnsi="Arial"/>
          <w:sz w:val="16"/>
          <w:szCs w:val="16"/>
          <w:color w:val="auto"/>
        </w:rPr>
        <w:t>. Our Board may adjust the purchase price of the preferred shares, the number of preferred shares issuable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outstanding rights to prevent dilution that may occur as a result of certain events, including, among others, a stock dividend, a stock split or a reclassification of the preferred shares or our common stock. No adjustments to the purchase price of less than one percent will be made.</w:t>
      </w:r>
    </w:p>
    <w:p>
      <w:pPr>
        <w:spacing w:after="0" w:line="142"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b w:val="1"/>
          <w:bCs w:val="1"/>
          <w:color w:val="auto"/>
        </w:rPr>
        <w:t>Amendments</w:t>
      </w:r>
      <w:r>
        <w:rPr>
          <w:rFonts w:ascii="Arial" w:cs="Arial" w:eastAsia="Arial" w:hAnsi="Arial"/>
          <w:sz w:val="17"/>
          <w:szCs w:val="17"/>
          <w:color w:val="auto"/>
        </w:rPr>
        <w:t>. Before the time a person or group has become an acquiring person, our Board of Directors may amend or supplement the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 any respect without the consent of the holders of the rights, except that no amendment may decrease the redemption price below $0.001 per right. At any time, our Board of Directors may amend or supplement the rights agreement to cure an ambiguity, to alter time period provisions, to correct inconsistent provisions or to make any additional changes to the rights agreement, but after a person or group has become an acquiring person only to the extent that those changes do not impair or adversely affect any rights holder and do not result in the rights again becoming redeemable. The limitations on our Board of Director’s ability to amend the rights agreement does not affect our Board of Director’s power or ability to take any other action that is consistent with its fiduciary duties, including, without limitation, accelerating or extending the expiration date of the rights, or making any amendment to the rights agreement that is permitted by the rights agreement or adopting a new rights agreement with such terms as our Board determines in its sole discretion to be appropriate.</w:t>
      </w:r>
    </w:p>
    <w:p>
      <w:pPr>
        <w:spacing w:after="0" w:line="17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940"/>
          </w:cols>
          <w:pgMar w:left="440" w:top="274" w:right="5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COMPANY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CONTROLLED COMPANY AGREEMENT (as the same may be amended from time to time in accordance with its terms,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October 20, 2021, by and among the parties listed on the signature pages hereto (each a “</w:t>
      </w:r>
      <w:r>
        <w:rPr>
          <w:rFonts w:ascii="Arial" w:cs="Arial" w:eastAsia="Arial" w:hAnsi="Arial"/>
          <w:sz w:val="17"/>
          <w:szCs w:val="17"/>
          <w:u w:val="single" w:color="auto"/>
          <w:color w:val="auto"/>
        </w:rPr>
        <w:t>Stockholder</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21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WHEREAS, in connection with the consummation by P10, Inc. (the “</w:t>
      </w:r>
      <w:r>
        <w:rPr>
          <w:rFonts w:ascii="Arial" w:cs="Arial" w:eastAsia="Arial" w:hAnsi="Arial"/>
          <w:sz w:val="18"/>
          <w:szCs w:val="18"/>
          <w:u w:val="single" w:color="auto"/>
          <w:color w:val="auto"/>
        </w:rPr>
        <w:t>Issuer</w:t>
      </w:r>
      <w:r>
        <w:rPr>
          <w:rFonts w:ascii="Arial" w:cs="Arial" w:eastAsia="Arial" w:hAnsi="Arial"/>
          <w:sz w:val="18"/>
          <w:szCs w:val="18"/>
          <w:color w:val="auto"/>
        </w:rPr>
        <w:t>”) of a Restructuring (as hereinafter defined), the parties hereto have agreed to enter into this Agreement to govern certain of their rights, duties and obligations with respect to their ownership of Shares (as hereinafter defined) after consummation of the Restructuring.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mutual covenants and agreements contained herein, the parties mutually agree as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meanings set forth below:</w:t>
      </w:r>
    </w:p>
    <w:p>
      <w:pPr>
        <w:spacing w:after="0" w:line="117" w:lineRule="exact"/>
        <w:rPr>
          <w:sz w:val="20"/>
          <w:szCs w:val="20"/>
          <w:color w:val="auto"/>
        </w:rPr>
      </w:pPr>
    </w:p>
    <w:p>
      <w:pPr>
        <w:ind w:right="8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210 Stockholders</w:t>
      </w:r>
      <w:r>
        <w:rPr>
          <w:rFonts w:ascii="Arial" w:cs="Arial" w:eastAsia="Arial" w:hAnsi="Arial"/>
          <w:sz w:val="18"/>
          <w:szCs w:val="18"/>
          <w:color w:val="auto"/>
        </w:rPr>
        <w:t>” means 210/P10 Acquisition Partners, LLC, those parties listed on the signature pages below under the heading 210 Stockholders, and any of its Permitted Transferees who hold Shares as of the applicable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210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2.1(a)(i)</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controls, is controlled by, or is under common control with such Person. The term “control,” as used with respect to any Person, means the power to direct or cause the direction of the management and policies of such Person, directly or indirectly, whether through the ownership of voting securities, by contract or otherwise. “</w:t>
      </w:r>
      <w:r>
        <w:rPr>
          <w:rFonts w:ascii="Arial" w:cs="Arial" w:eastAsia="Arial" w:hAnsi="Arial"/>
          <w:sz w:val="18"/>
          <w:szCs w:val="18"/>
          <w:u w:val="single" w:color="auto"/>
          <w:color w:val="auto"/>
        </w:rPr>
        <w:t>Controlled</w:t>
      </w:r>
      <w:r>
        <w:rPr>
          <w:rFonts w:ascii="Arial" w:cs="Arial" w:eastAsia="Arial" w:hAnsi="Arial"/>
          <w:sz w:val="18"/>
          <w:szCs w:val="18"/>
          <w:color w:val="auto"/>
        </w:rPr>
        <w:t>” and “</w:t>
      </w:r>
      <w:r>
        <w:rPr>
          <w:rFonts w:ascii="Arial" w:cs="Arial" w:eastAsia="Arial" w:hAnsi="Arial"/>
          <w:sz w:val="18"/>
          <w:szCs w:val="18"/>
          <w:u w:val="single" w:color="auto"/>
          <w:color w:val="auto"/>
        </w:rPr>
        <w:t>controlling</w:t>
      </w:r>
      <w:r>
        <w:rPr>
          <w:rFonts w:ascii="Arial" w:cs="Arial" w:eastAsia="Arial" w:hAnsi="Arial"/>
          <w:sz w:val="18"/>
          <w:szCs w:val="18"/>
          <w:color w:val="auto"/>
        </w:rPr>
        <w:t>” have meanings correlative to the foregoing. Notwithstanding the foregoing, for purposes hereof, none of the Stockholders, the Issuer, or any of their respective Subsidiaries shall be considered Affiliates of any portfolio operating company in which the Stockholders or any of their investment fund Affiliates have made a debt or equity investment, and none of the Stockholders or any of their Affiliates shall be considered an Affiliate of (a) the Issuer or any of its Subsidiaries or (b) each other.</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Certificate of Incorporation</w:t>
      </w:r>
      <w:r>
        <w:rPr>
          <w:rFonts w:ascii="Arial" w:cs="Arial" w:eastAsia="Arial" w:hAnsi="Arial"/>
          <w:sz w:val="18"/>
          <w:szCs w:val="18"/>
          <w:color w:val="auto"/>
        </w:rPr>
        <w:t>” means the Issuer’s amended and restated certificate of incorporation to be filed and effective in connection with the consummation of the Restructuring.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63" w:name="page164"/>
    <w:bookmarkEnd w:id="16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similar terms have the meaning set forth in Rule 13d-3 under the Exchange</w:t>
      </w:r>
    </w:p>
    <w:p>
      <w:pPr>
        <w:spacing w:after="0" w:line="23" w:lineRule="exact"/>
        <w:rPr>
          <w:sz w:val="20"/>
          <w:szCs w:val="20"/>
          <w:color w:val="auto"/>
        </w:rPr>
      </w:pPr>
    </w:p>
    <w:p>
      <w:pPr>
        <w:ind w:left="4" w:right="260"/>
        <w:spacing w:after="0" w:line="323" w:lineRule="auto"/>
        <w:rPr>
          <w:sz w:val="20"/>
          <w:szCs w:val="20"/>
          <w:color w:val="auto"/>
        </w:rPr>
      </w:pPr>
      <w:r>
        <w:rPr>
          <w:rFonts w:ascii="Arial" w:cs="Arial" w:eastAsia="Arial" w:hAnsi="Arial"/>
          <w:sz w:val="16"/>
          <w:szCs w:val="16"/>
          <w:color w:val="auto"/>
        </w:rPr>
        <w:t xml:space="preserve">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Stockholder shall be deemed to beneficially own any securities of the Issuer held by any other Stockholder solely by virtue of the provisions of this Agreement (other than this definition which shall be deemed to be read for this purpose without the proviso hereto).</w:t>
      </w:r>
    </w:p>
    <w:p>
      <w:pPr>
        <w:spacing w:after="0" w:line="13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Issuer.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left="4" w:right="20" w:firstLine="987"/>
        <w:spacing w:after="0" w:line="263" w:lineRule="auto"/>
        <w:tabs>
          <w:tab w:leader="none" w:pos="12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sale or disposition, in one or a series of related transactions, of all or substantially all, of the assets of the Issuer to any “person” or “group” (as such terms are defined in Section 13(d)(3) or 14(d)(2) of the Exchange Act), other than to a Stockholder group or to any of the Stockholders or the Permitted Transferees or any of their respective Affiliates (collectively, the “</w:t>
      </w:r>
      <w:r>
        <w:rPr>
          <w:rFonts w:ascii="Arial" w:cs="Arial" w:eastAsia="Arial" w:hAnsi="Arial"/>
          <w:sz w:val="18"/>
          <w:szCs w:val="18"/>
          <w:u w:val="single" w:color="auto"/>
          <w:color w:val="auto"/>
        </w:rPr>
        <w:t>Permitted Holders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firstLine="987"/>
        <w:spacing w:after="0" w:line="259" w:lineRule="auto"/>
        <w:tabs>
          <w:tab w:leader="none" w:pos="125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person or group, other than one or more of the Permitted Holders, is or becomes the Beneficial Owner, directly or indirectly, of more than 50% of the total voting power of the voting stock or interests, as applicable, of the Issuer (or any entity which controls the Issuer or which is a successor to all or substantially all of the assets of the Issuer), including by way of merger, recapitalization, reorganization, redemption, issuance of capital stock, consolidation, tender or exchange offer or otherwise; or</w:t>
      </w:r>
    </w:p>
    <w:p>
      <w:pPr>
        <w:spacing w:after="0" w:line="186" w:lineRule="exact"/>
        <w:rPr>
          <w:rFonts w:ascii="Arial" w:cs="Arial" w:eastAsia="Arial" w:hAnsi="Arial"/>
          <w:sz w:val="18"/>
          <w:szCs w:val="18"/>
          <w:color w:val="auto"/>
        </w:rPr>
      </w:pPr>
    </w:p>
    <w:p>
      <w:pPr>
        <w:jc w:val="both"/>
        <w:ind w:left="4" w:right="120" w:firstLine="987"/>
        <w:spacing w:after="0" w:line="263" w:lineRule="auto"/>
        <w:tabs>
          <w:tab w:leader="none" w:pos="12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merger of the Issuer with or into another Person (other than one of more of the Permitted Holders) in which the voting stockholders or members, as applicable, of the Issuer immediately prior to such merger cease to hold at least 50% of the voting shares of the Issuer (or the surviving corporation or ultimate parent) immediately following such merger;</w:t>
      </w:r>
    </w:p>
    <w:p>
      <w:pPr>
        <w:spacing w:after="0" w:line="184" w:lineRule="exact"/>
        <w:rPr>
          <w:sz w:val="20"/>
          <w:szCs w:val="20"/>
          <w:color w:val="auto"/>
        </w:rPr>
      </w:pPr>
    </w:p>
    <w:p>
      <w:pPr>
        <w:ind w:left="4" w:right="120"/>
        <w:spacing w:after="0" w:line="286" w:lineRule="auto"/>
        <w:rPr>
          <w:sz w:val="20"/>
          <w:szCs w:val="20"/>
          <w:color w:val="auto"/>
        </w:rPr>
      </w:pPr>
      <w:r>
        <w:rPr>
          <w:rFonts w:ascii="Arial" w:cs="Arial" w:eastAsia="Arial" w:hAnsi="Arial"/>
          <w:sz w:val="16"/>
          <w:szCs w:val="16"/>
          <w:u w:val="single" w:color="auto"/>
          <w:color w:val="auto"/>
        </w:rPr>
        <w:t>provided that</w:t>
      </w:r>
      <w:r>
        <w:rPr>
          <w:rFonts w:ascii="Arial" w:cs="Arial" w:eastAsia="Arial" w:hAnsi="Arial"/>
          <w:sz w:val="16"/>
          <w:szCs w:val="16"/>
          <w:color w:val="auto"/>
        </w:rPr>
        <w:t>, in each case under clause (a), (b) or (c), no Change in Control shall be deemed to occur unless the Permitted Holders as a result of such transaction cease to have the ability, without the approval of any Person who is not a Permitted Holder, to elect a majority of the members of the Board or other governing body of the Issuer (or the resulting entity), and in no event shall a Change in Control be deemed to include any transaction effected for the purpose of (i) changing, directly or indirectly, the form of organization or the organizational structure of the Issuer or any of its Subsidiaries, or</w:t>
      </w:r>
    </w:p>
    <w:p>
      <w:pPr>
        <w:spacing w:after="0" w:line="1" w:lineRule="exact"/>
        <w:rPr>
          <w:sz w:val="20"/>
          <w:szCs w:val="20"/>
          <w:color w:val="auto"/>
        </w:rPr>
      </w:pPr>
    </w:p>
    <w:p>
      <w:pPr>
        <w:ind w:left="4" w:right="200" w:hanging="4"/>
        <w:spacing w:after="0" w:line="260" w:lineRule="auto"/>
        <w:tabs>
          <w:tab w:leader="none" w:pos="26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contributing assets or equity to entities controlled by the Issuer (or owned by the Issuer in substantially the same proportions as their ownership of the Issuer).</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$0.001 per share, of the Issuer.</w:t>
      </w:r>
    </w:p>
    <w:p>
      <w:pPr>
        <w:spacing w:after="0" w:line="22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$0.001 per share, of the Issuer (including any shares of Class A common stock into which such Class B common stock converts).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closing of the IPO.</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164" w:name="page165"/>
    <w:bookmarkEnd w:id="164"/>
    <w:p>
      <w:pPr>
        <w:ind w:left="4"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Combined Voting Power</w:t>
      </w:r>
      <w:r>
        <w:rPr>
          <w:rFonts w:ascii="Arial" w:cs="Arial" w:eastAsia="Arial" w:hAnsi="Arial"/>
          <w:sz w:val="18"/>
          <w:szCs w:val="18"/>
          <w:color w:val="auto"/>
        </w:rPr>
        <w:t>” means the combined voting power of all classes and series of Voting Securities, according to each class’ or series’ respective votes per share, voting together as a single class.</w:t>
      </w:r>
    </w:p>
    <w:p>
      <w:pPr>
        <w:spacing w:after="0" w:line="170" w:lineRule="exact"/>
        <w:rPr>
          <w:sz w:val="20"/>
          <w:szCs w:val="20"/>
          <w:color w:val="auto"/>
        </w:rPr>
      </w:pPr>
    </w:p>
    <w:p>
      <w:pPr>
        <w:ind w:left="4"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collectively, the shares of Class A Common Stock and Class B Common Stock, and any securities issued in respect thereof, or in substitution therefor, in connection with any stock split, dividend or combination, or any reclassification, recapitalization, merger, consolidation or similar transaction.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member of the Board from time to time.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Designee</w:t>
      </w:r>
      <w:r>
        <w:rPr>
          <w:rFonts w:ascii="Arial" w:cs="Arial" w:eastAsia="Arial" w:hAnsi="Arial"/>
          <w:sz w:val="18"/>
          <w:szCs w:val="18"/>
          <w:color w:val="auto"/>
        </w:rPr>
        <w:t>” means an individual designated by a Stockholder to serve as a Director on the Board under this Agreement.</w:t>
      </w:r>
    </w:p>
    <w:p>
      <w:pPr>
        <w:spacing w:after="0" w:line="225" w:lineRule="exact"/>
        <w:rPr>
          <w:sz w:val="20"/>
          <w:szCs w:val="20"/>
          <w:color w:val="auto"/>
        </w:rPr>
      </w:pPr>
    </w:p>
    <w:p>
      <w:pPr>
        <w:ind w:left="4" w:right="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Securities</w:t>
      </w:r>
      <w:r>
        <w:rPr>
          <w:rFonts w:ascii="Arial" w:cs="Arial" w:eastAsia="Arial" w:hAnsi="Arial"/>
          <w:sz w:val="17"/>
          <w:szCs w:val="17"/>
          <w:color w:val="auto"/>
        </w:rPr>
        <w:t>” means any and all Shares, and any and all securities of the Issuer convertible into, or exchangeable or exercisable for (whether or not subject to contingencies or the passage of time, or both), such shares, and options, warrants or other rights to acquire Shares.</w:t>
      </w:r>
    </w:p>
    <w:p>
      <w:pPr>
        <w:spacing w:after="0" w:line="146"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 same may be amended from time to time.</w:t>
      </w:r>
    </w:p>
    <w:p>
      <w:pPr>
        <w:spacing w:after="0" w:line="170"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w:t>
      </w:r>
      <w:r>
        <w:rPr>
          <w:rFonts w:ascii="Arial" w:cs="Arial" w:eastAsia="Arial" w:hAnsi="Arial"/>
          <w:sz w:val="18"/>
          <w:szCs w:val="18"/>
          <w:color w:val="auto"/>
        </w:rPr>
        <w:t>” means any spouse or domestic partner and relationship by blood, current or former marriage or adoption, not more remote than first cousin.</w:t>
      </w:r>
    </w:p>
    <w:p>
      <w:pPr>
        <w:spacing w:after="0" w:line="170"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means a Director who qualifies, as of the date of such Director’s election or appointment to the Board (or any committee thereof) and as of any other date on which the determination is being made, as an “independent director” under the applicable rules of the Stock Exchange, as determined by the Board and as an “Independent Director” under Rule 10A-3 under the Exchange Act and any corresponding requirement of Stock Exchange rules for audit committee members, as well as any other independence requirements of the U.S. securities laws that is then applicable to the Issuer, as determined by the Board.</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first underwritten Public Offering of the Class A Common Stock of the Issuer.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with respect to any Person, means (a) all provisions of all laws, statutes, ordinances, rules, regulations, permits, certificates or orders of any governmental authority applicable to such Person or any of its assets or property or to which such Person or any of its assets or property is subject and</w:t>
      </w:r>
    </w:p>
    <w:p>
      <w:pPr>
        <w:ind w:left="4" w:right="80" w:hanging="4"/>
        <w:spacing w:after="0" w:line="260" w:lineRule="auto"/>
        <w:tabs>
          <w:tab w:leader="none" w:pos="25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judgments, injunctions, orders and decrees of all courts and arbitrators in proceedings or actions in which such Person is a party or by which it or any of its assets or properties is or may be bound or subject.</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has the meaning set forth in the definition of “</w:t>
      </w: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65" w:name="page166"/>
    <w:bookmarkEnd w:id="165"/>
    <w:p>
      <w:pPr>
        <w:jc w:val="both"/>
        <w:ind w:right="6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means with respect to any Stockholder, any Person that such Stockholder is permitted to transfer shares of Class B Common Stock to in accordance with the provisions of the Amended and Restated Certificate of Incorporation of the Issuer without such shares automatically converting to Class A Common Stock upon the occurrence of such transfer.</w:t>
      </w:r>
    </w:p>
    <w:p>
      <w:pPr>
        <w:spacing w:after="0" w:line="184"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partnership, corporation, business trust, joint stock company, trust, unincorporated association, joint venture, limited liability company or any other entity of whatever nature, and shall include any successor (by merger or otherwise) of such entity.</w:t>
      </w:r>
    </w:p>
    <w:p>
      <w:pPr>
        <w:spacing w:after="0" w:line="12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Offering</w:t>
      </w:r>
      <w:r>
        <w:rPr>
          <w:rFonts w:ascii="Arial" w:cs="Arial" w:eastAsia="Arial" w:hAnsi="Arial"/>
          <w:sz w:val="18"/>
          <w:szCs w:val="18"/>
          <w:color w:val="auto"/>
        </w:rPr>
        <w:t>” means any offering and sale of Equity Securities of the Issuer or any successor to the Issuer for cash pursuant to an effective registration statement (other than on Form S-4, S-8 or a comparable form) under the Securities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RCP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2.1(a)(ii)</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RCP Stockholders</w:t>
      </w:r>
      <w:r>
        <w:rPr>
          <w:rFonts w:ascii="Arial" w:cs="Arial" w:eastAsia="Arial" w:hAnsi="Arial"/>
          <w:sz w:val="18"/>
          <w:szCs w:val="18"/>
          <w:color w:val="auto"/>
        </w:rPr>
        <w:t>” means RCP Advisors 2, LLC and RCP Advisors 3, LLC, those parties listed on the signature pages below under the heading RCP Stockholders, and any of their Permitted Transferees who hold Shares as of the applicable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Stockholders</w:t>
      </w:r>
      <w:r>
        <w:rPr>
          <w:rFonts w:ascii="Arial" w:cs="Arial" w:eastAsia="Arial" w:hAnsi="Arial"/>
          <w:sz w:val="18"/>
          <w:szCs w:val="18"/>
          <w:color w:val="auto"/>
        </w:rPr>
        <w:t>” means the Stockholders listed on the signature pages hereto.</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Restructuring</w:t>
      </w:r>
      <w:r>
        <w:rPr>
          <w:rFonts w:ascii="Arial" w:cs="Arial" w:eastAsia="Arial" w:hAnsi="Arial"/>
          <w:sz w:val="18"/>
          <w:szCs w:val="18"/>
          <w:color w:val="auto"/>
        </w:rPr>
        <w:t>” means the expected restructuring of the Issuer whereby existing stockholders of P10 Holdings, Inc. will hold Class B Common Stock of the Issuer, P10 Holdings, Inc. will become a wholly owned subsidiary of the Issuer and P10 Intermediate Holdings, LLC will become a wholly owned subsidiary of P10 Holdings, Inc.</w:t>
      </w:r>
    </w:p>
    <w:p>
      <w:pPr>
        <w:spacing w:after="0" w:line="184"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 as the same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Common Stock.</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w:t>
      </w:r>
      <w:r>
        <w:rPr>
          <w:rFonts w:ascii="Arial" w:cs="Arial" w:eastAsia="Arial" w:hAnsi="Arial"/>
          <w:sz w:val="18"/>
          <w:szCs w:val="18"/>
          <w:color w:val="auto"/>
        </w:rPr>
        <w:t>” means the New York Stock Exchange or such other securities exchange or interdealer quotation system on which shares of Class A Common Stock are then listed or quoted.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party, any corporation, partnership, trust, limited liability company or other form of legal entity in which such party (or another Subsidiary of such party) holds stock or other ownership interests representing (a) more that 50% of the voting power of all outstanding stock or ownership interests of such entity, (b) the right to receive more than 50% of the net assets of such entity available for distribution to the holders of outstanding stock or ownership interests upon a liquidation or dissolution of such entity or (c) a general or managing partnership interest in such entity.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66" w:name="page167"/>
    <w:bookmarkEnd w:id="1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Truebridge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2.1(a)(iii)</w:t>
      </w:r>
      <w:r>
        <w:rPr>
          <w:rFonts w:ascii="Arial" w:cs="Arial" w:eastAsia="Arial" w:hAnsi="Arial"/>
          <w:sz w:val="18"/>
          <w:szCs w:val="18"/>
          <w:color w:val="auto"/>
        </w:rPr>
        <w:t>.</w:t>
      </w:r>
    </w:p>
    <w:p>
      <w:pPr>
        <w:spacing w:after="0" w:line="225"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TrueBridge Stockholders</w:t>
      </w:r>
      <w:r>
        <w:rPr>
          <w:rFonts w:ascii="Arial" w:cs="Arial" w:eastAsia="Arial" w:hAnsi="Arial"/>
          <w:sz w:val="18"/>
          <w:szCs w:val="18"/>
          <w:color w:val="auto"/>
        </w:rPr>
        <w:t>” means TrueBridge Capital Partners LLC, those parties listed on the signature pages below under the heading TrueBridge Stockholders, and any of its Permitted Transferees who hold Shares as of the applicable time.</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at any time, outstanding shares of any class of Equity Securities of the Issuer, which are then entitled to vote generally in the election of directors.</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General Interpretive Principles</w:t>
      </w:r>
      <w:r>
        <w:rPr>
          <w:rFonts w:ascii="Arial" w:cs="Arial" w:eastAsia="Arial" w:hAnsi="Arial"/>
          <w:sz w:val="17"/>
          <w:szCs w:val="17"/>
          <w:color w:val="auto"/>
        </w:rPr>
        <w:t>. The name assigned to this Agreement and the section captions used herein are for convenience of reference only and shall not be construed to affect the meaning, construction or effect hereof. Whenever required by the context, any pronoun used in this Agreement shall include the corresponding masculine, feminine or neuter forms, and the singular form of nouns, pronouns and verbs shall include the plural and vice versa. Reference to any agreement, document or instrument means such agreement, document or instrument as amended or otherwise modified from time to time in accordance with the terms thereof, and if applicable hereof. Unless otherwise specified, the terms “</w:t>
      </w:r>
      <w:r>
        <w:rPr>
          <w:rFonts w:ascii="Arial" w:cs="Arial" w:eastAsia="Arial" w:hAnsi="Arial"/>
          <w:sz w:val="17"/>
          <w:szCs w:val="17"/>
          <w:u w:val="single" w:color="auto"/>
          <w:color w:val="auto"/>
        </w:rPr>
        <w:t>hereof</w:t>
      </w:r>
      <w:r>
        <w:rPr>
          <w:rFonts w:ascii="Arial" w:cs="Arial" w:eastAsia="Arial" w:hAnsi="Arial"/>
          <w:sz w:val="17"/>
          <w:szCs w:val="17"/>
          <w:color w:val="auto"/>
        </w:rPr>
        <w:t>,” “</w:t>
      </w:r>
      <w:r>
        <w:rPr>
          <w:rFonts w:ascii="Arial" w:cs="Arial" w:eastAsia="Arial" w:hAnsi="Arial"/>
          <w:sz w:val="17"/>
          <w:szCs w:val="17"/>
          <w:u w:val="single" w:color="auto"/>
          <w:color w:val="auto"/>
        </w:rPr>
        <w:t>herein</w:t>
      </w:r>
      <w:r>
        <w:rPr>
          <w:rFonts w:ascii="Arial" w:cs="Arial" w:eastAsia="Arial" w:hAnsi="Arial"/>
          <w:sz w:val="17"/>
          <w:szCs w:val="17"/>
          <w:color w:val="auto"/>
        </w:rPr>
        <w:t>” and similar terms refer to this Agreement as a whole, and references herein to Articles or Sections refer to Articles or Sections of this Agreement. For purposes of this Agreement, the words, “</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and “</w:t>
      </w:r>
      <w:r>
        <w:rPr>
          <w:rFonts w:ascii="Arial" w:cs="Arial" w:eastAsia="Arial" w:hAnsi="Arial"/>
          <w:sz w:val="17"/>
          <w:szCs w:val="17"/>
          <w:u w:val="single" w:color="auto"/>
          <w:color w:val="auto"/>
        </w:rPr>
        <w:t>including</w:t>
      </w:r>
      <w:r>
        <w:rPr>
          <w:rFonts w:ascii="Arial" w:cs="Arial" w:eastAsia="Arial" w:hAnsi="Arial"/>
          <w:sz w:val="17"/>
          <w:szCs w:val="17"/>
          <w:color w:val="auto"/>
        </w:rPr>
        <w:t>,” when used herein, shall be deemed in each case to be followed by the words “</w:t>
      </w:r>
      <w:r>
        <w:rPr>
          <w:rFonts w:ascii="Arial" w:cs="Arial" w:eastAsia="Arial" w:hAnsi="Arial"/>
          <w:sz w:val="17"/>
          <w:szCs w:val="17"/>
          <w:u w:val="single" w:color="auto"/>
          <w:color w:val="auto"/>
        </w:rPr>
        <w:t>without limitation</w:t>
      </w:r>
      <w:r>
        <w:rPr>
          <w:rFonts w:ascii="Arial" w:cs="Arial" w:eastAsia="Arial" w:hAnsi="Arial"/>
          <w:sz w:val="17"/>
          <w:szCs w:val="17"/>
          <w:color w:val="auto"/>
        </w:rPr>
        <w:t>.” The terms “</w:t>
      </w:r>
      <w:r>
        <w:rPr>
          <w:rFonts w:ascii="Arial" w:cs="Arial" w:eastAsia="Arial" w:hAnsi="Arial"/>
          <w:sz w:val="17"/>
          <w:szCs w:val="17"/>
          <w:u w:val="single" w:color="auto"/>
          <w:color w:val="auto"/>
        </w:rPr>
        <w:t>dollars</w:t>
      </w:r>
      <w:r>
        <w:rPr>
          <w:rFonts w:ascii="Arial" w:cs="Arial" w:eastAsia="Arial" w:hAnsi="Arial"/>
          <w:sz w:val="17"/>
          <w:szCs w:val="17"/>
          <w:color w:val="auto"/>
        </w:rPr>
        <w:t>” and “</w:t>
      </w:r>
      <w:r>
        <w:rPr>
          <w:rFonts w:ascii="Arial" w:cs="Arial" w:eastAsia="Arial" w:hAnsi="Arial"/>
          <w:sz w:val="17"/>
          <w:szCs w:val="17"/>
          <w:u w:val="single" w:color="auto"/>
          <w:color w:val="auto"/>
        </w:rPr>
        <w:t>$</w:t>
      </w:r>
      <w:r>
        <w:rPr>
          <w:rFonts w:ascii="Arial" w:cs="Arial" w:eastAsia="Arial" w:hAnsi="Arial"/>
          <w:sz w:val="17"/>
          <w:szCs w:val="17"/>
          <w:color w:val="auto"/>
        </w:rPr>
        <w:t>” shall mean United States dollars.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225" w:lineRule="exact"/>
        <w:rPr>
          <w:sz w:val="20"/>
          <w:szCs w:val="20"/>
          <w:color w:val="auto"/>
        </w:rPr>
      </w:pPr>
    </w:p>
    <w:p>
      <w:pPr>
        <w:ind w:right="200" w:firstLine="987"/>
        <w:spacing w:after="0" w:line="255" w:lineRule="auto"/>
        <w:tabs>
          <w:tab w:leader="none" w:pos="1236"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Composition; Issuer Recommendation</w:t>
      </w:r>
      <w:r>
        <w:rPr>
          <w:rFonts w:ascii="Arial" w:cs="Arial" w:eastAsia="Arial" w:hAnsi="Arial"/>
          <w:sz w:val="18"/>
          <w:szCs w:val="18"/>
          <w:color w:val="auto"/>
        </w:rPr>
        <w:t xml:space="preserve">. Following the Closing Date, each Stockholder shall have the right, but not the obligation, to designate for election to the Board, and the Issuer shall include such designees as nominees for election to the Board at all of the Issuer’s applicable annual or special meetings of stockholders (or consents in lieu of a meeting) at which Directors are to be elected (adjusted as appropriate to take into account the Issuer’s classified Board structure), subject to satisfaction of all qualification and legal requirements regarding service as a Director in accordance with </w:t>
      </w:r>
      <w:r>
        <w:rPr>
          <w:rFonts w:ascii="Arial" w:cs="Arial" w:eastAsia="Arial" w:hAnsi="Arial"/>
          <w:sz w:val="18"/>
          <w:szCs w:val="18"/>
          <w:u w:val="single" w:color="auto"/>
          <w:color w:val="auto"/>
        </w:rPr>
        <w:t>Section 2.1(d)</w:t>
      </w:r>
      <w:r>
        <w:rPr>
          <w:rFonts w:ascii="Arial" w:cs="Arial" w:eastAsia="Arial" w:hAnsi="Arial"/>
          <w:sz w:val="18"/>
          <w:szCs w:val="18"/>
          <w:color w:val="auto"/>
        </w:rPr>
        <w:t>, the number of designees that, if elected, will result in such Stockholder having the number of Directors serving on the Board as follows: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67" w:name="page168"/>
    <w:bookmarkEnd w:id="167"/>
    <w:p>
      <w:pPr>
        <w:ind w:left="4" w:right="200" w:firstLine="1428"/>
        <w:spacing w:after="0" w:line="259" w:lineRule="auto"/>
        <w:tabs>
          <w:tab w:leader="none" w:pos="1651" w:val="left"/>
        </w:tabs>
        <w:numPr>
          <w:ilvl w:val="2"/>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the 210 Stockholders continue to collectively hold a Combined Voting Power of (A) at least 10% of the Shares outstanding immediately following the Closing Date, the Issuer shall include in its slate of nominees two (2) Directors designated by the 210 Stockholders and (B) less than 10% but at least 5% of the Shares outstanding immediately following the Closing Date, one (1) Director designated by the 210 Stockholders, (any such designee, a “</w:t>
      </w:r>
      <w:r>
        <w:rPr>
          <w:rFonts w:ascii="Arial" w:cs="Arial" w:eastAsia="Arial" w:hAnsi="Arial"/>
          <w:sz w:val="18"/>
          <w:szCs w:val="18"/>
          <w:u w:val="single" w:color="auto"/>
          <w:color w:val="auto"/>
        </w:rPr>
        <w:t>210 Designee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4" w:right="840" w:firstLine="1428"/>
        <w:spacing w:after="0" w:line="263" w:lineRule="auto"/>
        <w:tabs>
          <w:tab w:leader="none" w:pos="1701" w:val="left"/>
        </w:tabs>
        <w:numPr>
          <w:ilvl w:val="2"/>
          <w:numId w:val="204"/>
        </w:numPr>
        <w:rPr>
          <w:rFonts w:ascii="Arial" w:cs="Arial" w:eastAsia="Arial" w:hAnsi="Arial"/>
          <w:sz w:val="18"/>
          <w:szCs w:val="18"/>
          <w:color w:val="auto"/>
        </w:rPr>
      </w:pPr>
      <w:r>
        <w:rPr>
          <w:rFonts w:ascii="Arial" w:cs="Arial" w:eastAsia="Arial" w:hAnsi="Arial"/>
          <w:sz w:val="18"/>
          <w:szCs w:val="18"/>
          <w:color w:val="auto"/>
        </w:rPr>
        <w:t>So long as the RCP Stockholders continue to collectively hold a Combined Voting Power of at least 5% of the Shares outstanding immediately following the Closing Date, the Issuer shall include in its slate of nominees one (1) Director designated by the RCP Stockholders (any such designee, a “</w:t>
      </w:r>
      <w:r>
        <w:rPr>
          <w:rFonts w:ascii="Arial" w:cs="Arial" w:eastAsia="Arial" w:hAnsi="Arial"/>
          <w:sz w:val="18"/>
          <w:szCs w:val="18"/>
          <w:u w:val="single" w:color="auto"/>
          <w:color w:val="auto"/>
        </w:rPr>
        <w:t>RCP Designee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80" w:firstLine="1428"/>
        <w:spacing w:after="0" w:line="263" w:lineRule="auto"/>
        <w:tabs>
          <w:tab w:leader="none" w:pos="1751" w:val="left"/>
        </w:tabs>
        <w:numPr>
          <w:ilvl w:val="2"/>
          <w:numId w:val="204"/>
        </w:numPr>
        <w:rPr>
          <w:rFonts w:ascii="Arial" w:cs="Arial" w:eastAsia="Arial" w:hAnsi="Arial"/>
          <w:sz w:val="18"/>
          <w:szCs w:val="18"/>
          <w:color w:val="auto"/>
        </w:rPr>
      </w:pPr>
      <w:r>
        <w:rPr>
          <w:rFonts w:ascii="Arial" w:cs="Arial" w:eastAsia="Arial" w:hAnsi="Arial"/>
          <w:sz w:val="18"/>
          <w:szCs w:val="18"/>
          <w:color w:val="auto"/>
        </w:rPr>
        <w:t>So long as the TrueBridge Stockholders continue to collectively hold a Combined Voting Power of at least 5% of the shares of Common Stock outstanding immediately following the Closing Date, the Issuer shall include in its slate of nominees one (1) Director designated by the TrueBridge Stockholders (any such designee, a “</w:t>
      </w:r>
      <w:r>
        <w:rPr>
          <w:rFonts w:ascii="Arial" w:cs="Arial" w:eastAsia="Arial" w:hAnsi="Arial"/>
          <w:sz w:val="18"/>
          <w:szCs w:val="18"/>
          <w:u w:val="single" w:color="auto"/>
          <w:color w:val="auto"/>
        </w:rPr>
        <w:t>TrueBridge Designee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744" w:hanging="312"/>
        <w:spacing w:after="0"/>
        <w:tabs>
          <w:tab w:leader="none" w:pos="1744" w:val="left"/>
        </w:tabs>
        <w:numPr>
          <w:ilvl w:val="2"/>
          <w:numId w:val="204"/>
        </w:numPr>
        <w:rPr>
          <w:rFonts w:ascii="Arial" w:cs="Arial" w:eastAsia="Arial" w:hAnsi="Arial"/>
          <w:sz w:val="16"/>
          <w:szCs w:val="16"/>
          <w:color w:val="auto"/>
        </w:rPr>
      </w:pPr>
      <w:r>
        <w:rPr>
          <w:rFonts w:ascii="Arial" w:cs="Arial" w:eastAsia="Arial" w:hAnsi="Arial"/>
          <w:sz w:val="16"/>
          <w:szCs w:val="16"/>
          <w:color w:val="auto"/>
        </w:rPr>
        <w:t>The Director Designees shall designate the Independent Directors, subject to the transition rules for newly public companies.</w:t>
      </w:r>
    </w:p>
    <w:p>
      <w:pPr>
        <w:spacing w:after="0" w:line="248" w:lineRule="exact"/>
        <w:rPr>
          <w:rFonts w:ascii="Arial" w:cs="Arial" w:eastAsia="Arial" w:hAnsi="Arial"/>
          <w:sz w:val="16"/>
          <w:szCs w:val="16"/>
          <w:color w:val="auto"/>
        </w:rPr>
      </w:pPr>
    </w:p>
    <w:p>
      <w:pPr>
        <w:ind w:left="1244" w:hanging="253"/>
        <w:spacing w:after="0"/>
        <w:tabs>
          <w:tab w:leader="none" w:pos="124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As of the Closing Date, the Board shall be comprised of seven (7) Directors as follows:</w:t>
      </w:r>
    </w:p>
    <w:p>
      <w:pPr>
        <w:spacing w:after="0" w:line="117" w:lineRule="exact"/>
        <w:rPr>
          <w:rFonts w:ascii="Arial" w:cs="Arial" w:eastAsia="Arial" w:hAnsi="Arial"/>
          <w:sz w:val="18"/>
          <w:szCs w:val="18"/>
          <w:color w:val="auto"/>
        </w:rPr>
      </w:pPr>
    </w:p>
    <w:p>
      <w:pPr>
        <w:ind w:left="1644" w:hanging="212"/>
        <w:spacing w:after="0"/>
        <w:tabs>
          <w:tab w:leader="none" w:pos="1644" w:val="left"/>
        </w:tabs>
        <w:numPr>
          <w:ilvl w:val="2"/>
          <w:numId w:val="205"/>
        </w:numPr>
        <w:rPr>
          <w:rFonts w:ascii="Arial" w:cs="Arial" w:eastAsia="Arial" w:hAnsi="Arial"/>
          <w:sz w:val="18"/>
          <w:szCs w:val="18"/>
          <w:color w:val="auto"/>
        </w:rPr>
      </w:pPr>
      <w:r>
        <w:rPr>
          <w:rFonts w:ascii="Arial" w:cs="Arial" w:eastAsia="Arial" w:hAnsi="Arial"/>
          <w:sz w:val="18"/>
          <w:szCs w:val="18"/>
          <w:color w:val="auto"/>
        </w:rPr>
        <w:t>Class I shall initially consist of C. Clark Webb, Edwin Poston and Scott Gwilliam.</w:t>
      </w:r>
    </w:p>
    <w:p>
      <w:pPr>
        <w:spacing w:after="0" w:line="225" w:lineRule="exact"/>
        <w:rPr>
          <w:rFonts w:ascii="Arial" w:cs="Arial" w:eastAsia="Arial" w:hAnsi="Arial"/>
          <w:sz w:val="18"/>
          <w:szCs w:val="18"/>
          <w:color w:val="auto"/>
        </w:rPr>
      </w:pPr>
    </w:p>
    <w:p>
      <w:pPr>
        <w:ind w:left="1704" w:hanging="272"/>
        <w:spacing w:after="0"/>
        <w:tabs>
          <w:tab w:leader="none" w:pos="1704" w:val="left"/>
        </w:tabs>
        <w:numPr>
          <w:ilvl w:val="2"/>
          <w:numId w:val="205"/>
        </w:numPr>
        <w:rPr>
          <w:rFonts w:ascii="Arial" w:cs="Arial" w:eastAsia="Arial" w:hAnsi="Arial"/>
          <w:sz w:val="18"/>
          <w:szCs w:val="18"/>
          <w:color w:val="auto"/>
        </w:rPr>
      </w:pPr>
      <w:r>
        <w:rPr>
          <w:rFonts w:ascii="Arial" w:cs="Arial" w:eastAsia="Arial" w:hAnsi="Arial"/>
          <w:sz w:val="18"/>
          <w:szCs w:val="18"/>
          <w:color w:val="auto"/>
        </w:rPr>
        <w:t>Class II shall initially consist of Fritz Souder and Robert B. Stewart, Jr.</w:t>
      </w:r>
    </w:p>
    <w:p>
      <w:pPr>
        <w:spacing w:after="0" w:line="225" w:lineRule="exact"/>
        <w:rPr>
          <w:rFonts w:ascii="Arial" w:cs="Arial" w:eastAsia="Arial" w:hAnsi="Arial"/>
          <w:sz w:val="18"/>
          <w:szCs w:val="18"/>
          <w:color w:val="auto"/>
        </w:rPr>
      </w:pPr>
    </w:p>
    <w:p>
      <w:pPr>
        <w:ind w:left="1744" w:hanging="312"/>
        <w:spacing w:after="0"/>
        <w:tabs>
          <w:tab w:leader="none" w:pos="1744" w:val="left"/>
        </w:tabs>
        <w:numPr>
          <w:ilvl w:val="2"/>
          <w:numId w:val="205"/>
        </w:numPr>
        <w:rPr>
          <w:rFonts w:ascii="Arial" w:cs="Arial" w:eastAsia="Arial" w:hAnsi="Arial"/>
          <w:sz w:val="18"/>
          <w:szCs w:val="18"/>
          <w:color w:val="auto"/>
        </w:rPr>
      </w:pPr>
      <w:r>
        <w:rPr>
          <w:rFonts w:ascii="Arial" w:cs="Arial" w:eastAsia="Arial" w:hAnsi="Arial"/>
          <w:sz w:val="18"/>
          <w:szCs w:val="18"/>
          <w:color w:val="auto"/>
        </w:rPr>
        <w:t>Class III shall initially consist of Robert Alpert and Travis Barnes.</w:t>
      </w:r>
    </w:p>
    <w:p>
      <w:pPr>
        <w:spacing w:after="0" w:line="225" w:lineRule="exact"/>
        <w:rPr>
          <w:rFonts w:ascii="Arial" w:cs="Arial" w:eastAsia="Arial" w:hAnsi="Arial"/>
          <w:sz w:val="18"/>
          <w:szCs w:val="18"/>
          <w:color w:val="auto"/>
        </w:rPr>
      </w:pPr>
    </w:p>
    <w:p>
      <w:pPr>
        <w:ind w:left="4" w:right="180" w:firstLine="987"/>
        <w:spacing w:after="0" w:line="287" w:lineRule="auto"/>
        <w:tabs>
          <w:tab w:leader="none" w:pos="124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Issuer and each of the Stockholders shall take all actions necessary and within their control so that, subject to the transition rules for newly public companies, at least two (2) Independent Directors who are not affiliated with any Stockholder and who are independent for Audit Committee purposes are nominated and elected to the Board within 90 days of the listing date and within one year of the listing date, at least three</w:t>
      </w:r>
    </w:p>
    <w:p>
      <w:pPr>
        <w:spacing w:after="0" w:line="2" w:lineRule="exact"/>
        <w:rPr>
          <w:rFonts w:ascii="Arial" w:cs="Arial" w:eastAsia="Arial" w:hAnsi="Arial"/>
          <w:sz w:val="16"/>
          <w:szCs w:val="16"/>
          <w:color w:val="auto"/>
        </w:rPr>
      </w:pPr>
    </w:p>
    <w:p>
      <w:pPr>
        <w:ind w:left="4" w:right="500" w:hanging="4"/>
        <w:spacing w:after="0" w:line="260" w:lineRule="auto"/>
        <w:tabs>
          <w:tab w:leader="none" w:pos="25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Independent Directors who are not affiliated with any Stockholder and who are independent for Audit Committee purposes are nominated and elected to the Board.</w:t>
      </w:r>
    </w:p>
    <w:p>
      <w:pPr>
        <w:spacing w:after="0" w:line="185" w:lineRule="exact"/>
        <w:rPr>
          <w:rFonts w:ascii="Arial" w:cs="Arial" w:eastAsia="Arial" w:hAnsi="Arial"/>
          <w:sz w:val="18"/>
          <w:szCs w:val="18"/>
          <w:color w:val="auto"/>
        </w:rPr>
      </w:pPr>
    </w:p>
    <w:p>
      <w:pPr>
        <w:ind w:left="4" w:firstLine="987"/>
        <w:spacing w:after="0" w:line="257" w:lineRule="auto"/>
        <w:tabs>
          <w:tab w:leader="none" w:pos="125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If the Issuer’s Nominating and Corporate Governance Committee determines in good faith that a Director Designee (i) is not qualified to serve on the Board consistent with such committee’s duly adopted policies and procedures applicable to all directors or (ii) does not satisfy applicable legal requirements regarding service as a Director, the applicable designating Stockholder shall have the right to designate a different Director Designee. Notwithstanding the foregoing, with respect to each Stockholder, at least one member, partner or senior employee of such Stockholder shall be eligible to serve in such Stockholder’s Director Designee position.</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168" w:name="page169"/>
    <w:bookmarkEnd w:id="168"/>
    <w:p>
      <w:pPr>
        <w:ind w:firstLine="987"/>
        <w:spacing w:after="0" w:line="257" w:lineRule="auto"/>
        <w:tabs>
          <w:tab w:leader="none" w:pos="12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provided above and subject to the applicable provisions of the Amended and Restated Certificate of Incorporation of the Issuer, each Stockholder shall have the sole and exclusive right to (i) direct the other Stockholders to vote all their Shares immediately for the removal of such Stockholder’s designees to the Board, if applicable and (ii) designate a Director Designee, if applicable (serving in the same class as the predecessor), to fill vacancies on the Board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that are created by reason of death, removal or resignation of such Stockholder’s designees, subject to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160" w:firstLine="987"/>
        <w:spacing w:after="0" w:line="269" w:lineRule="auto"/>
        <w:tabs>
          <w:tab w:leader="none" w:pos="1216"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The Issuer and each of the Stockholders shall take all actions necessary and within their control to give effect to the provisions contained in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including (i) in the case of the Issuer, soliciting proxies to vote for each Director Designee or Independent Directors designated by the Stockholders and otherwise using its best efforts to cause each Director Designee and any Independent Directors designated by the Stockholders to be included as the directors in the slate of nominees recommended by the Issuer and elected as a Director of the Issuer, and (ii) in the case of the Stockholders, voting the Shares held directly or indirectly by such Stockholders (whether at a meeting or by consent) and any of their respective Affiliates, to cause the nomination, election, removal or replacement of the Director Designees or Independent Directors designated by the Stockholders, in each case as provided for herein and otherwise using their best efforts to cause the Issuer to comply with its obligations hereunder. No Person shall take any action that would be inconsistent with or otherwise circumvent the provisions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of the Stockholders may, in its sole discretion, elect not to designate any individual for election to the Board as such Stockholder’s respective Director Designee, if applicable.</w:t>
      </w:r>
    </w:p>
    <w:p>
      <w:pPr>
        <w:spacing w:after="0" w:line="185" w:lineRule="exact"/>
        <w:rPr>
          <w:rFonts w:ascii="Arial" w:cs="Arial" w:eastAsia="Arial" w:hAnsi="Arial"/>
          <w:sz w:val="17"/>
          <w:szCs w:val="17"/>
          <w:color w:val="auto"/>
        </w:rPr>
      </w:pPr>
    </w:p>
    <w:p>
      <w:pPr>
        <w:ind w:right="40" w:firstLine="987"/>
        <w:spacing w:after="0" w:line="286" w:lineRule="auto"/>
        <w:tabs>
          <w:tab w:leader="none" w:pos="1246"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Issuer and its Subsidiaries shall reimburse the Directors for all reasonable out-of-pocket expenses incurred in connection with their attendance at meetings of the Board or the board of directors of any of the Issuer’s Subsidiaries, and any committees thereof, including without limitation travel, lodging and meal expenses, in accordance with the Issuer’s reimbursement policies.</w:t>
      </w:r>
    </w:p>
    <w:p>
      <w:pPr>
        <w:spacing w:after="0" w:line="165" w:lineRule="exact"/>
        <w:rPr>
          <w:rFonts w:ascii="Arial" w:cs="Arial" w:eastAsia="Arial" w:hAnsi="Arial"/>
          <w:sz w:val="17"/>
          <w:szCs w:val="17"/>
          <w:color w:val="auto"/>
        </w:rPr>
      </w:pPr>
    </w:p>
    <w:p>
      <w:pPr>
        <w:ind w:right="120" w:firstLine="987"/>
        <w:spacing w:after="0" w:line="259" w:lineRule="auto"/>
        <w:tabs>
          <w:tab w:leader="none" w:pos="124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Issuer and its Subsidiaries shall obtain customary director and officer indemnity insurance on commercially reasonable terms which insurance shall cover each member of the Board and the members of each board of directors of each of the Issuer’s Subsidiaries. The Issuer and its Subsidiaries shall enter into director and officer indemnification agreements substantially in the form approved by the Board from time to time, with each of the Stockholders’ designees on the Board.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Controlled Company</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63" w:lineRule="auto"/>
        <w:tabs>
          <w:tab w:leader="none" w:pos="123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The Stockholders acknowledge and agree that, (i) by virtue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they are acting as a “group” within the meaning of the Stock Exchange rules as of the date hereof, and (ii) by virtue of the Combined Voting Power of Common Stock held by the Stockholders, the Issuer shall qualify as a “controlled company” within the meaning of Stock Exchange rules as of the Closing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69" w:name="page170"/>
    <w:bookmarkEnd w:id="169"/>
    <w:p>
      <w:pPr>
        <w:ind w:firstLine="987"/>
        <w:spacing w:after="0" w:line="257" w:lineRule="auto"/>
        <w:tabs>
          <w:tab w:leader="none" w:pos="1246" w:val="left"/>
        </w:tabs>
        <w:numPr>
          <w:ilvl w:val="0"/>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the Issuer qualifies as a “controlled company” for purposes of Stock Exchange rules, the Issuer may elect to be a “controlled company” for purposes of Stock Exchange rules, and will disclose in its annual meeting proxy statement that it is a “controlled company” and the basis for that determination. If the Issuer ceases to qualify as a “controlled company” for purposes of Stock Exchange rules, the Stockholders and the Issuer will take whatever action may be reasonably necessary in relation to such party, if any, to cause the Issuer to comply with Stock Exchange rules as then in effect within the timeframe for compliance available under such rules.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RESTRICTIONS</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Lock-Up Restrictions</w:t>
      </w:r>
      <w:r>
        <w:rPr>
          <w:rFonts w:ascii="Arial" w:cs="Arial" w:eastAsia="Arial" w:hAnsi="Arial"/>
          <w:sz w:val="17"/>
          <w:szCs w:val="17"/>
          <w:color w:val="auto"/>
        </w:rPr>
        <w:t>. As of the date of this Agreement, the Restricted Stockholders agree that, without the prior written consent of the Issuer, such Restricted Stockholders will not, and will not publicly disclose an intention to, during the period commencing on the date of this Agreement and ending three years after the date of this Agreement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(a) offer, pledge, sell, contract to sell, sell any option or contract to purchase, purchase any option or contract to sell, grant any option, right or warrant to purchase, lend, or otherwise transfer or dispose of, directly or indirectly, any Shares beneficially owned (as such term is used in Rule 13d-3 of the Exchange Act) by the Restricted Stockholders or any other Equity Securities or (b) enter into any swap or other arrangement that transfers to another, in whole or in part, any of the economic consequences of ownership of the Equity Securities, whether any such transaction described in clause (a) or (b) above is to be settled by delivery of Shares or any such other securities, in cash or otherwise. The Restricted Stockholders acknowledge and agree that the foregoing precludes the Restricted Stockholders from engaging in any hedging or other transactions designed or intended, or which could reasonably be expected to lead to or result in, sale or disposition of any Shares or any Equity Securities, even if any such sale or disposition transaction or transactions would be made or executed by or on behalf of someone other than the Restricted Stockholders.</w:t>
      </w:r>
    </w:p>
    <w:p>
      <w:pPr>
        <w:spacing w:after="0" w:line="182"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Release of Equity Securities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3.1</w:t>
      </w:r>
      <w:r>
        <w:rPr>
          <w:rFonts w:ascii="Arial" w:cs="Arial" w:eastAsia="Arial" w:hAnsi="Arial"/>
          <w:sz w:val="18"/>
          <w:szCs w:val="18"/>
          <w:color w:val="auto"/>
        </w:rPr>
        <w:t>, with respect to each Restricted Stockholder, one-third of the Equity Securities held by such Restricted Stockholder as of the consummation of the IPO, shall be released from the lock-up restrictions on each of the first, second and third anniversary of the consummation of the IPO.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Exceptions to Lock-Up</w:t>
      </w:r>
      <w:r>
        <w:rPr>
          <w:rFonts w:ascii="Arial" w:cs="Arial" w:eastAsia="Arial" w:hAnsi="Arial"/>
          <w:sz w:val="18"/>
          <w:szCs w:val="18"/>
          <w:color w:val="auto"/>
        </w:rPr>
        <w:t xml:space="preserve">. The restrictions described above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do not apply to:</w:t>
      </w:r>
    </w:p>
    <w:p>
      <w:pPr>
        <w:spacing w:after="0" w:line="117" w:lineRule="exact"/>
        <w:rPr>
          <w:sz w:val="20"/>
          <w:szCs w:val="20"/>
          <w:color w:val="auto"/>
        </w:rPr>
      </w:pPr>
    </w:p>
    <w:p>
      <w:pPr>
        <w:ind w:left="1240" w:hanging="253"/>
        <w:spacing w:after="0"/>
        <w:tabs>
          <w:tab w:leader="none" w:pos="124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transactions relating to the Equity Securities or other securities acquired in open market transactions after the date of this Agreement;</w:t>
      </w:r>
    </w:p>
    <w:p>
      <w:pPr>
        <w:spacing w:after="0" w:line="248" w:lineRule="exact"/>
        <w:rPr>
          <w:rFonts w:ascii="Arial" w:cs="Arial" w:eastAsia="Arial" w:hAnsi="Arial"/>
          <w:sz w:val="16"/>
          <w:szCs w:val="16"/>
          <w:color w:val="auto"/>
        </w:rPr>
      </w:pPr>
    </w:p>
    <w:p>
      <w:pPr>
        <w:ind w:left="1240" w:hanging="253"/>
        <w:spacing w:after="0"/>
        <w:tabs>
          <w:tab w:leader="none" w:pos="12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transfers of Equity Securities as a charitable contribution;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issuances, transfers, redemptions or exchanges in connection with the Restructuring on or prior to the date of this Agreement;</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transfers of Equity Securities as a bona fide gift;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70" w:name="page171"/>
    <w:bookmarkEnd w:id="170"/>
    <w:p>
      <w:pPr>
        <w:ind w:left="1240" w:hanging="253"/>
        <w:spacing w:after="0"/>
        <w:tabs>
          <w:tab w:leader="none" w:pos="12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upon the death of any of the Restricted Stockholders, by will or intestacy, including to the transferee’s nominee or custodian;</w:t>
      </w:r>
    </w:p>
    <w:p>
      <w:pPr>
        <w:spacing w:after="0" w:line="248" w:lineRule="exact"/>
        <w:rPr>
          <w:rFonts w:ascii="Arial" w:cs="Arial" w:eastAsia="Arial" w:hAnsi="Arial"/>
          <w:sz w:val="16"/>
          <w:szCs w:val="16"/>
          <w:color w:val="auto"/>
        </w:rPr>
      </w:pPr>
    </w:p>
    <w:p>
      <w:pPr>
        <w:ind w:left="1220" w:hanging="233"/>
        <w:spacing w:after="0"/>
        <w:tabs>
          <w:tab w:leader="none" w:pos="12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distributions of Equity Securities to limited partners or stockholders of the Restricted Stockholders;</w:t>
      </w:r>
    </w:p>
    <w:p>
      <w:pPr>
        <w:spacing w:after="0" w:line="225" w:lineRule="exact"/>
        <w:rPr>
          <w:rFonts w:ascii="Arial" w:cs="Arial" w:eastAsia="Arial" w:hAnsi="Arial"/>
          <w:sz w:val="18"/>
          <w:szCs w:val="18"/>
          <w:color w:val="auto"/>
        </w:rPr>
      </w:pPr>
    </w:p>
    <w:p>
      <w:pPr>
        <w:ind w:firstLine="987"/>
        <w:spacing w:after="0" w:line="255" w:lineRule="auto"/>
        <w:tabs>
          <w:tab w:leader="none" w:pos="124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facilitating the establishment of a trading plan on behalf of a stockholder, officer or director of the Issuer pursuant to Rule 10b5-1 under the Exchange Act for the transfer of Equity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Equity Securities restricted under this Agreement and not released pursuant to Section 3.2 or this Section 3.3 during the Restricted Period and (ii) to the extent a public announcement or filing under the Exchange Act, if any, is required of or voluntarily made by or on behalf of the undersigned or the Issuer regarding the establishment of such plan, such announcement or filing shall include a statement to the effect that no transfer of Equity Securities may be made under such plan during the Restricted Period;</w:t>
      </w:r>
    </w:p>
    <w:p>
      <w:pPr>
        <w:spacing w:after="0" w:line="192" w:lineRule="exact"/>
        <w:rPr>
          <w:rFonts w:ascii="Arial" w:cs="Arial" w:eastAsia="Arial" w:hAnsi="Arial"/>
          <w:sz w:val="18"/>
          <w:szCs w:val="18"/>
          <w:color w:val="auto"/>
        </w:rPr>
      </w:pPr>
    </w:p>
    <w:p>
      <w:pPr>
        <w:ind w:right="320" w:firstLine="987"/>
        <w:spacing w:after="0" w:line="277" w:lineRule="auto"/>
        <w:tabs>
          <w:tab w:leader="none" w:pos="124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transfer of Equity Securities that occurs by operation of law pursuant to a qualified domestic order in connection with a divorce settlement or other court order;</w:t>
      </w:r>
    </w:p>
    <w:p>
      <w:pPr>
        <w:spacing w:after="0" w:line="170" w:lineRule="exact"/>
        <w:rPr>
          <w:rFonts w:ascii="Arial" w:cs="Arial" w:eastAsia="Arial" w:hAnsi="Arial"/>
          <w:sz w:val="18"/>
          <w:szCs w:val="18"/>
          <w:color w:val="auto"/>
        </w:rPr>
      </w:pPr>
    </w:p>
    <w:p>
      <w:pPr>
        <w:ind w:right="320" w:firstLine="987"/>
        <w:spacing w:after="0" w:line="277" w:lineRule="auto"/>
        <w:tabs>
          <w:tab w:leader="none" w:pos="120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disposition to any trust, the beneficiaries of which are a Restricted Stockholder and/or Immediate Family members of a Restricted Stockholder, or, if the Restricted Stockholder is a trust, to any beneficiaries of the Restricted Stockholder;</w:t>
      </w:r>
    </w:p>
    <w:p>
      <w:pPr>
        <w:spacing w:after="0" w:line="170" w:lineRule="exact"/>
        <w:rPr>
          <w:rFonts w:ascii="Arial" w:cs="Arial" w:eastAsia="Arial" w:hAnsi="Arial"/>
          <w:sz w:val="18"/>
          <w:szCs w:val="18"/>
          <w:color w:val="auto"/>
        </w:rPr>
      </w:pPr>
    </w:p>
    <w:p>
      <w:pPr>
        <w:ind w:firstLine="987"/>
        <w:spacing w:after="0" w:line="311" w:lineRule="auto"/>
        <w:tabs>
          <w:tab w:leader="none" w:pos="120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transfers to an Immediate Family member of a Restricted Stockholder or a trust formed for the direct or indirect benefit of an immediate family member of a Restricted Stockholder, or an entity all of the partners, members or stockholders of which are, directly or indirectly, immediate family members, or transfers from any such entity to an Immediate Family Member or any of the other entities described in this clause (j);</w:t>
      </w:r>
    </w:p>
    <w:p>
      <w:pPr>
        <w:spacing w:after="0" w:line="148" w:lineRule="exact"/>
        <w:rPr>
          <w:rFonts w:ascii="Arial" w:cs="Arial" w:eastAsia="Arial" w:hAnsi="Arial"/>
          <w:sz w:val="16"/>
          <w:szCs w:val="16"/>
          <w:color w:val="auto"/>
        </w:rPr>
      </w:pPr>
    </w:p>
    <w:p>
      <w:pPr>
        <w:ind w:firstLine="987"/>
        <w:spacing w:after="0" w:line="293" w:lineRule="auto"/>
        <w:tabs>
          <w:tab w:leader="none" w:pos="124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 transfer to the Issuer upon a vesting event of the Issuer’s restricted stock units or upon the exercise of options to purchase the Issuer’s securities (x) on a “cashless” or “net exercise” basis (in each case to the extent permitted by the instruments representing such options or other securities), so long as such “cashless” exercise or “net exercise” is effected solely by the surrender to the Issuer of shares subject to outstanding options or other securities and the Issuer’s cancellation of all or a portion thereof solely in an amount sufficient to pay the exercise price (or the payment of taxes due as a result of such vesting event or exercise); provided that the Equity Securities received upon such vesting event or exercise shall continue to be subject to the terms of this Agreement or (y) as a cash settle of any options being settled by the Issuer, in its sole discretion; or</w:t>
      </w:r>
    </w:p>
    <w:p>
      <w:pPr>
        <w:spacing w:after="0" w:line="164" w:lineRule="exact"/>
        <w:rPr>
          <w:rFonts w:ascii="Arial" w:cs="Arial" w:eastAsia="Arial" w:hAnsi="Arial"/>
          <w:sz w:val="16"/>
          <w:szCs w:val="16"/>
          <w:color w:val="auto"/>
        </w:rPr>
      </w:pPr>
    </w:p>
    <w:p>
      <w:pPr>
        <w:ind w:right="100" w:firstLine="987"/>
        <w:spacing w:after="0" w:line="259" w:lineRule="auto"/>
        <w:tabs>
          <w:tab w:leader="none" w:pos="120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the transfer of shares of Equity Securities in connection with a bona fide third-party tender offer, merger, consolidation or other similar transaction that is approved by the Board, made to all holders of Common Stock, involving a Change in Control, provided that in the event that the tender offer, merger, consolidation or other such transaction is not completed, the Equity Securities owned by the Restricted Stockholders shall remain subject to the restrictions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71" w:name="page172"/>
    <w:bookmarkEnd w:id="171"/>
    <w:p>
      <w:pPr>
        <w:ind w:right="240" w:firstLine="991"/>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Arial" w:cs="Arial" w:eastAsia="Arial" w:hAnsi="Arial"/>
          <w:sz w:val="18"/>
          <w:szCs w:val="18"/>
          <w:color w:val="auto"/>
        </w:rPr>
        <w:t>, that in the case of any transfer or distribution pursuant to clause (d), (e), (f), (h), (i) or (j), each donee, transferee or distributee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sign and deliver a lock-up agreement substantially in the form of this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70" w:lineRule="exact"/>
        <w:rPr>
          <w:sz w:val="20"/>
          <w:szCs w:val="20"/>
          <w:color w:val="auto"/>
        </w:rPr>
      </w:pPr>
    </w:p>
    <w:p>
      <w:pPr>
        <w:jc w:val="both"/>
        <w:ind w:right="120" w:firstLine="440"/>
        <w:spacing w:after="0" w:line="342"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Additional Restrictions</w:t>
      </w:r>
      <w:r>
        <w:rPr>
          <w:rFonts w:ascii="Arial" w:cs="Arial" w:eastAsia="Arial" w:hAnsi="Arial"/>
          <w:sz w:val="16"/>
          <w:szCs w:val="16"/>
          <w:color w:val="auto"/>
        </w:rPr>
        <w:t>. The Restricted Stockholders also agree and consent to the entry of stop transfer instructions with the Issuer’s transfer agent and registrar against the transfer of the Restricted Stockholder’s Equity Securities except in compliance with the foregoing restrictions.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Amendment</w:t>
      </w:r>
      <w:r>
        <w:rPr>
          <w:rFonts w:ascii="Arial" w:cs="Arial" w:eastAsia="Arial" w:hAnsi="Arial"/>
          <w:sz w:val="18"/>
          <w:szCs w:val="18"/>
          <w:color w:val="auto"/>
        </w:rPr>
        <w:t>. The terms and provisions of this Agreement may be modified or amended at any time and from time to time only by the written consent of each party hereto.</w:t>
      </w:r>
    </w:p>
    <w:p>
      <w:pPr>
        <w:spacing w:after="0" w:line="170" w:lineRule="exact"/>
        <w:rPr>
          <w:sz w:val="20"/>
          <w:szCs w:val="20"/>
          <w:color w:val="auto"/>
        </w:rPr>
      </w:pPr>
    </w:p>
    <w:p>
      <w:pPr>
        <w:jc w:val="both"/>
        <w:ind w:right="120" w:firstLine="440"/>
        <w:spacing w:after="0" w:line="255"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automatically terminate upon the earlier of (i) a Change in Control; (ii) written agreement of each Stockholder who holds Shares at such time; or (iii) solely with respect to a particular Stockholder, the dissolution or liquidation of such Stockholder. In the event of any termination of this Agreement as provided in clauses (i) or (ii) of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this Agreement shall forthwith become wholly void and of no further force or effect (except for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there shall be no liability on the part of any parties hereto or their respective officers or directors, except as provided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Notwithstanding the foregoing, no party hereto shall be relieved from liability for any willful breach of this Agreement.</w:t>
      </w:r>
    </w:p>
    <w:p>
      <w:pPr>
        <w:spacing w:after="0" w:line="192"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Non-Recourse</w:t>
      </w:r>
      <w:r>
        <w:rPr>
          <w:rFonts w:ascii="Arial" w:cs="Arial" w:eastAsia="Arial" w:hAnsi="Arial"/>
          <w:sz w:val="16"/>
          <w:szCs w:val="16"/>
          <w:color w:val="auto"/>
        </w:rPr>
        <w:t>. Notwithstanding anything that may be expressed or implied in this Agreement or any document or instrument delivered in connection herewith, and notwithstanding the fact that certain of the Stockholders may be partnerships or limited liability companies, by its acceptance of the benefits of this Agreement, the Issuer and each Stockholder covenant, agree and acknowledge that no Person (other than the parties hereto) has any obligations hereunder, and that, to the fullest extent permitted by law, no recourse under this Agreement or any documents or instruments delivered in connection with this Agreement shall be had against any current or future director, officer, employee, general or limited partner or member of any Stockholder 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the former, current and future equity holders, controlling persons, directors, officers, employees, agents, affiliates, members, managers, general or limited partners or assignees of the Stockholders or any former, current or future stockholder, controlling person, director, officer, employee, general or limited partner, member, manager, Affiliate, agent or assignee of any of the foregoing, as such for any obligation of any Stockholder under this Agreement or any documents or instruments delivered in connection with this Agreement for any claim based on, in respect of or by reason of such obligations or their creation.</w:t>
      </w:r>
    </w:p>
    <w:p>
      <w:pPr>
        <w:spacing w:after="0" w:line="168"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xml:space="preserve">. This Agreement shall be binding upon and inure solely to the benefit of the parties hereto and their permitted assigns and successors, and, except as provided in </w:t>
      </w:r>
      <w:r>
        <w:rPr>
          <w:rFonts w:ascii="Arial" w:cs="Arial" w:eastAsia="Arial" w:hAnsi="Arial"/>
          <w:sz w:val="17"/>
          <w:szCs w:val="17"/>
          <w:u w:val="single" w:color="auto"/>
          <w:color w:val="auto"/>
        </w:rPr>
        <w:t>Section 4.3</w:t>
      </w:r>
      <w:r>
        <w:rPr>
          <w:rFonts w:ascii="Arial" w:cs="Arial" w:eastAsia="Arial" w:hAnsi="Arial"/>
          <w:sz w:val="17"/>
          <w:szCs w:val="17"/>
          <w:color w:val="auto"/>
        </w:rPr>
        <w:t>, nothing herein, express or implied, is intended to or shall confer upon any other Person or entity, any legal or equitable right, benefit or remedy of any nature whatsoever under or by reason of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72" w:name="page173"/>
    <w:bookmarkEnd w:id="172"/>
    <w:p>
      <w:pPr>
        <w:ind w:right="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4.5 </w:t>
      </w:r>
      <w:r>
        <w:rPr>
          <w:rFonts w:ascii="Arial" w:cs="Arial" w:eastAsia="Arial" w:hAnsi="Arial"/>
          <w:sz w:val="17"/>
          <w:szCs w:val="17"/>
          <w:u w:val="single" w:color="auto"/>
          <w:color w:val="auto"/>
        </w:rPr>
        <w:t>Recapitalizations; Exchanges, Etc.</w:t>
      </w:r>
      <w:r>
        <w:rPr>
          <w:rFonts w:ascii="Arial" w:cs="Arial" w:eastAsia="Arial" w:hAnsi="Arial"/>
          <w:sz w:val="17"/>
          <w:szCs w:val="17"/>
          <w:color w:val="auto"/>
        </w:rPr>
        <w:t xml:space="preserve"> The provisions of this Agreement shall apply to the full extent set forth herein with respect to Shares, to any and all shares of capital stock of the Issuer or any successor or assign of the Issuer (whether by merger, consolidation, sale of assets or otherwise) which may be issued in respect of, in exchange for, or in substitution of the Shares, by reason of a stock dividend, stock split, stock issuance, reverse stock split, combination, recapitalization, reclassification, merger, consolidation or otherwise.</w:t>
      </w:r>
    </w:p>
    <w:p>
      <w:pPr>
        <w:spacing w:after="0" w:line="17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Addresses and Notices</w:t>
      </w:r>
      <w:r>
        <w:rPr>
          <w:rFonts w:ascii="Arial" w:cs="Arial" w:eastAsia="Arial" w:hAnsi="Arial"/>
          <w:sz w:val="17"/>
          <w:szCs w:val="17"/>
          <w:color w:val="auto"/>
        </w:rPr>
        <w:t>. Any notice provided for in this Agreement will be in writing and will be either personally delivered, or received by certified mail, return receipt requested, sent by reputable overnight courier service (charges prepaid) or electronic mail to the Issuer at the address set forth below and to any other recipient and to any holder of Shares at such address as indicated by the Issuer’s records, or at such address or to the attention of such other person as the recipient party has specified by prior written notice to the sending party. Notices will be deemed to have been given hereunder when delivered personally or sent by electronic mail (provided confirmation of such electronic mail is received or such electronic mail is delivered to the respective email addresses below and no bounce-back or error message is received by the sender), three days after deposit in the U.S. mail and one day after deposit with a reputable overnight courier service. If notice is given to the Issuer or to the Stockholders, a copy shall be sent to such party at the addresses set forth below:</w:t>
      </w:r>
    </w:p>
    <w:p>
      <w:pPr>
        <w:spacing w:after="0" w:line="70"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(a) if to the Issuer,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P10,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4514 Cole Avenue, Suite 1600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Dallas, Texas 75205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Amanda Coussens</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written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Olshan Frome Wolosky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Adam W. Finerman, Esq.</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if to the Stockholders, to the address set forth on the signature pages hereto.</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heirs, executors, administrators, successors, legal representatives and permitted assigns.</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173" w:name="page174"/>
    <w:bookmarkEnd w:id="173"/>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will be an original and all of which together shall constitute one and the same agreement binding on all the parties hereto.</w:t>
      </w:r>
    </w:p>
    <w:p>
      <w:pPr>
        <w:spacing w:after="0" w:line="170"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Applicable Law; Waiver of Jury Trial</w:t>
      </w:r>
      <w:r>
        <w:rPr>
          <w:rFonts w:ascii="Arial" w:cs="Arial" w:eastAsia="Arial" w:hAnsi="Arial"/>
          <w:sz w:val="16"/>
          <w:szCs w:val="16"/>
          <w:color w:val="auto"/>
        </w:rPr>
        <w:t>.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Court of Chancery of the State of Delaware (or in the event, but only in the event, that such court does not have subject matter jurisdiction over such action or proceeding, the Superior Court of the State of Delaware (Complex Commercial Division) or, if subject matter jurisdiction over the action or proceeding is vested exclusively in the federal courts of the United States of America, the United States District Court for the District of Delaware)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THE PARTIES HERETO HEREBY IRREVOCABLY WAIVE ANY AND ALL RIGHT TO TRIAL BY JURY IN ANY LEGAL PROCEEDING ARISING OUT OF OR RELATED TO THIS AGREEMENT OR THE TRANSACTIONS CONTEMPLATED HEREBY.</w:t>
      </w:r>
    </w:p>
    <w:p>
      <w:pPr>
        <w:spacing w:after="0" w:line="17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u w:val="single" w:color="auto"/>
          <w:color w:val="auto"/>
        </w:rPr>
        <w:t>Delivery by Electronic Transmission</w:t>
      </w:r>
      <w:r>
        <w:rPr>
          <w:rFonts w:ascii="Arial" w:cs="Arial" w:eastAsia="Arial" w:hAnsi="Arial"/>
          <w:sz w:val="17"/>
          <w:szCs w:val="17"/>
          <w:color w:val="auto"/>
        </w:rPr>
        <w:t>. This Agreement and any signed agreement or instrument entered into in connection with this Agreement or contemplated hereby, and any amendments hereto or thereto, to the extent signed and delivered by means of electronic transmission (i.e., in portable document format),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an electronic transmission to deliver a signature or the fact that any signature or agreement or instrument was transmitted or communicated through the use of an electronic transmission as a defense to the formation of a contract and each such party forever waives any such defense.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74" w:name="page175"/>
    <w:bookmarkEnd w:id="174"/>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all of the other exhibits, annexes and schedules hereto constitute the entire understanding and agreement between the parties as to the composition of the Board, the controlled company status of the Issuer and the other matters covered herein and supersede and replace any prior understanding, agreement or statement of intent, in each case, written or oral, of any and every nature with respect thereto. In the event of any inconsistency between this Agreement and any agreement executed or delivered to effect the purposes of this Agreement, this Agreement shall govern as among the parties hereto.</w:t>
      </w:r>
    </w:p>
    <w:p>
      <w:pPr>
        <w:spacing w:after="0" w:line="18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4.14 </w:t>
      </w:r>
      <w:r>
        <w:rPr>
          <w:rFonts w:ascii="Arial" w:cs="Arial" w:eastAsia="Arial" w:hAnsi="Arial"/>
          <w:sz w:val="17"/>
          <w:szCs w:val="17"/>
          <w:u w:val="single" w:color="auto"/>
          <w:color w:val="auto"/>
        </w:rPr>
        <w:t>Remedies</w:t>
      </w:r>
      <w:r>
        <w:rPr>
          <w:rFonts w:ascii="Arial" w:cs="Arial" w:eastAsia="Arial" w:hAnsi="Arial"/>
          <w:sz w:val="17"/>
          <w:szCs w:val="17"/>
          <w:color w:val="auto"/>
        </w:rPr>
        <w:t>. The Issuer and the Stockholders shall be entitled to enforce their rights under this Agreement specifically, to recover damages by reason of any breach of any provision of this Agreement (including, without limitation, costs of enforcement) and to exercise all other rights existing in their favor. The parties hereto agree and acknowledge that money damages may not be an adequate remedy for any breach of the provisions of this Agreement, and that the Issuer or any Stockholder may in its sole discretion apply to any court of law or equity of competent jurisdiction for specific performance or injunctive relief (without posting a bond or other security) in order to enforce or prevent any violation of the provisions of this Agreement. All remedies, either under this Agreement or by Law or otherwise afforded to any party, shall be cumulative and not alternative. All obligations hereunder shall be satisfied in full without set-off, defense or counterclaim.</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5" w:name="page176"/>
    <w:bookmarkEnd w:id="17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executed this Agreement or caused this Agreement to be executed on its behalf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ISSUER: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P10,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Amanda Coussens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CFO</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Controlled Company Agreement</w:t>
      </w:r>
      <w:r>
        <w:rPr>
          <w:rFonts w:ascii="Arial" w:cs="Arial" w:eastAsia="Arial" w:hAnsi="Arial"/>
          <w:sz w:val="18"/>
          <w:szCs w:val="18"/>
          <w:color w:val="auto"/>
        </w:rPr>
        <w: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20"/>
          </w:cols>
          <w:pgMar w:left="440" w:top="274" w:right="639" w:bottom="1440" w:gutter="0" w:footer="0" w:header="0"/>
        </w:sectPr>
      </w:pPr>
    </w:p>
    <w:bookmarkStart w:id="176" w:name="page177"/>
    <w:bookmarkEnd w:id="176"/>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210 Stockholders: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210/P10 ACQUISITION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PARTNERS,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210 Capital,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Covenant RHA Partners, L.P.</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Alpert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CCW/LAW Holdings,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 Clark Webb</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 210 Capital,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4514 Cole Avenue, Suite 1600</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Dallas, TX 75205</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Attention: Caryn Peeples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Controlled Company Agreement</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177" w:name="page178"/>
    <w:bookmarkEnd w:id="177"/>
    <w:p>
      <w:pPr>
        <w:ind w:left="56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RCP Stockholders: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McCoy</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306070</wp:posOffset>
            </wp:positionV>
            <wp:extent cx="27946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160655</wp:posOffset>
            </wp:positionV>
            <wp:extent cx="27946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Alexander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Alexander Abell</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306070</wp:posOffset>
            </wp:positionV>
            <wp:extent cx="27946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160655</wp:posOffset>
            </wp:positionV>
            <wp:extent cx="27946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 Michael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29210</wp:posOffset>
            </wp:positionV>
            <wp:extent cx="27946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Feinglass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306070</wp:posOffset>
            </wp:positionV>
            <wp:extent cx="27946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160655</wp:posOffset>
            </wp:positionV>
            <wp:extent cx="27946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Andrew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Andrew Nelson</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452120</wp:posOffset>
            </wp:positionV>
            <wp:extent cx="27946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306070</wp:posOffset>
            </wp:positionV>
            <wp:extent cx="27946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160655</wp:posOffset>
            </wp:positionV>
            <wp:extent cx="27946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Controlled Company Agreement]</w:t>
      </w:r>
    </w:p>
    <w:p>
      <w:pPr>
        <w:sectPr>
          <w:pgSz w:w="11900" w:h="16838" w:orient="portrait"/>
          <w:cols w:equalWidth="0" w:num="1">
            <w:col w:w="9019"/>
          </w:cols>
          <w:pgMar w:left="1440" w:top="270" w:right="1440" w:bottom="1440" w:gutter="0" w:footer="0" w:header="0"/>
        </w:sectPr>
      </w:pPr>
    </w:p>
    <w:bookmarkStart w:id="178" w:name="page179"/>
    <w:bookmarkEnd w:id="17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 Nell Blatherwick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Nell Blatherwick</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306070</wp:posOffset>
            </wp:positionV>
            <wp:extent cx="27946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160655</wp:posOffset>
            </wp:positionV>
            <wp:extent cx="27946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Thomas P. Danis, Jr. Revocable Living Trust dated</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March 10, 2003, as amended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P. Danis,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P. Danis,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297815</wp:posOffset>
            </wp:positionV>
            <wp:extent cx="27946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151765</wp:posOffset>
            </wp:positionV>
            <wp:extent cx="27946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Jeff P. Gehl Living Trust dated January 25, 2011</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Jeff P. Gehl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Jeff P. Gehl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297815</wp:posOffset>
            </wp:positionV>
            <wp:extent cx="27946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151765</wp:posOffset>
            </wp:positionV>
            <wp:extent cx="27946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Controlled Company Agreement</w:t>
      </w:r>
      <w:r>
        <w:rPr>
          <w:rFonts w:ascii="Arial" w:cs="Arial" w:eastAsia="Arial" w:hAnsi="Arial"/>
          <w:sz w:val="18"/>
          <w:szCs w:val="18"/>
          <w:color w:val="auto"/>
        </w:rPr>
        <w:t>]</w:t>
      </w:r>
    </w:p>
    <w:p>
      <w:pPr>
        <w:sectPr>
          <w:pgSz w:w="11900" w:h="16838" w:orient="portrait"/>
          <w:cols w:equalWidth="0" w:num="1">
            <w:col w:w="9500"/>
          </w:cols>
          <w:pgMar w:left="1440" w:top="274" w:right="959" w:bottom="1440" w:gutter="0" w:footer="0" w:header="0"/>
        </w:sectPr>
      </w:pPr>
    </w:p>
    <w:bookmarkStart w:id="179" w:name="page180"/>
    <w:bookmarkEnd w:id="179"/>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RCP Stockholders (continued):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Charles K. Huebner Trust dated January 16, 2001</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Charles K. Huebner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Charles K. Huebner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297815</wp:posOffset>
            </wp:positionV>
            <wp:extent cx="27946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151765</wp:posOffset>
            </wp:positionV>
            <wp:extent cx="27946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Jon I. Madorsky Revocable Trust dated December 1,</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2008</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 I. Madorsky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Jon I. Madorsky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297815</wp:posOffset>
            </wp:positionV>
            <wp:extent cx="27946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151765</wp:posOffset>
            </wp:positionV>
            <wp:extent cx="27946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Souder Family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William F. Souder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297815</wp:posOffset>
            </wp:positionV>
            <wp:extent cx="27946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151765</wp:posOffset>
            </wp:positionV>
            <wp:extent cx="27946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Controlled Company Agreement</w:t>
      </w:r>
      <w:r>
        <w:rPr>
          <w:rFonts w:ascii="Arial" w:cs="Arial" w:eastAsia="Arial" w:hAnsi="Arial"/>
          <w:sz w:val="18"/>
          <w:szCs w:val="18"/>
          <w:color w:val="auto"/>
        </w:rPr>
        <w:t>]</w:t>
      </w:r>
    </w:p>
    <w:p>
      <w:pPr>
        <w:sectPr>
          <w:pgSz w:w="11900" w:h="16838" w:orient="portrait"/>
          <w:cols w:equalWidth="0" w:num="1">
            <w:col w:w="9660"/>
          </w:cols>
          <w:pgMar w:left="1440" w:top="270" w:right="799" w:bottom="1440" w:gutter="0" w:footer="0" w:header="0"/>
        </w:sectPr>
      </w:pPr>
    </w:p>
    <w:bookmarkStart w:id="180" w:name="page181"/>
    <w:bookmarkEnd w:id="180"/>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TrueBridge Stockholders: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TrueBridge Colonial Fund, u/a dated 11/15/2015</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Edwin Poston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297815</wp:posOffset>
            </wp:positionV>
            <wp:extent cx="27946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151765</wp:posOffset>
            </wp:positionV>
            <wp:extent cx="27946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Mel Williams Irrevocable Trust u/a/d August 12, 2015</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Alliance Trust Company, its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Mel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297815</wp:posOffset>
            </wp:positionV>
            <wp:extent cx="27946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151765</wp:posOffset>
            </wp:positionV>
            <wp:extent cx="27946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14605</wp:posOffset>
            </wp:positionV>
            <wp:extent cx="234886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TrueBridge Ascent LLC</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Edwin Poston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MAW MANAGEMENT CO.</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Mel A.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Mel A. Williams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Controlled Company Agreement</w:t>
      </w:r>
      <w:r>
        <w:rPr>
          <w:rFonts w:ascii="Arial" w:cs="Arial" w:eastAsia="Arial" w:hAnsi="Arial"/>
          <w:sz w:val="18"/>
          <w:szCs w:val="18"/>
          <w:color w:val="auto"/>
        </w:rPr>
        <w:t>]</w:t>
      </w:r>
    </w:p>
    <w:p>
      <w:pPr>
        <w:sectPr>
          <w:pgSz w:w="11900" w:h="16838" w:orient="portrait"/>
          <w:cols w:equalWidth="0" w:num="1">
            <w:col w:w="9740"/>
          </w:cols>
          <w:pgMar w:left="1440" w:top="270" w:right="7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AGREEMENT</w:t>
      </w:r>
    </w:p>
    <w:p>
      <w:pPr>
        <w:spacing w:after="0" w:line="225"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This Stockholders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October 20, 2021, among P10,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the persons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“Investors”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 and, each individually, an “</w:t>
      </w:r>
      <w:r>
        <w:rPr>
          <w:rFonts w:ascii="Arial" w:cs="Arial" w:eastAsia="Arial" w:hAnsi="Arial"/>
          <w:sz w:val="18"/>
          <w:szCs w:val="18"/>
          <w:b w:val="1"/>
          <w:bCs w:val="1"/>
          <w:color w:val="auto"/>
        </w:rPr>
        <w:t>Investor</w:t>
      </w:r>
      <w:r>
        <w:rPr>
          <w:rFonts w:ascii="Arial" w:cs="Arial" w:eastAsia="Arial" w:hAnsi="Arial"/>
          <w:sz w:val="18"/>
          <w:szCs w:val="18"/>
          <w:color w:val="auto"/>
        </w:rPr>
        <w:t>”), and is joined by the Original Agreement Parties (defined below) who are not Investors for the limited purpose of consenting to the provisions of this Agreement.</w:t>
      </w:r>
    </w:p>
    <w:p>
      <w:pPr>
        <w:spacing w:after="0" w:line="180"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WHEREAS, P10 Holdings, Inc., a Delaware corporation previously named P10 Industries, Inc. (“</w:t>
      </w:r>
      <w:r>
        <w:rPr>
          <w:rFonts w:ascii="Arial" w:cs="Arial" w:eastAsia="Arial" w:hAnsi="Arial"/>
          <w:sz w:val="18"/>
          <w:szCs w:val="18"/>
          <w:b w:val="1"/>
          <w:bCs w:val="1"/>
          <w:color w:val="auto"/>
        </w:rPr>
        <w:t>Former P10 Parent</w:t>
      </w:r>
      <w:r>
        <w:rPr>
          <w:rFonts w:ascii="Arial" w:cs="Arial" w:eastAsia="Arial" w:hAnsi="Arial"/>
          <w:sz w:val="18"/>
          <w:szCs w:val="18"/>
          <w:color w:val="auto"/>
        </w:rPr>
        <w:t>”), entered into an Amended and Restated Stockholders Agreement dated December 18, 2018 (the “</w:t>
      </w:r>
      <w:r>
        <w:rPr>
          <w:rFonts w:ascii="Arial" w:cs="Arial" w:eastAsia="Arial" w:hAnsi="Arial"/>
          <w:sz w:val="18"/>
          <w:szCs w:val="18"/>
          <w:b w:val="1"/>
          <w:bCs w:val="1"/>
          <w:color w:val="auto"/>
        </w:rPr>
        <w:t>Original Agreement</w:t>
      </w:r>
      <w:r>
        <w:rPr>
          <w:rFonts w:ascii="Arial" w:cs="Arial" w:eastAsia="Arial" w:hAnsi="Arial"/>
          <w:sz w:val="18"/>
          <w:szCs w:val="18"/>
          <w:color w:val="auto"/>
        </w:rPr>
        <w:t xml:space="preserve">”), with the investors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thereto (together with P10 Sub, the “</w:t>
      </w:r>
      <w:r>
        <w:rPr>
          <w:rFonts w:ascii="Arial" w:cs="Arial" w:eastAsia="Arial" w:hAnsi="Arial"/>
          <w:sz w:val="18"/>
          <w:szCs w:val="18"/>
          <w:b w:val="1"/>
          <w:bCs w:val="1"/>
          <w:color w:val="auto"/>
        </w:rPr>
        <w:t>Original Agreement Parties</w:t>
      </w:r>
      <w:r>
        <w:rPr>
          <w:rFonts w:ascii="Arial" w:cs="Arial" w:eastAsia="Arial" w:hAnsi="Arial"/>
          <w:sz w:val="18"/>
          <w:szCs w:val="18"/>
          <w:color w:val="auto"/>
        </w:rPr>
        <w:t>”);</w:t>
      </w:r>
    </w:p>
    <w:p>
      <w:pPr>
        <w:spacing w:after="0" w:line="180"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WHEREAS, in connection with the consummation of the transactions contemplated by the Sale and Purchase Agreement, dated as of January 16, 2020, among P10 Intermediate Holdings LLC, a Delaware limited liability company (“</w:t>
      </w:r>
      <w:r>
        <w:rPr>
          <w:rFonts w:ascii="Arial" w:cs="Arial" w:eastAsia="Arial" w:hAnsi="Arial"/>
          <w:sz w:val="17"/>
          <w:szCs w:val="17"/>
          <w:b w:val="1"/>
          <w:bCs w:val="1"/>
          <w:color w:val="auto"/>
        </w:rPr>
        <w:t>P10 LLC</w:t>
      </w:r>
      <w:r>
        <w:rPr>
          <w:rFonts w:ascii="Arial" w:cs="Arial" w:eastAsia="Arial" w:hAnsi="Arial"/>
          <w:sz w:val="17"/>
          <w:szCs w:val="17"/>
          <w:color w:val="auto"/>
        </w:rPr>
        <w:t>”), Former P10 Parent, Five Points Capital, Inc., a North Carolina S corporation (“</w:t>
      </w:r>
      <w:r>
        <w:rPr>
          <w:rFonts w:ascii="Arial" w:cs="Arial" w:eastAsia="Arial" w:hAnsi="Arial"/>
          <w:sz w:val="17"/>
          <w:szCs w:val="17"/>
          <w:b w:val="1"/>
          <w:bCs w:val="1"/>
          <w:color w:val="auto"/>
        </w:rPr>
        <w:t>FPC</w:t>
      </w:r>
      <w:r>
        <w:rPr>
          <w:rFonts w:ascii="Arial" w:cs="Arial" w:eastAsia="Arial" w:hAnsi="Arial"/>
          <w:sz w:val="17"/>
          <w:szCs w:val="17"/>
          <w:color w:val="auto"/>
        </w:rPr>
        <w:t>”), and all of FPC’s stockholders, each of P10 LLC, Former P10 Parent, Thomas P. Danis, Jr. as Trustee of the Thomas P. Danis, Jr. Revocable Living Trust dated March 10, 2003, as amended, Jeff P. Gehl as Trustee of the Jeff P. Gehl Living Trust dated January 25, 2011, Charles K. Huebner as Trustee of the Charles K. Huebner Trust dated January 16, 2001, Souder Family LLC, a Delaware limited liability company, Jon I. Madorsky as Trustee of the Jon I. Madorsky Revocable Trust dated December 1, 2008, David McCoy, Alexander Abell, Michael Feinglass, Andrew Nelson, Nell Blatherwick, 210/P10 Acquisition Partners, LLC, a Texas limited liability company, Keystone Capital XXX, LLC, a Delaware limited liability company (“</w:t>
      </w:r>
      <w:r>
        <w:rPr>
          <w:rFonts w:ascii="Arial" w:cs="Arial" w:eastAsia="Arial" w:hAnsi="Arial"/>
          <w:sz w:val="17"/>
          <w:szCs w:val="17"/>
          <w:b w:val="1"/>
          <w:bCs w:val="1"/>
          <w:color w:val="auto"/>
        </w:rPr>
        <w:t>Keystone</w:t>
      </w:r>
      <w:r>
        <w:rPr>
          <w:rFonts w:ascii="Arial" w:cs="Arial" w:eastAsia="Arial" w:hAnsi="Arial"/>
          <w:sz w:val="17"/>
          <w:szCs w:val="17"/>
          <w:color w:val="auto"/>
        </w:rPr>
        <w:t>”), David G. Townsend, Trustee of the David G. Townsend Revocable Living Trust Agreement Dated 9-9-2004, Martin P. Gilmore, Trustee of the Martin Paul Gilmore 2008 Revocable Trust dated March 17, 2008, Thomas H. Westbrook and Christopher N. Jones (each an “</w:t>
      </w:r>
      <w:r>
        <w:rPr>
          <w:rFonts w:ascii="Arial" w:cs="Arial" w:eastAsia="Arial" w:hAnsi="Arial"/>
          <w:sz w:val="17"/>
          <w:szCs w:val="17"/>
          <w:b w:val="1"/>
          <w:bCs w:val="1"/>
          <w:color w:val="auto"/>
        </w:rPr>
        <w:t>Original FPC Unitholder</w:t>
      </w:r>
      <w:r>
        <w:rPr>
          <w:rFonts w:ascii="Arial" w:cs="Arial" w:eastAsia="Arial" w:hAnsi="Arial"/>
          <w:sz w:val="17"/>
          <w:szCs w:val="17"/>
          <w:color w:val="auto"/>
        </w:rPr>
        <w:t>”) entered into an Equityholders Agreement dated January 16, 2020 (the “</w:t>
      </w:r>
      <w:r>
        <w:rPr>
          <w:rFonts w:ascii="Arial" w:cs="Arial" w:eastAsia="Arial" w:hAnsi="Arial"/>
          <w:sz w:val="17"/>
          <w:szCs w:val="17"/>
          <w:b w:val="1"/>
          <w:bCs w:val="1"/>
          <w:color w:val="auto"/>
        </w:rPr>
        <w:t>Original</w:t>
      </w:r>
      <w:r>
        <w:rPr>
          <w:rFonts w:ascii="Arial" w:cs="Arial" w:eastAsia="Arial" w:hAnsi="Arial"/>
          <w:sz w:val="17"/>
          <w:szCs w:val="17"/>
          <w:color w:val="auto"/>
        </w:rPr>
        <w:t xml:space="preserve"> </w:t>
      </w:r>
      <w:r>
        <w:rPr>
          <w:rFonts w:ascii="Arial" w:cs="Arial" w:eastAsia="Arial" w:hAnsi="Arial"/>
          <w:sz w:val="17"/>
          <w:szCs w:val="17"/>
          <w:b w:val="1"/>
          <w:bCs w:val="1"/>
          <w:color w:val="auto"/>
        </w:rPr>
        <w:t>Equityholders Agreement</w:t>
      </w:r>
      <w:r>
        <w:rPr>
          <w:rFonts w:ascii="Arial" w:cs="Arial" w:eastAsia="Arial" w:hAnsi="Arial"/>
          <w:sz w:val="17"/>
          <w:szCs w:val="17"/>
          <w:color w:val="auto"/>
        </w:rPr>
        <w:t>”);</w:t>
      </w:r>
    </w:p>
    <w:p>
      <w:pPr>
        <w:spacing w:after="0" w:line="182"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WHEREAS, in connection with the Sale and Purchase Agreement, dated as of August 24, 2020, among P10 LLC, Former P10 Parent, TrueBridge Capital Partners LLC, a Delaware limited liability company (“</w:t>
      </w:r>
      <w:r>
        <w:rPr>
          <w:rFonts w:ascii="Arial" w:cs="Arial" w:eastAsia="Arial" w:hAnsi="Arial"/>
          <w:sz w:val="18"/>
          <w:szCs w:val="18"/>
          <w:b w:val="1"/>
          <w:bCs w:val="1"/>
          <w:color w:val="auto"/>
        </w:rPr>
        <w:t>TB</w:t>
      </w:r>
      <w:r>
        <w:rPr>
          <w:rFonts w:ascii="Arial" w:cs="Arial" w:eastAsia="Arial" w:hAnsi="Arial"/>
          <w:sz w:val="18"/>
          <w:szCs w:val="18"/>
          <w:color w:val="auto"/>
        </w:rPr>
        <w:t>”), and certain other parties, each of the parties to the Original Equityholders Agreement (or their permitted successors), together with TrueBridge Colonial Fund, u/a dated 11/15/2015, and MAW Management Co., a Delaware corporation (each an “</w:t>
      </w:r>
      <w:r>
        <w:rPr>
          <w:rFonts w:ascii="Arial" w:cs="Arial" w:eastAsia="Arial" w:hAnsi="Arial"/>
          <w:sz w:val="18"/>
          <w:szCs w:val="18"/>
          <w:b w:val="1"/>
          <w:bCs w:val="1"/>
          <w:color w:val="auto"/>
        </w:rPr>
        <w:t>Original TB Unitholder</w:t>
      </w:r>
      <w:r>
        <w:rPr>
          <w:rFonts w:ascii="Arial" w:cs="Arial" w:eastAsia="Arial" w:hAnsi="Arial"/>
          <w:sz w:val="18"/>
          <w:szCs w:val="18"/>
          <w:color w:val="auto"/>
        </w:rPr>
        <w:t>”) entered into an Amended and Restated Equityholders Agreement dated August 24, 2020 (the “</w:t>
      </w:r>
      <w:r>
        <w:rPr>
          <w:rFonts w:ascii="Arial" w:cs="Arial" w:eastAsia="Arial" w:hAnsi="Arial"/>
          <w:sz w:val="18"/>
          <w:szCs w:val="18"/>
          <w:b w:val="1"/>
          <w:bCs w:val="1"/>
          <w:color w:val="auto"/>
        </w:rPr>
        <w:t>TB</w:t>
      </w:r>
      <w:r>
        <w:rPr>
          <w:rFonts w:ascii="Arial" w:cs="Arial" w:eastAsia="Arial" w:hAnsi="Arial"/>
          <w:sz w:val="18"/>
          <w:szCs w:val="18"/>
          <w:color w:val="auto"/>
        </w:rPr>
        <w:t xml:space="preserve"> </w:t>
      </w:r>
      <w:r>
        <w:rPr>
          <w:rFonts w:ascii="Arial" w:cs="Arial" w:eastAsia="Arial" w:hAnsi="Arial"/>
          <w:sz w:val="18"/>
          <w:szCs w:val="18"/>
          <w:b w:val="1"/>
          <w:bCs w:val="1"/>
          <w:color w:val="auto"/>
        </w:rPr>
        <w:t>Equityholders Agreement</w:t>
      </w:r>
      <w:r>
        <w:rPr>
          <w:rFonts w:ascii="Arial" w:cs="Arial" w:eastAsia="Arial" w:hAnsi="Arial"/>
          <w:sz w:val="18"/>
          <w:szCs w:val="18"/>
          <w:color w:val="auto"/>
        </w:rPr>
        <w:t>”);</w:t>
      </w:r>
    </w:p>
    <w:p>
      <w:pPr>
        <w:spacing w:after="0" w:line="188"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WHEREAS, in connection with the Securities Purchase Agreement, dated as of November 19, 2020, as amended, among P10 LLC, Enhanced Capital Partners, LLC, a Delaware limited liability company (“</w:t>
      </w:r>
      <w:r>
        <w:rPr>
          <w:rFonts w:ascii="Arial" w:cs="Arial" w:eastAsia="Arial" w:hAnsi="Arial"/>
          <w:sz w:val="16"/>
          <w:szCs w:val="16"/>
          <w:b w:val="1"/>
          <w:bCs w:val="1"/>
          <w:color w:val="auto"/>
        </w:rPr>
        <w:t>ECP</w:t>
      </w:r>
      <w:r>
        <w:rPr>
          <w:rFonts w:ascii="Arial" w:cs="Arial" w:eastAsia="Arial" w:hAnsi="Arial"/>
          <w:sz w:val="16"/>
          <w:szCs w:val="16"/>
          <w:color w:val="auto"/>
        </w:rPr>
        <w:t>”), Enhanced Capital Group, LLC, a Delaware limited liability company (“</w:t>
      </w:r>
      <w:r>
        <w:rPr>
          <w:rFonts w:ascii="Arial" w:cs="Arial" w:eastAsia="Arial" w:hAnsi="Arial"/>
          <w:sz w:val="16"/>
          <w:szCs w:val="16"/>
          <w:b w:val="1"/>
          <w:bCs w:val="1"/>
          <w:color w:val="auto"/>
        </w:rPr>
        <w:t>ECG</w:t>
      </w:r>
      <w:r>
        <w:rPr>
          <w:rFonts w:ascii="Arial" w:cs="Arial" w:eastAsia="Arial" w:hAnsi="Arial"/>
          <w:sz w:val="16"/>
          <w:szCs w:val="16"/>
          <w:color w:val="auto"/>
        </w:rPr>
        <w:t>”), the parties set forth on Schedule A thereto, and for certain specified purposes set forth therein, the parties set forth on Schedule B thereto, Former P10 Parent, and Stone Point Capital LLC (each a “</w:t>
      </w:r>
      <w:r>
        <w:rPr>
          <w:rFonts w:ascii="Arial" w:cs="Arial" w:eastAsia="Arial" w:hAnsi="Arial"/>
          <w:sz w:val="16"/>
          <w:szCs w:val="16"/>
          <w:b w:val="1"/>
          <w:bCs w:val="1"/>
          <w:color w:val="auto"/>
        </w:rPr>
        <w:t>EC Unitholder</w:t>
      </w:r>
      <w:r>
        <w:rPr>
          <w:rFonts w:ascii="Arial" w:cs="Arial" w:eastAsia="Arial" w:hAnsi="Arial"/>
          <w:sz w:val="16"/>
          <w:szCs w:val="16"/>
          <w:color w:val="auto"/>
        </w:rPr>
        <w:t>,” and together with Keystone, the Original FPC Unitholders and the Original TB Unitholders, the “</w:t>
      </w:r>
      <w:r>
        <w:rPr>
          <w:rFonts w:ascii="Arial" w:cs="Arial" w:eastAsia="Arial" w:hAnsi="Arial"/>
          <w:sz w:val="16"/>
          <w:szCs w:val="16"/>
          <w:b w:val="1"/>
          <w:bCs w:val="1"/>
          <w:color w:val="auto"/>
        </w:rPr>
        <w:t>Original Preferred Unitholders</w:t>
      </w:r>
      <w:r>
        <w:rPr>
          <w:rFonts w:ascii="Arial" w:cs="Arial" w:eastAsia="Arial" w:hAnsi="Arial"/>
          <w:sz w:val="16"/>
          <w:szCs w:val="16"/>
          <w:color w:val="auto"/>
        </w:rPr>
        <w:t>”) entered into an Equityholders Agreement dated December 14, 2020 (the “</w:t>
      </w:r>
      <w:r>
        <w:rPr>
          <w:rFonts w:ascii="Arial" w:cs="Arial" w:eastAsia="Arial" w:hAnsi="Arial"/>
          <w:sz w:val="16"/>
          <w:szCs w:val="16"/>
          <w:b w:val="1"/>
          <w:bCs w:val="1"/>
          <w:color w:val="auto"/>
        </w:rPr>
        <w:t>Enhanced</w:t>
      </w:r>
      <w:r>
        <w:rPr>
          <w:rFonts w:ascii="Arial" w:cs="Arial" w:eastAsia="Arial" w:hAnsi="Arial"/>
          <w:sz w:val="16"/>
          <w:szCs w:val="16"/>
          <w:color w:val="auto"/>
        </w:rPr>
        <w:t xml:space="preserve"> </w:t>
      </w:r>
      <w:r>
        <w:rPr>
          <w:rFonts w:ascii="Arial" w:cs="Arial" w:eastAsia="Arial" w:hAnsi="Arial"/>
          <w:sz w:val="16"/>
          <w:szCs w:val="16"/>
          <w:b w:val="1"/>
          <w:bCs w:val="1"/>
          <w:color w:val="auto"/>
        </w:rPr>
        <w:t>Equityholders Agreement</w:t>
      </w:r>
      <w:r>
        <w:rPr>
          <w:rFonts w:ascii="Arial" w:cs="Arial" w:eastAsia="Arial" w:hAnsi="Arial"/>
          <w:sz w:val="16"/>
          <w:szCs w:val="16"/>
          <w:color w:val="auto"/>
        </w:rPr>
        <w:t>,” and together with the TB Equityholders Agreement, collectively, the “</w:t>
      </w:r>
      <w:r>
        <w:rPr>
          <w:rFonts w:ascii="Arial" w:cs="Arial" w:eastAsia="Arial" w:hAnsi="Arial"/>
          <w:sz w:val="16"/>
          <w:szCs w:val="16"/>
          <w:b w:val="1"/>
          <w:bCs w:val="1"/>
          <w:color w:val="auto"/>
        </w:rPr>
        <w:t>Equityholders Agreements</w:t>
      </w:r>
      <w:r>
        <w:rPr>
          <w:rFonts w:ascii="Arial" w:cs="Arial" w:eastAsia="Arial" w:hAnsi="Arial"/>
          <w:sz w:val="16"/>
          <w:szCs w:val="16"/>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82" w:name="page183"/>
    <w:bookmarkEnd w:id="182"/>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pursuant to Section 1 of the Enhanced Equityholders Agreement and Section 2 of the TB Equityholders Agreement, prior to an Exchange (as defined in the Equityholders Agreement) in connection with which P10 LLC exercises its right to cause any of the Preferred Unitholders to exchange their Units (as defined in the Equityholders Agreements) for New P10 Parent Common Stock (as defined in the P10 LLC Agreement) pursuant to Section 3.8.2(b) of the Third Amended and Restated Limited Liability Company Agreement of P10 LLC dated as of December 14, 2020 (the “</w:t>
      </w:r>
      <w:r>
        <w:rPr>
          <w:rFonts w:ascii="Arial" w:cs="Arial" w:eastAsia="Arial" w:hAnsi="Arial"/>
          <w:sz w:val="17"/>
          <w:szCs w:val="17"/>
          <w:b w:val="1"/>
          <w:bCs w:val="1"/>
          <w:color w:val="auto"/>
        </w:rPr>
        <w:t>P10 LLC Agreement</w:t>
      </w:r>
      <w:r>
        <w:rPr>
          <w:rFonts w:ascii="Arial" w:cs="Arial" w:eastAsia="Arial" w:hAnsi="Arial"/>
          <w:sz w:val="17"/>
          <w:szCs w:val="17"/>
          <w:color w:val="auto"/>
        </w:rPr>
        <w:t>”), the applicable parties thereto agreed to amend and restate the Original Agreement and to offer each of the Preferred Unitholders who will hold Registrable Securities upon consummation of such Exchange the opportunity to execute and deliver this Agreement prior to the consummation of such Exchange and become parties hereto;</w:t>
      </w:r>
    </w:p>
    <w:p>
      <w:pPr>
        <w:spacing w:after="0" w:line="17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WHEREAS, Section 11 of the Original Agreement provided that in the event that Former P10 Parent elected to effect an underwritten registered offering of equity securities of any parent of Former P10 Parent (collectively for purpose of this clause, “alternative entities”) rather than the equity securities of Former P10 Parent, whether as a result of a reorganization of Former P10 Parent or otherwise, the investors party to the Original Agreement and Former P10 Parent shall cause the alternative entity to enter into an agreement with such investors that provides such investors with registration rights with respect to the equity securities of the alternative entity that are substantially the same as, and in any event no less favorable in the aggregate to, the registration rights provided to such Investors in the Original Agreement;</w:t>
      </w:r>
    </w:p>
    <w:p>
      <w:pPr>
        <w:spacing w:after="0" w:line="17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WHEREAS, in connection with the contemplated Uplist Event and Public Offering (as defined in the Equityholders Agreements), there will be a corporate reorganization whereby existing stockholders of Former P10 Parent will hold Class B Common Stock of the Company, the Preferred Unitholders will hold Class B Common Stock of the Company, Former P10 Parent will become a wholly owned subsidiary of the Company, and P10 LLC will become a wholly owned subsidiary of Former P10 Parent (the “</w:t>
      </w:r>
      <w:r>
        <w:rPr>
          <w:rFonts w:ascii="Arial" w:cs="Arial" w:eastAsia="Arial" w:hAnsi="Arial"/>
          <w:sz w:val="18"/>
          <w:szCs w:val="18"/>
          <w:b w:val="1"/>
          <w:bCs w:val="1"/>
          <w:color w:val="auto"/>
        </w:rPr>
        <w:t>P10 Reorganization</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effective upon the completion of the P10 Reorganization, the Equityholders Agreements shall terminate;</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WHEREAS, upon any transfer, the Class B Common Stock will automatically convert on a one-for-one basis to shares of Class A Common Stock, except in the case of transfers to certain permitted transferees. In addition, holders of Class B Common Stock may elect to convert shares of Class B Common Stock on a one-for-one basis into Class A Common Stock at any time;</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WHEREAS, following the P10 Reorganization, the Company intends to list its shares of Class A common stock, par value $0.001 per share, to the New York Stock Exchange (“</w:t>
      </w:r>
      <w:r>
        <w:rPr>
          <w:rFonts w:ascii="Arial" w:cs="Arial" w:eastAsia="Arial" w:hAnsi="Arial"/>
          <w:sz w:val="18"/>
          <w:szCs w:val="18"/>
          <w:b w:val="1"/>
          <w:bCs w:val="1"/>
          <w:color w:val="auto"/>
        </w:rPr>
        <w:t>Company Uplist</w:t>
      </w:r>
      <w:r>
        <w:rPr>
          <w:rFonts w:ascii="Arial" w:cs="Arial" w:eastAsia="Arial" w:hAnsi="Arial"/>
          <w:sz w:val="18"/>
          <w:szCs w:val="18"/>
          <w:color w:val="auto"/>
        </w:rPr>
        <w:t>”);</w:t>
      </w:r>
    </w:p>
    <w:p>
      <w:pPr>
        <w:spacing w:after="0" w:line="170"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WHEREAS, the Form of Second Amended and Restated Stockholders Agreement attached to the Equityholders Agreements provided for certain registration rights of New P10 Parent Common Stock to be available as of October 5, 2020 (the “</w:t>
      </w:r>
      <w:r>
        <w:rPr>
          <w:rFonts w:ascii="Arial" w:cs="Arial" w:eastAsia="Arial" w:hAnsi="Arial"/>
          <w:sz w:val="17"/>
          <w:szCs w:val="17"/>
          <w:b w:val="1"/>
          <w:bCs w:val="1"/>
          <w:color w:val="auto"/>
        </w:rPr>
        <w:t>Demand Right Trigger Date</w:t>
      </w:r>
      <w:r>
        <w:rPr>
          <w:rFonts w:ascii="Arial" w:cs="Arial" w:eastAsia="Arial" w:hAnsi="Arial"/>
          <w:sz w:val="17"/>
          <w:szCs w:val="17"/>
          <w:color w:val="auto"/>
        </w:rPr>
        <w: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83" w:name="page184"/>
    <w:bookmarkEnd w:id="183"/>
    <w:p>
      <w:pPr>
        <w:ind w:right="8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Company proposes and the stockholders accept that the Demand Right Trigger Date shall be extended to November 1, 2022 and the references to registration rights being to the Common Stock shall be to the Class A Common Stock of the Company; and</w:t>
      </w:r>
    </w:p>
    <w:p>
      <w:pPr>
        <w:spacing w:after="0" w:line="14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WHEREAS, in connection with the Company Uplist, the Original Agreement Parties desire to amend and restate the Original Agreement as set forth herein and the Preferred Unitholders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desire to join this Agreement;</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NOW, THEREFORE, in consideration of the foregoing and the mutual and dependent covenants hereinafter set forth, the parties hereto that were parties to the Original Agreement amend and restate the Original Agreement in its entirety as follows, and the new parties hereto that were not parties to the Original Agreement hereby agree as follows: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following meanings:</w:t>
      </w:r>
    </w:p>
    <w:p>
      <w:pPr>
        <w:spacing w:after="0" w:line="113"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any other Person that directly, or indirectly through one or more intermediaries, controls or is controlled by, or is under common control with, such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w:t>
      </w:r>
      <w:r>
        <w:rPr>
          <w:rFonts w:ascii="Arial" w:cs="Arial" w:eastAsia="Arial" w:hAnsi="Arial"/>
          <w:sz w:val="18"/>
          <w:szCs w:val="18"/>
          <w:b w:val="1"/>
          <w:bCs w:val="1"/>
          <w:color w:val="auto"/>
        </w:rPr>
        <w:t>Alternative Entities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(or any successor governing body) of the Company as constituted from time to time.</w:t>
      </w:r>
    </w:p>
    <w:p>
      <w:pPr>
        <w:spacing w:after="0" w:line="225"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United States Securities and Exchange Commission or any other federal agency administering the Securities Act and the Exchange Act at the time.</w:t>
      </w:r>
    </w:p>
    <w:p>
      <w:pPr>
        <w:spacing w:after="0" w:line="162"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Common Stock</w:t>
      </w:r>
      <w:r>
        <w:rPr>
          <w:rFonts w:ascii="Arial" w:cs="Arial" w:eastAsia="Arial" w:hAnsi="Arial"/>
          <w:sz w:val="16"/>
          <w:szCs w:val="16"/>
          <w:color w:val="auto"/>
        </w:rPr>
        <w:t>” means the Class A Common Stock, par value $0.001 per share, of the Company and any other shares of capital stock of the Company issued or issuable with respect thereto (whether by way of a stock dividend or stock split or in exchange for or upon conversion of such shares or otherwise in connection with a combination of shares, distribution, recapitalization, merger, consolidation, other corporate reorganization or other similar event with respect to the Class A Common Stock). Each share of Class A common stock will entitle the holder to one vote per share.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84" w:name="page185"/>
    <w:bookmarkEnd w:id="184"/>
    <w:p>
      <w:pPr>
        <w:ind w:right="60" w:firstLine="44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Class B Common Stock</w:t>
      </w:r>
      <w:r>
        <w:rPr>
          <w:rFonts w:ascii="Arial" w:cs="Arial" w:eastAsia="Arial" w:hAnsi="Arial"/>
          <w:sz w:val="16"/>
          <w:szCs w:val="16"/>
          <w:color w:val="auto"/>
        </w:rPr>
        <w:t>” means the Class B Common Stock, par value $0.001 per share, of the Company and any other shares of capital stock of the Company issued or issuable with respect thereto (whether by way of a stock dividend or stock split or in exchange for or upon conversion of such shares or otherwise in connection with a combination of shares, distribution, recapitalization, merger, consolidation, other corporate reorganization or other similar event with respect to the Class B Common Stock). Each share of Class B common stock will entitle the holder to ten votes per share.</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collectively, the Class A Common Stock and Class B Common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has the meaning set forth in the preamble and includes the Company’s successors by merger, acquisition, reorganization or otherwise.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Uplist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Controlling Person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5(q)</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 Registration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DTCDRS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 Unitholder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Enhanced Equityholders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Equityholders Agreements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Former P10 Parent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FPC</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FPC Unitholder</w:t>
      </w:r>
      <w:r>
        <w:rPr>
          <w:rFonts w:ascii="Arial" w:cs="Arial" w:eastAsia="Arial" w:hAnsi="Arial"/>
          <w:sz w:val="18"/>
          <w:szCs w:val="18"/>
          <w:color w:val="auto"/>
        </w:rPr>
        <w:t>” means each of the Original FPC Unitholders, Jones Family 2020 Descendants’ Trust dated July 31, 2020, Project Star LLC and FPC/P10 Investment, LLC.</w:t>
      </w:r>
    </w:p>
    <w:p>
      <w:pPr>
        <w:spacing w:after="0" w:line="162"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Inspectors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Investors</w:t>
      </w:r>
      <w:r>
        <w:rPr>
          <w:rFonts w:ascii="Arial" w:cs="Arial" w:eastAsia="Arial" w:hAnsi="Arial"/>
          <w:sz w:val="18"/>
          <w:szCs w:val="18"/>
          <w:color w:val="auto"/>
        </w:rPr>
        <w:t>” has the meaning set forth in the preamble.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85" w:name="page186"/>
    <w:bookmarkEnd w:id="1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Keystone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Long-Form Registration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 RCP2 Sellers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Agreement Parties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Equityholders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FPC Unitholder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Investors</w:t>
      </w:r>
      <w:r>
        <w:rPr>
          <w:rFonts w:ascii="Arial" w:cs="Arial" w:eastAsia="Arial" w:hAnsi="Arial"/>
          <w:sz w:val="18"/>
          <w:szCs w:val="18"/>
          <w:color w:val="auto"/>
        </w:rPr>
        <w:t xml:space="preserve">” means the parties to the Original Agreement listed under the heading “Investors”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Preferred Unitholders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TB Unitholder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P10 LLC</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6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joint venture, limited liability company, Governmental Authority, unincorporated organization, trust, association or other entity.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Registration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Shelf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Shelf Takedown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Unitholders</w:t>
      </w:r>
      <w:r>
        <w:rPr>
          <w:rFonts w:ascii="Arial" w:cs="Arial" w:eastAsia="Arial" w:hAnsi="Arial"/>
          <w:sz w:val="18"/>
          <w:szCs w:val="18"/>
          <w:color w:val="auto"/>
        </w:rPr>
        <w:t>” means the Original Preferred Unitholders together with their permitted transferees.</w:t>
      </w:r>
    </w:p>
    <w:p>
      <w:pPr>
        <w:spacing w:after="0" w:line="225"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prospectus or prospectuses included in any Registration Statement (including, without limitation, a prospectus that includes any information previously omitted from a prospectus filed as part of an effective Registration Statement in reliance on Rule 430A or Rule 430B under the Securities Act or any successor rule thereto), as amended or supplemented by any prospectus supplement, including any Shelf Supplement, with respect to the terms of the offering of any portion of the Registrable Securities covered by such Registration Statement and by all other amendments and supplements to the prospectus, including post- effective amendments and all material incorporated by reference in such prospectus or prospectuses.</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 Offering</w:t>
      </w:r>
      <w:r>
        <w:rPr>
          <w:rFonts w:ascii="Arial" w:cs="Arial" w:eastAsia="Arial" w:hAnsi="Arial"/>
          <w:sz w:val="17"/>
          <w:szCs w:val="17"/>
          <w:color w:val="auto"/>
        </w:rPr>
        <w:t>” means the first offering of the Class A Common Stock after the date hereof pursuant to an effective Registration Statement filed under the Securities Act (other than a registration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 or any successor rule thereto), or (iii) in connection with any dividend or distribution reinvestment or similar plan).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186" w:name="page187"/>
    <w:bookmarkEnd w:id="186"/>
    <w:p>
      <w:pPr>
        <w:ind w:left="4" w:right="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RCP2 Purchase Agreement</w:t>
      </w:r>
      <w:r>
        <w:rPr>
          <w:rFonts w:ascii="Arial" w:cs="Arial" w:eastAsia="Arial" w:hAnsi="Arial"/>
          <w:sz w:val="18"/>
          <w:szCs w:val="18"/>
          <w:color w:val="auto"/>
        </w:rPr>
        <w:t>” means the Contribution and Exchange Agreement, dated as of October 5, 2017, among the Former P10 Parent and the RCP2 Sellers a party thereto.</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RCP2 Sellers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5(h)</w:t>
      </w:r>
      <w:r>
        <w:rPr>
          <w:rFonts w:ascii="Arial" w:cs="Arial" w:eastAsia="Arial" w:hAnsi="Arial"/>
          <w:sz w:val="18"/>
          <w:szCs w:val="18"/>
          <w:color w:val="auto"/>
        </w:rPr>
        <w:t>.</w:t>
      </w:r>
    </w:p>
    <w:p>
      <w:pPr>
        <w:spacing w:after="0" w:line="225"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(a) the shares of Class A Common Stock underlying the shares of Class B Common Stock issued to the Investors pursuant to the P10 Reorganization, (b) any shares of Class A Common Stock beneficially owned or acquired by the Investors as of the date of the Equityholders Agreements, and (c) any shares of Class A Common Stock issued or issuable with respect to any shares described in subsections (a) and</w:t>
      </w:r>
    </w:p>
    <w:p>
      <w:pPr>
        <w:spacing w:after="0" w:line="2" w:lineRule="exact"/>
        <w:rPr>
          <w:sz w:val="20"/>
          <w:szCs w:val="20"/>
          <w:color w:val="auto"/>
        </w:rPr>
      </w:pPr>
    </w:p>
    <w:p>
      <w:pPr>
        <w:ind w:left="4" w:right="20" w:hanging="4"/>
        <w:spacing w:after="0" w:line="295" w:lineRule="auto"/>
        <w:tabs>
          <w:tab w:leader="none" w:pos="259"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above by way of a stock dividend or stock split or in exchange for or upon conversion of such shares or otherwise in connection with a combination of shares, distribution, recapitalization, merger, consolidation, other reorganization or other similar event with respect to such shares (it being understood that, for purposes of this Agreement, a Person shall be deemed to be a holder of Registrable Securities whenever such Person has the right to then acquire or obtain from the Company any Registrable Securities, whether or not such acquisition has actually been effected).</w:t>
      </w:r>
    </w:p>
    <w:p>
      <w:pPr>
        <w:spacing w:after="0" w:line="157" w:lineRule="exact"/>
        <w:rPr>
          <w:sz w:val="20"/>
          <w:szCs w:val="20"/>
          <w:color w:val="auto"/>
        </w:rPr>
      </w:pPr>
    </w:p>
    <w:p>
      <w:pPr>
        <w:jc w:val="both"/>
        <w:ind w:left="4"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any registration statement of the Company, including the Prospectus, amendments and supplements, including Shelf Supplements, to such registration statement, including post-effective amendments, all exhibits and all material incorporated by reference in such registration statement.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Approvals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under the Securities Act or any successor rule thereto.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of Registrable Securities, except for the fees and disbursements of counsel for the holders of Registrable Securities required to be paid by the Company pursuant to </w:t>
      </w:r>
      <w:r>
        <w:rPr>
          <w:rFonts w:ascii="Arial" w:cs="Arial" w:eastAsia="Arial" w:hAnsi="Arial"/>
          <w:sz w:val="18"/>
          <w:szCs w:val="18"/>
          <w:b w:val="1"/>
          <w:bCs w:val="1"/>
          <w:color w:val="auto"/>
        </w:rPr>
        <w:t>Section 6</w:t>
      </w:r>
      <w:r>
        <w:rPr>
          <w:rFonts w:ascii="Arial" w:cs="Arial" w:eastAsia="Arial" w:hAnsi="Arial"/>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2(c)</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2(c)</w:t>
      </w:r>
      <w:r>
        <w:rPr>
          <w:rFonts w:ascii="Arial" w:cs="Arial" w:eastAsia="Arial" w:hAnsi="Arial"/>
          <w:sz w:val="18"/>
          <w:szCs w:val="18"/>
          <w:color w:val="auto"/>
        </w:rPr>
        <w:t>.</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0" w:right="439" w:bottom="1440" w:gutter="0" w:footer="0" w:header="0"/>
        </w:sectPr>
      </w:pPr>
    </w:p>
    <w:bookmarkStart w:id="187" w:name="page188"/>
    <w:bookmarkEnd w:id="18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Shelf Supplement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Takedown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Short-Form Registration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TB Equityholders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TB Unitholder</w:t>
      </w:r>
      <w:r>
        <w:rPr>
          <w:rFonts w:ascii="Arial" w:cs="Arial" w:eastAsia="Arial" w:hAnsi="Arial"/>
          <w:sz w:val="17"/>
          <w:szCs w:val="17"/>
          <w:color w:val="auto"/>
        </w:rPr>
        <w:t>” means the Original TB Unitholders, Mel Williams Irrevocable Trust u/a/d August 12, 2015 and TrueBridge Ascent LLC.</w:t>
      </w:r>
    </w:p>
    <w:p>
      <w:pPr>
        <w:spacing w:after="0" w:line="241" w:lineRule="exact"/>
        <w:rPr>
          <w:sz w:val="20"/>
          <w:szCs w:val="20"/>
          <w:color w:val="auto"/>
        </w:rPr>
      </w:pPr>
    </w:p>
    <w:p>
      <w:pPr>
        <w:ind w:left="184" w:hanging="184"/>
        <w:spacing w:after="0"/>
        <w:tabs>
          <w:tab w:leader="none" w:pos="184"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436"/>
        <w:spacing w:after="0" w:line="268" w:lineRule="auto"/>
        <w:tabs>
          <w:tab w:leader="none" w:pos="679" w:val="left"/>
        </w:tabs>
        <w:numPr>
          <w:ilvl w:val="1"/>
          <w:numId w:val="213"/>
        </w:numPr>
        <w:rPr>
          <w:rFonts w:ascii="Arial" w:cs="Arial" w:eastAsia="Arial" w:hAnsi="Arial"/>
          <w:sz w:val="17"/>
          <w:szCs w:val="17"/>
          <w:color w:val="auto"/>
        </w:rPr>
      </w:pPr>
      <w:r>
        <w:rPr>
          <w:rFonts w:ascii="Arial" w:cs="Arial" w:eastAsia="Arial" w:hAnsi="Arial"/>
          <w:sz w:val="17"/>
          <w:szCs w:val="17"/>
          <w:color w:val="auto"/>
        </w:rPr>
        <w:t>At any time beginning after November 1, 2022, holders of at least ten (10) percent of the Registrable Securities then outstanding may request registration under the Securities Act of all or any portion of their Registrable Securities pursuant to a Registration Statement on Form S-1 or any successor form thereto (each, a “</w:t>
      </w:r>
      <w:r>
        <w:rPr>
          <w:rFonts w:ascii="Arial" w:cs="Arial" w:eastAsia="Arial" w:hAnsi="Arial"/>
          <w:sz w:val="17"/>
          <w:szCs w:val="17"/>
          <w:b w:val="1"/>
          <w:bCs w:val="1"/>
          <w:color w:val="auto"/>
        </w:rPr>
        <w:t>Long-Form Registration</w:t>
      </w:r>
      <w:r>
        <w:rPr>
          <w:rFonts w:ascii="Arial" w:cs="Arial" w:eastAsia="Arial" w:hAnsi="Arial"/>
          <w:sz w:val="17"/>
          <w:szCs w:val="17"/>
          <w:color w:val="auto"/>
        </w:rPr>
        <w:t xml:space="preserve">”). Each request for a Long- Form Registration shall specify the number of Registrable Securities requested to be included in the Long-Form Registration. Upon receipt of any such request, the Company shall promptly (but in no event later than five (5) days following receipt thereof) deliver notice of such request to all other holders of Registrable Securities who shall then have five (5) days from the date such notice is given to notify the Company in writing of their desire to be included in such registration. The Company shall prepare and file with (or confidentially submit to) the Commission a Registration Statement on Form S-1 or any successor form thereto covering all of the Registrable Securities that the holders thereof have requested to be included in such Long-Form Registration within sixty (60) days after the date on which the initial request is given and shall use its best efforts to cause such Registration Statement to be declared effective by the Commission as soon as practicable thereafter. The Company shall not be required to effect a Long-Form Registration more than two (2) times for the holders of Registrable Securities as a group; provided, that a Registration Statement shall not count as a Long-Form Registration requested under this </w:t>
      </w:r>
      <w:r>
        <w:rPr>
          <w:rFonts w:ascii="Arial" w:cs="Arial" w:eastAsia="Arial" w:hAnsi="Arial"/>
          <w:sz w:val="17"/>
          <w:szCs w:val="17"/>
          <w:b w:val="1"/>
          <w:bCs w:val="1"/>
          <w:color w:val="auto"/>
        </w:rPr>
        <w:t>Section 2(a)</w:t>
      </w:r>
      <w:r>
        <w:rPr>
          <w:rFonts w:ascii="Arial" w:cs="Arial" w:eastAsia="Arial" w:hAnsi="Arial"/>
          <w:sz w:val="17"/>
          <w:szCs w:val="17"/>
          <w:color w:val="auto"/>
        </w:rPr>
        <w:t xml:space="preserve"> unless and until it has become effective and the holders requesting such registration are able to register and sell at least a majority of the Registrable Securities requested to be included in such registration.</w:t>
      </w:r>
    </w:p>
    <w:p>
      <w:pPr>
        <w:spacing w:after="0" w:line="186" w:lineRule="exact"/>
        <w:rPr>
          <w:rFonts w:ascii="Arial" w:cs="Arial" w:eastAsia="Arial" w:hAnsi="Arial"/>
          <w:sz w:val="17"/>
          <w:szCs w:val="17"/>
          <w:color w:val="auto"/>
        </w:rPr>
      </w:pPr>
    </w:p>
    <w:p>
      <w:pPr>
        <w:ind w:left="4" w:firstLine="436"/>
        <w:spacing w:after="0" w:line="291" w:lineRule="auto"/>
        <w:tabs>
          <w:tab w:leader="none" w:pos="699"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After the Public Offering, the Company shall use its best efforts to qualify and remain qualified to register the offer and sale of securities under the Securities Act pursuant to a Registration Statement on Form S-3 or any successor form thereto. At such time as the Company shall have qualified for the use of a Registration Statement on Form S-3 or any successor form thereto, but in any event no earlier than November 1, 2022, the holders of Registrable Securities shall have the right to request an unlimited number of registrations under the Securities Act of all or any portion of their Registrable Securities pursuant to a Registration Statement on Form S-3 or any similar short-form Registration Statement (each, a “</w:t>
      </w:r>
      <w:r>
        <w:rPr>
          <w:rFonts w:ascii="Arial" w:cs="Arial" w:eastAsia="Arial" w:hAnsi="Arial"/>
          <w:sz w:val="16"/>
          <w:szCs w:val="16"/>
          <w:b w:val="1"/>
          <w:bCs w:val="1"/>
          <w:color w:val="auto"/>
        </w:rPr>
        <w:t>Short-Form</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w:t>
      </w:r>
      <w:r>
        <w:rPr>
          <w:rFonts w:ascii="Arial" w:cs="Arial" w:eastAsia="Arial" w:hAnsi="Arial"/>
          <w:sz w:val="16"/>
          <w:szCs w:val="16"/>
          <w:color w:val="auto"/>
        </w:rPr>
        <w:t>” and, collectively with each Long-Form Registration and Shelf Registration, a “</w:t>
      </w:r>
      <w:r>
        <w:rPr>
          <w:rFonts w:ascii="Arial" w:cs="Arial" w:eastAsia="Arial" w:hAnsi="Arial"/>
          <w:sz w:val="16"/>
          <w:szCs w:val="16"/>
          <w:b w:val="1"/>
          <w:bCs w:val="1"/>
          <w:color w:val="auto"/>
        </w:rPr>
        <w:t>Demand Registration</w:t>
      </w:r>
      <w:r>
        <w:rPr>
          <w:rFonts w:ascii="Arial" w:cs="Arial" w:eastAsia="Arial" w:hAnsi="Arial"/>
          <w:sz w:val="16"/>
          <w:szCs w:val="16"/>
          <w:color w:val="auto"/>
        </w:rPr>
        <w:t>”). Each request for a Short-Form</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shall specify the number of Registrable Securities requested to be included in the Short-Form Registration. Upon receipt of</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0" w:right="479" w:bottom="1440" w:gutter="0" w:footer="0" w:header="0"/>
        </w:sectPr>
      </w:pPr>
    </w:p>
    <w:bookmarkStart w:id="188" w:name="page189"/>
    <w:bookmarkEnd w:id="188"/>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request, the Company shall promptly (but in no event later than five (5) days following receipt thereof) deliver notice of such request to all other holders of Registrable Securities who shall then have five (5) days from the date such notice is given to notify the Company in writing of their desire to be included in such registration. The Company shall prepare and file with (or confidentially submit to) the Commission a Registration Statement on Form S-3 or any successor form thereto covering all of the Registrable Securities that the holders thereof have requested to be included in such Short-Form Registration within thirty (30) days after the date on which the initial request is given and shall use its best efforts to cause such Registration Statement to be declared effective by the Commission as soon as practicable thereafter.</w:t>
      </w:r>
    </w:p>
    <w:p>
      <w:pPr>
        <w:spacing w:after="0" w:line="178" w:lineRule="exact"/>
        <w:rPr>
          <w:sz w:val="20"/>
          <w:szCs w:val="20"/>
          <w:color w:val="auto"/>
        </w:rPr>
      </w:pPr>
    </w:p>
    <w:p>
      <w:pPr>
        <w:ind w:right="20" w:firstLine="436"/>
        <w:spacing w:after="0" w:line="287" w:lineRule="auto"/>
        <w:tabs>
          <w:tab w:leader="none" w:pos="68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At such time as the Company shall have qualified for the use of a Registration Statement on Form S-3 or the then appropriate form for an offering to be made on a delayed or continuous basis pursuant to Rule 415 under the Securities Act or any successor rule thereto (a “</w:t>
      </w:r>
      <w:r>
        <w:rPr>
          <w:rFonts w:ascii="Arial" w:cs="Arial" w:eastAsia="Arial" w:hAnsi="Arial"/>
          <w:sz w:val="16"/>
          <w:szCs w:val="16"/>
          <w:b w:val="1"/>
          <w:bCs w:val="1"/>
          <w:color w:val="auto"/>
        </w:rPr>
        <w:t>Shelf 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but in any event no earlier than November 1, 2022, the holders of Registrable Securities shall have the right to request registration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Securities Act of all or any portion of their Registrable Securities for an offering on a delayed or continuous basis pursuant to Rule 415 under the Securities Act or any successor rule thereto (a “</w:t>
      </w:r>
      <w:r>
        <w:rPr>
          <w:rFonts w:ascii="Arial" w:cs="Arial" w:eastAsia="Arial" w:hAnsi="Arial"/>
          <w:sz w:val="16"/>
          <w:szCs w:val="16"/>
          <w:b w:val="1"/>
          <w:bCs w:val="1"/>
          <w:color w:val="auto"/>
        </w:rPr>
        <w:t>Shelf Registration</w:t>
      </w:r>
      <w:r>
        <w:rPr>
          <w:rFonts w:ascii="Arial" w:cs="Arial" w:eastAsia="Arial" w:hAnsi="Arial"/>
          <w:sz w:val="16"/>
          <w:szCs w:val="16"/>
          <w:color w:val="auto"/>
        </w:rPr>
        <w:t>”). Each request for a Shelf Registration shall specify the number of Registrable Securities requested to be included in the Shelf Registration. Upon receipt of any such request, the Company shall promptly (but in no event later than five (5) days following receipt thereof) deliver notice of such request to all other holders of Registrable Securities who shall then have five (5) days from the date such notice is given to notify the Company in writing of their desire to be included in such registration. The Company shall prepare and file with (or confidentially submit to) the Commission a Shelf Registration Statement covering all of the Registrable Securities that the holders thereof have requested to be included in such Shelf Registration within ten (10) days after the date on which the initial request is given and shall use its best efforts to cause such Shelf Registration Statement to be declared effective by the Commission as soon as practicable thereafter.</w:t>
      </w:r>
    </w:p>
    <w:p>
      <w:pPr>
        <w:spacing w:after="0" w:line="171" w:lineRule="exact"/>
        <w:rPr>
          <w:rFonts w:ascii="Arial" w:cs="Arial" w:eastAsia="Arial" w:hAnsi="Arial"/>
          <w:sz w:val="16"/>
          <w:szCs w:val="16"/>
          <w:color w:val="auto"/>
        </w:rPr>
      </w:pPr>
    </w:p>
    <w:p>
      <w:pPr>
        <w:ind w:firstLine="436"/>
        <w:spacing w:after="0" w:line="269" w:lineRule="auto"/>
        <w:tabs>
          <w:tab w:leader="none" w:pos="69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Company shall not be obligated to effect any Demand Registration within three (3) months after the effective date of a previous Demand Registration, Shelf Takedown or a previous Piggyback Registration in which holders of Registrable Securities were permitted to register the offer and sale under the Securities Act, and actually sold, at least a majority of the shares of Registrable Securities requested to be included therein. The Company may postpone for up to ninety (90) days the filing or effectiveness of a Registration Statement for a Demand Registration or a supplement (a “</w:t>
      </w:r>
      <w:r>
        <w:rPr>
          <w:rFonts w:ascii="Arial" w:cs="Arial" w:eastAsia="Arial" w:hAnsi="Arial"/>
          <w:sz w:val="17"/>
          <w:szCs w:val="17"/>
          <w:b w:val="1"/>
          <w:bCs w:val="1"/>
          <w:color w:val="auto"/>
        </w:rPr>
        <w:t>Shelf</w:t>
      </w:r>
      <w:r>
        <w:rPr>
          <w:rFonts w:ascii="Arial" w:cs="Arial" w:eastAsia="Arial" w:hAnsi="Arial"/>
          <w:sz w:val="17"/>
          <w:szCs w:val="17"/>
          <w:color w:val="auto"/>
        </w:rPr>
        <w:t xml:space="preserve"> </w:t>
      </w:r>
      <w:r>
        <w:rPr>
          <w:rFonts w:ascii="Arial" w:cs="Arial" w:eastAsia="Arial" w:hAnsi="Arial"/>
          <w:sz w:val="17"/>
          <w:szCs w:val="17"/>
          <w:b w:val="1"/>
          <w:bCs w:val="1"/>
          <w:color w:val="auto"/>
        </w:rPr>
        <w:t>Supplement</w:t>
      </w:r>
      <w:r>
        <w:rPr>
          <w:rFonts w:ascii="Arial" w:cs="Arial" w:eastAsia="Arial" w:hAnsi="Arial"/>
          <w:sz w:val="17"/>
          <w:szCs w:val="17"/>
          <w:color w:val="auto"/>
        </w:rPr>
        <w:t>”) for the purpose of effecting an offering pursuant to Rule 415 under the Securities Act or any successor rule thereto (a “</w:t>
      </w:r>
      <w:r>
        <w:rPr>
          <w:rFonts w:ascii="Arial" w:cs="Arial" w:eastAsia="Arial" w:hAnsi="Arial"/>
          <w:sz w:val="17"/>
          <w:szCs w:val="17"/>
          <w:b w:val="1"/>
          <w:bCs w:val="1"/>
          <w:color w:val="auto"/>
        </w:rPr>
        <w:t>Shelf Takedown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if the Board determines in its reasonable good faith judgment that such Demand Registration or Shelf Takedown would (i) materially interfere with a significant acquisition, corporate organization, financing, securities offering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provided, that in such event the holders of a majority of the Registrable Securities initiating such Demand Registration or Shelf Takedown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89" w:name="page190"/>
    <w:bookmarkEnd w:id="189"/>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entitled to withdraw such request and, if such request for a Demand Registration is withdrawn, such Demand Registration shall not count as one of the permitted Demand Registrations hereunder and the Company shall pay all registration expenses in connection with such registration. The Company may delay a Demand Registration or Shelf Takedown hereunder only once in any period of twelve (12) consecutive months.</w:t>
      </w:r>
    </w:p>
    <w:p>
      <w:pPr>
        <w:spacing w:after="0" w:line="149" w:lineRule="exact"/>
        <w:rPr>
          <w:sz w:val="20"/>
          <w:szCs w:val="20"/>
          <w:color w:val="auto"/>
        </w:rPr>
      </w:pPr>
    </w:p>
    <w:p>
      <w:pPr>
        <w:ind w:right="200" w:firstLine="436"/>
        <w:spacing w:after="0" w:line="296" w:lineRule="auto"/>
        <w:tabs>
          <w:tab w:leader="none" w:pos="68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If the holders of the Registrable Securities initially requesting a Demand Registration or Shelf Takedown elect to distribute the Registrable Securities covered by their request in an underwritten offering, they shall so advise the Company as a part of their request made pursuant to </w:t>
      </w:r>
      <w:r>
        <w:rPr>
          <w:rFonts w:ascii="Arial" w:cs="Arial" w:eastAsia="Arial" w:hAnsi="Arial"/>
          <w:sz w:val="16"/>
          <w:szCs w:val="16"/>
          <w:b w:val="1"/>
          <w:bCs w:val="1"/>
          <w:color w:val="auto"/>
        </w:rPr>
        <w:t>Section 2(a)</w:t>
      </w:r>
      <w:r>
        <w:rPr>
          <w:rFonts w:ascii="Arial" w:cs="Arial" w:eastAsia="Arial" w:hAnsi="Arial"/>
          <w:sz w:val="16"/>
          <w:szCs w:val="16"/>
          <w:color w:val="auto"/>
        </w:rPr>
        <w:t>,</w:t>
      </w:r>
      <w:r>
        <w:rPr>
          <w:rFonts w:ascii="Arial" w:cs="Arial" w:eastAsia="Arial" w:hAnsi="Arial"/>
          <w:sz w:val="16"/>
          <w:szCs w:val="16"/>
          <w:b w:val="1"/>
          <w:bCs w:val="1"/>
          <w:color w:val="auto"/>
        </w:rPr>
        <w:t xml:space="preserve"> Section 2(b)</w:t>
      </w:r>
      <w:r>
        <w:rPr>
          <w:rFonts w:ascii="Arial" w:cs="Arial" w:eastAsia="Arial" w:hAnsi="Arial"/>
          <w:sz w:val="16"/>
          <w:szCs w:val="16"/>
          <w:color w:val="auto"/>
        </w:rPr>
        <w:t>, or</w:t>
      </w:r>
      <w:r>
        <w:rPr>
          <w:rFonts w:ascii="Arial" w:cs="Arial" w:eastAsia="Arial" w:hAnsi="Arial"/>
          <w:sz w:val="16"/>
          <w:szCs w:val="16"/>
          <w:b w:val="1"/>
          <w:bCs w:val="1"/>
          <w:color w:val="auto"/>
        </w:rPr>
        <w:t xml:space="preserve"> Section 2(c) </w:t>
      </w:r>
      <w:r>
        <w:rPr>
          <w:rFonts w:ascii="Arial" w:cs="Arial" w:eastAsia="Arial" w:hAnsi="Arial"/>
          <w:sz w:val="16"/>
          <w:szCs w:val="16"/>
          <w:color w:val="auto"/>
        </w:rPr>
        <w:t>and the Company shall include such information in its notice to the other holders of Registrable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select the investment banking firm or firms to act as the managing underwriter or underwriters in connection with such offering, which underwriter must be reasonably acceptable to the holders of a majority of the Registrable Securities initially requesting the offering.</w:t>
      </w:r>
    </w:p>
    <w:p>
      <w:pPr>
        <w:spacing w:after="0" w:line="161" w:lineRule="exact"/>
        <w:rPr>
          <w:rFonts w:ascii="Arial" w:cs="Arial" w:eastAsia="Arial" w:hAnsi="Arial"/>
          <w:sz w:val="16"/>
          <w:szCs w:val="16"/>
          <w:color w:val="auto"/>
        </w:rPr>
      </w:pPr>
    </w:p>
    <w:p>
      <w:pPr>
        <w:ind w:firstLine="436"/>
        <w:spacing w:after="0" w:line="286" w:lineRule="auto"/>
        <w:tabs>
          <w:tab w:leader="none" w:pos="66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Company shall not include in any Demand Registration or Shelf Takedown any securities which are not Registrable Securities without the prior written consent of the holders of a majority of the Registrable Securities initially requesting such Demand Registration or Shelf Takedown. If a Demand Registration or Shelf Takedown involves an underwritten offering and the managing underwriter of the requested Demand Registration or Shelf Takedown advises the Company and the holders of Registrable Securities in writing that in its reasonable and good faith opinion the number of shares of Class A Common Stock proposed to be included in the Demand Registration or Shelf Takedown, including all Registrable Securities and all other shares of Class A Common Stock proposed to be included in such underwritten offering, exceeds the number of shares of Class A Common Stock which can be sold in such underwritten offering and/or the number of shares of Class A Common Stock proposed to be included in such Demand Registration or Shelf Takedown would adversely affect the price per share of the Class A Common Stock proposed to be sold in such underwritten offering, the Company shall include in such Demand Registration or Shelf Takedown (i) first, the shares of Class A Common Stock that the holders of Registrable Securities propose to sell, and (ii) second, the shares of Class A Common Stock proposed to be included therein by any other Persons (including shares of Class A Common Stock to be sold for the account of the Company and/or other holders of Class A Common Stock) allocated among such Persons in such manner as they may agree. If the managing underwriter determines that less than all of the Registrable Securities proposed to be sold can be included in such offering, then the Registrable Securities that are included in such offering shall be allocated pro rata among the respective holders thereof on the basis of the number of Registrable Securities owned by each such holder.</w:t>
      </w:r>
    </w:p>
    <w:p>
      <w:pPr>
        <w:spacing w:after="0" w:line="170" w:lineRule="exact"/>
        <w:rPr>
          <w:rFonts w:ascii="Arial" w:cs="Arial" w:eastAsia="Arial" w:hAnsi="Arial"/>
          <w:sz w:val="16"/>
          <w:szCs w:val="16"/>
          <w:color w:val="auto"/>
        </w:rPr>
      </w:pPr>
    </w:p>
    <w:p>
      <w:pPr>
        <w:jc w:val="both"/>
        <w:ind w:right="20" w:firstLine="436"/>
        <w:spacing w:after="0" w:line="311" w:lineRule="auto"/>
        <w:tabs>
          <w:tab w:leader="none" w:pos="69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Upon receipt of any Demand Registration, the Company shall not file any other Registration Statement without the consent of the holders of a majority of the Registrable Securities requesting registration until the consummation of the sale of Registrable Securities contemplated by the applicable Demand Registration; provided that the Company shall be permitted to file any Registration Statement on Form S-8.</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90" w:name="page191"/>
    <w:bookmarkEnd w:id="190"/>
    <w:p>
      <w:pPr>
        <w:ind w:left="544" w:hanging="544"/>
        <w:spacing w:after="0"/>
        <w:tabs>
          <w:tab w:leader="none" w:pos="544"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Piggyback 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436"/>
        <w:spacing w:after="0" w:line="286" w:lineRule="auto"/>
        <w:tabs>
          <w:tab w:leader="none" w:pos="689" w:val="left"/>
        </w:tabs>
        <w:numPr>
          <w:ilvl w:val="1"/>
          <w:numId w:val="216"/>
        </w:numPr>
        <w:rPr>
          <w:rFonts w:ascii="Arial" w:cs="Arial" w:eastAsia="Arial" w:hAnsi="Arial"/>
          <w:sz w:val="16"/>
          <w:szCs w:val="16"/>
          <w:color w:val="auto"/>
        </w:rPr>
      </w:pPr>
      <w:r>
        <w:rPr>
          <w:rFonts w:ascii="Arial" w:cs="Arial" w:eastAsia="Arial" w:hAnsi="Arial"/>
          <w:sz w:val="16"/>
          <w:szCs w:val="16"/>
          <w:color w:val="auto"/>
        </w:rPr>
        <w:t>Whenever the Company proposes to register the offer and sale of any shares of its Class A Common Stock under the Securities Act (other than a registration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 or any successor rule thereto), or (iii) in connection with any dividend or distribution reinvestment or similar plan), whether for its own account or for the account of one or more stockholders of the Company and the form of Registration Statement (a “</w:t>
      </w:r>
      <w:r>
        <w:rPr>
          <w:rFonts w:ascii="Arial" w:cs="Arial" w:eastAsia="Arial" w:hAnsi="Arial"/>
          <w:sz w:val="16"/>
          <w:szCs w:val="16"/>
          <w:b w:val="1"/>
          <w:bCs w:val="1"/>
          <w:color w:val="auto"/>
        </w:rPr>
        <w:t>Piggyback Registration Statement</w:t>
      </w:r>
      <w:r>
        <w:rPr>
          <w:rFonts w:ascii="Arial" w:cs="Arial" w:eastAsia="Arial" w:hAnsi="Arial"/>
          <w:sz w:val="16"/>
          <w:szCs w:val="16"/>
          <w:color w:val="auto"/>
        </w:rPr>
        <w:t>”) to be used may be used for any registration of Registrable Securities (a “</w:t>
      </w:r>
      <w:r>
        <w:rPr>
          <w:rFonts w:ascii="Arial" w:cs="Arial" w:eastAsia="Arial" w:hAnsi="Arial"/>
          <w:sz w:val="16"/>
          <w:szCs w:val="16"/>
          <w:b w:val="1"/>
          <w:bCs w:val="1"/>
          <w:color w:val="auto"/>
        </w:rPr>
        <w:t>Piggyback Registration</w:t>
      </w:r>
      <w:r>
        <w:rPr>
          <w:rFonts w:ascii="Arial" w:cs="Arial" w:eastAsia="Arial" w:hAnsi="Arial"/>
          <w:sz w:val="16"/>
          <w:szCs w:val="16"/>
          <w:color w:val="auto"/>
        </w:rPr>
        <w:t xml:space="preserve">”), but in any event no earlier than November 1, 2022, the Company shall give prompt written notice (in any event no later than fifteen (15) days prior to the filing of such Registration Statement) to the holders of Registrable Securities of its intention to effect such a registration and, subject to </w:t>
      </w:r>
      <w:r>
        <w:rPr>
          <w:rFonts w:ascii="Arial" w:cs="Arial" w:eastAsia="Arial" w:hAnsi="Arial"/>
          <w:sz w:val="16"/>
          <w:szCs w:val="16"/>
          <w:b w:val="1"/>
          <w:bCs w:val="1"/>
          <w:color w:val="auto"/>
        </w:rPr>
        <w:t>Section 3(b</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3(c</w:t>
      </w:r>
      <w:r>
        <w:rPr>
          <w:rFonts w:ascii="Arial" w:cs="Arial" w:eastAsia="Arial" w:hAnsi="Arial"/>
          <w:sz w:val="16"/>
          <w:szCs w:val="16"/>
          <w:color w:val="auto"/>
        </w:rPr>
        <w:t xml:space="preserve">), shall include in such registration all Registrable Securities with respect to which the Company has received written requests for inclusion from the holders of Registrable Securities within five (5) days after the Company’s notice has been given to each such holder. A Piggyback Registration shall not be considered a Demand Registration for purposes of </w:t>
      </w:r>
      <w:r>
        <w:rPr>
          <w:rFonts w:ascii="Arial" w:cs="Arial" w:eastAsia="Arial" w:hAnsi="Arial"/>
          <w:sz w:val="16"/>
          <w:szCs w:val="16"/>
          <w:b w:val="1"/>
          <w:bCs w:val="1"/>
          <w:color w:val="auto"/>
        </w:rPr>
        <w:t>Section 2.</w:t>
      </w:r>
      <w:r>
        <w:rPr>
          <w:rFonts w:ascii="Arial" w:cs="Arial" w:eastAsia="Arial" w:hAnsi="Arial"/>
          <w:sz w:val="16"/>
          <w:szCs w:val="16"/>
          <w:color w:val="auto"/>
        </w:rPr>
        <w:t xml:space="preserve"> If any Piggyback Registration Statement pursuant to which holders of Registrable Securities have registered the offer and sale of Registrable Securities is a Registration Statement on Form S-3 or the then appropriate form for an offering to be made on a delayed or continuous basis pursuant to Rule 415 under the Securities Act or any successor rule thereto (a “</w:t>
      </w:r>
      <w:r>
        <w:rPr>
          <w:rFonts w:ascii="Arial" w:cs="Arial" w:eastAsia="Arial" w:hAnsi="Arial"/>
          <w:sz w:val="16"/>
          <w:szCs w:val="16"/>
          <w:b w:val="1"/>
          <w:bCs w:val="1"/>
          <w:color w:val="auto"/>
        </w:rPr>
        <w:t>Piggyback Shelf Registration Statement</w:t>
      </w:r>
      <w:r>
        <w:rPr>
          <w:rFonts w:ascii="Arial" w:cs="Arial" w:eastAsia="Arial" w:hAnsi="Arial"/>
          <w:sz w:val="16"/>
          <w:szCs w:val="16"/>
          <w:color w:val="auto"/>
        </w:rPr>
        <w:t>”), such holder(s) shall have the right, but not the obligation, to be notified of and to participate in any offering under such Piggyback Shelf Registration Statement (a “</w:t>
      </w:r>
      <w:r>
        <w:rPr>
          <w:rFonts w:ascii="Arial" w:cs="Arial" w:eastAsia="Arial" w:hAnsi="Arial"/>
          <w:sz w:val="16"/>
          <w:szCs w:val="16"/>
          <w:b w:val="1"/>
          <w:bCs w:val="1"/>
          <w:color w:val="auto"/>
        </w:rPr>
        <w:t>Piggyback Shelf Takedown</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4" w:firstLine="436"/>
        <w:spacing w:after="0" w:line="287" w:lineRule="auto"/>
        <w:tabs>
          <w:tab w:leader="none" w:pos="699" w:val="left"/>
        </w:tabs>
        <w:numPr>
          <w:ilvl w:val="1"/>
          <w:numId w:val="216"/>
        </w:numPr>
        <w:rPr>
          <w:rFonts w:ascii="Arial" w:cs="Arial" w:eastAsia="Arial" w:hAnsi="Arial"/>
          <w:sz w:val="16"/>
          <w:szCs w:val="16"/>
          <w:color w:val="auto"/>
        </w:rPr>
      </w:pPr>
      <w:r>
        <w:rPr>
          <w:rFonts w:ascii="Arial" w:cs="Arial" w:eastAsia="Arial" w:hAnsi="Arial"/>
          <w:sz w:val="16"/>
          <w:szCs w:val="16"/>
          <w:color w:val="auto"/>
        </w:rPr>
        <w:t>If a Piggyback Registration or Piggyback Shelf Takedown is initiated as a primary underwritten offering on behalf of the Company and the managing underwriter advises the Company and the holders of Registrable Securities (if any holders of Registrable Securities have elected to include Registrable Securities in such Piggyback Registration or Piggyback Shelf Takedown) in writing that in its reasonable and good faith opinion the number of shares of Class A Common Stock proposed to be included in such registration or takedown, including all Registrable Securities and all other shares of Class A Common Stock proposed to be included in such underwritten offering, exceeds the number of shares of Class A Common Stock which can be sold in such offering and/or that the number of shares of Class A Common Stock proposed to be included in any such registration or takedown would adversely affect the price per share of the Common Stock to be sold in such offering, (A) then in the case of the Public Offering, the Company shall include in such registration or takedown (i) first, the shares of Class A Common Stock that the Company proposes to sell; (ii) second, to Keystone and its Affiliates who hold Registrable Securities in an amount up to $15 million (or such lesser amount as Keystone or its Affiliates elect to sell and based on the number of shares to be sold multiplied by the price to the public in the offering), to the FPC Unitholders and their Affiliates who hold Registrable Securities in an amount equal to 44.67% of the amount to be sold by Keystone and its Affiliates pursuant to this clause (ii), to the TB Unitholders and their Affiliates who hold Registrable Securities in an amount up to $15 million (or such lesser amount as the TB Unitholders or its</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191" w:name="page192"/>
    <w:bookmarkEnd w:id="19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Affiliates elect to sell and based on the number of shares to be sold multiplied by the price to the public in the offering), and to the EC Unitholders and their Affiliates who hold Registrable Securities in an amount equal to 44.67% of the amount to be sold by Keystone and its Affiliates pursuant to this clause (ii) (provided, that if the number of Registrable Securities available to be included pursuant to this clause (ii) is less than $43.4 million, then Keystone will be allocated 34.56% of such available shares, the FP Unitholders will be allocated 15.44% of such available shares, the TB Unitholders will be allocated 34.56% of such available shares and the EC Unitholders will be allocated 15.44% of such available shares), (iii) third, the shares of Class A Common Stock requested to be included therein by holders of Registrable Securities, allocated pro rata among all such holders on the basis of the number of Registrable Securities owned by each such holder or in such manner as they may otherwise agree and giving effect to the amounts allocated to Keystone, the FPC Unitholders, the TB Unitholders and the EC Unitholders and their respective Affiliates in clause (ii); and (iv) fourth, the shares of Class A Common Stock requested to be included therein by holders of Class A Common Stock other than holders of Registrable Securities, allocated among such holders in such manner as they may agree and (B) then in all other cases, the Company shall include in such registration or takedown (i) first, the shares of Class A Common Stock that the Company proposes to sell; (ii) second, the shares of Class A Common Stock requested to be included therein by holders of Registrable Securities, allocated pro rata among all such holders on the basis of the number of Registrable Securities owned by each such holder or in such manner as they may otherwise agree; and (iii) third, the shares of Class A Common Stock requested to be included therein by holders of Class A Common Stock other than holders of Registrable Securities, allocated among such holders in such manner as they may agree; provided, that in any event the holders of Registrable Securities shall be entitled to register the offer and sale or distribute at least thirty percent (30%) of the securities to be included in any such registration or takedown.</w:t>
      </w:r>
    </w:p>
    <w:p>
      <w:pPr>
        <w:spacing w:after="0" w:line="176" w:lineRule="exact"/>
        <w:rPr>
          <w:sz w:val="20"/>
          <w:szCs w:val="20"/>
          <w:color w:val="auto"/>
        </w:rPr>
      </w:pPr>
    </w:p>
    <w:p>
      <w:pPr>
        <w:ind w:right="20" w:firstLine="436"/>
        <w:spacing w:after="0" w:line="287" w:lineRule="auto"/>
        <w:tabs>
          <w:tab w:leader="none" w:pos="68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If a Piggyback Registration or Piggyback Shelf Takedown is initiated as an underwritten offering on behalf of a holder of Class A Common Stock other than Registrable Securities, and the managing underwriter advises the Company in writing that in its reasonable and good faith opinion the number of shares of Class A Common Stock proposed to be included in such registration or takedown, including all Registrable Securities and all other shares of Class A Common Stock proposed to be included in such underwritten offering, exceeds the number of shares of Class A Common Stock which can be sold in such offering and/or that the number of shares of Class A Common Stock proposed to be included in any such registration or takedown would adversely affect the price per share of the Class A Common Stock to be sold in such offering, the Company shall include in such registration or takedown (i) first, the shares of Class A Common Stock requested to be included therein by the holder(s) requesting such registration or takedown and by the holders of Registrable Securities, allocated pro rata among all such holders on the basis of the number of shares of Class A Common Stock other than the Registrable Securities (on a fully diluted, as converted basis) and the number of Registrable Securities, as applicable, owned by all such holders or in such manner as they may otherwise agree; and (ii) second, the shares of Class A Common Stock requested to be included therein by other holders of Class A Common Stock, allocated among such holders in such manner as they may agree.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92" w:name="page193"/>
    <w:bookmarkEnd w:id="192"/>
    <w:p>
      <w:pPr>
        <w:ind w:left="4" w:right="200" w:firstLine="436"/>
        <w:spacing w:after="0" w:line="279" w:lineRule="auto"/>
        <w:tabs>
          <w:tab w:leader="none" w:pos="699" w:val="left"/>
        </w:tabs>
        <w:numPr>
          <w:ilvl w:val="1"/>
          <w:numId w:val="2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Piggyback Registration or Piggyback Shelf Takedown is initiated as a primary underwritten offering on behalf of the Company, the Company shall select the investment banking firm or firms to act as the managing underwriter or underwriters in connection with such offering. Each holder of Registrable Securities proposing to distribute Registrable Securities through such underwritten offering shall (together with the Company) enter into an underwriting agreement in customary form with the underwriter or underwriters selected for such underwriting.</w:t>
      </w:r>
    </w:p>
    <w:p>
      <w:pPr>
        <w:spacing w:after="0" w:line="171" w:lineRule="exact"/>
        <w:rPr>
          <w:rFonts w:ascii="Arial" w:cs="Arial" w:eastAsia="Arial" w:hAnsi="Arial"/>
          <w:sz w:val="17"/>
          <w:szCs w:val="17"/>
          <w:color w:val="auto"/>
        </w:rPr>
      </w:pPr>
    </w:p>
    <w:p>
      <w:pPr>
        <w:ind w:left="4" w:hanging="4"/>
        <w:spacing w:after="0" w:line="267" w:lineRule="auto"/>
        <w:tabs>
          <w:tab w:leader="none" w:pos="184"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Public Offering Lock-Up</w:t>
      </w:r>
      <w:r>
        <w:rPr>
          <w:rFonts w:ascii="Arial" w:cs="Arial" w:eastAsia="Arial" w:hAnsi="Arial"/>
          <w:sz w:val="17"/>
          <w:szCs w:val="17"/>
          <w:color w:val="auto"/>
        </w:rPr>
        <w:t xml:space="preserve">. Each holder of Registrable Securities agrees that in connection with a Public Offering, and upon the request of the managing underwriter in such offering, such holder shall not, without the prior written consent of such managing underwriter, during the period commencing on the effective date of such registration and ending on the date specified by such managing underwriter (such period not to exceed one hundred eighty (180) days), (i) offer, pledge, sell, contract to sell, grant any option or contract to purchase, purchase any option or contract to sell, hedge the beneficial ownership of or otherwise dispose of, directly or indirectly, any shares of Class A Common Stock or any securities convertible into, exercisable for or exchangeable for shares of Class A Common Stock held immediately before the effectiveness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Class A Common Stock or such other securities, in cash or otherwise. The foregoing provisions of this </w:t>
      </w:r>
      <w:r>
        <w:rPr>
          <w:rFonts w:ascii="Arial" w:cs="Arial" w:eastAsia="Arial" w:hAnsi="Arial"/>
          <w:sz w:val="17"/>
          <w:szCs w:val="17"/>
          <w:b w:val="1"/>
          <w:bCs w:val="1"/>
          <w:color w:val="auto"/>
        </w:rPr>
        <w:t>Section 4</w:t>
      </w:r>
      <w:r>
        <w:rPr>
          <w:rFonts w:ascii="Arial" w:cs="Arial" w:eastAsia="Arial" w:hAnsi="Arial"/>
          <w:sz w:val="17"/>
          <w:szCs w:val="17"/>
          <w:color w:val="auto"/>
        </w:rPr>
        <w:t xml:space="preserve"> shall not apply to sales of Registrable Securities to be included in such offering pursuant to </w:t>
      </w:r>
      <w:r>
        <w:rPr>
          <w:rFonts w:ascii="Arial" w:cs="Arial" w:eastAsia="Arial" w:hAnsi="Arial"/>
          <w:sz w:val="17"/>
          <w:szCs w:val="17"/>
          <w:b w:val="1"/>
          <w:bCs w:val="1"/>
          <w:color w:val="auto"/>
        </w:rPr>
        <w:t>Section 2(a)</w:t>
      </w:r>
      <w:r>
        <w:rPr>
          <w:rFonts w:ascii="Arial" w:cs="Arial" w:eastAsia="Arial" w:hAnsi="Arial"/>
          <w:sz w:val="17"/>
          <w:szCs w:val="17"/>
          <w:color w:val="auto"/>
        </w:rPr>
        <w:t xml:space="preserve">, </w:t>
      </w:r>
      <w:r>
        <w:rPr>
          <w:rFonts w:ascii="Arial" w:cs="Arial" w:eastAsia="Arial" w:hAnsi="Arial"/>
          <w:sz w:val="17"/>
          <w:szCs w:val="17"/>
          <w:b w:val="1"/>
          <w:bCs w:val="1"/>
          <w:color w:val="auto"/>
        </w:rPr>
        <w:t>Section 2(b)</w:t>
      </w:r>
      <w:r>
        <w:rPr>
          <w:rFonts w:ascii="Arial" w:cs="Arial" w:eastAsia="Arial" w:hAnsi="Arial"/>
          <w:sz w:val="17"/>
          <w:szCs w:val="17"/>
          <w:color w:val="auto"/>
        </w:rPr>
        <w:t xml:space="preserve">, </w:t>
      </w:r>
      <w:r>
        <w:rPr>
          <w:rFonts w:ascii="Arial" w:cs="Arial" w:eastAsia="Arial" w:hAnsi="Arial"/>
          <w:sz w:val="17"/>
          <w:szCs w:val="17"/>
          <w:b w:val="1"/>
          <w:bCs w:val="1"/>
          <w:color w:val="auto"/>
        </w:rPr>
        <w:t>Section 2(c)</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3(a)</w:t>
      </w:r>
      <w:r>
        <w:rPr>
          <w:rFonts w:ascii="Arial" w:cs="Arial" w:eastAsia="Arial" w:hAnsi="Arial"/>
          <w:sz w:val="17"/>
          <w:szCs w:val="17"/>
          <w:color w:val="auto"/>
        </w:rPr>
        <w:t xml:space="preserve">, and shall be applicable to the holders of Registrable Securities only if all officers and directors of the Company and all stockholders owning more than five percent (5%) of the Company’s outstanding Class A Common Stock are subject to the same restrictions. Each holder of Registrable Securities agrees to execute and deliver such other agreements as may be reasonably requested by the Company or the managing underwriter which are consistent with the foregoing or which are necessary to give further effect thereto. Notwithstanding anything to the contrary contained in this </w:t>
      </w:r>
      <w:r>
        <w:rPr>
          <w:rFonts w:ascii="Arial" w:cs="Arial" w:eastAsia="Arial" w:hAnsi="Arial"/>
          <w:sz w:val="17"/>
          <w:szCs w:val="17"/>
          <w:b w:val="1"/>
          <w:bCs w:val="1"/>
          <w:color w:val="auto"/>
        </w:rPr>
        <w:t>Section 4</w:t>
      </w:r>
      <w:r>
        <w:rPr>
          <w:rFonts w:ascii="Arial" w:cs="Arial" w:eastAsia="Arial" w:hAnsi="Arial"/>
          <w:sz w:val="17"/>
          <w:szCs w:val="17"/>
          <w:color w:val="auto"/>
        </w:rPr>
        <w:t xml:space="preserve">, each holder of Registrable Securities shall be released, pro rata, from any lock-up agreement entered into pursuant to this </w:t>
      </w:r>
      <w:r>
        <w:rPr>
          <w:rFonts w:ascii="Arial" w:cs="Arial" w:eastAsia="Arial" w:hAnsi="Arial"/>
          <w:sz w:val="17"/>
          <w:szCs w:val="17"/>
          <w:b w:val="1"/>
          <w:bCs w:val="1"/>
          <w:color w:val="auto"/>
        </w:rPr>
        <w:t>Section 4</w:t>
      </w:r>
      <w:r>
        <w:rPr>
          <w:rFonts w:ascii="Arial" w:cs="Arial" w:eastAsia="Arial" w:hAnsi="Arial"/>
          <w:sz w:val="17"/>
          <w:szCs w:val="17"/>
          <w:color w:val="auto"/>
        </w:rPr>
        <w:t xml:space="preserve"> in the event and to the extent that the managing underwriter or the Company permit any discretionary waiver or termination of the restrictions of any lock-up agreement pertaining to any officer, director or holder of greater than five percent (5%) of the outstanding Class A Common Stock.</w:t>
      </w:r>
    </w:p>
    <w:p>
      <w:pPr>
        <w:spacing w:after="0" w:line="191" w:lineRule="exact"/>
        <w:rPr>
          <w:rFonts w:ascii="Arial" w:cs="Arial" w:eastAsia="Arial" w:hAnsi="Arial"/>
          <w:sz w:val="17"/>
          <w:szCs w:val="17"/>
          <w:color w:val="auto"/>
        </w:rPr>
      </w:pPr>
    </w:p>
    <w:p>
      <w:pPr>
        <w:ind w:left="4" w:right="240" w:hanging="4"/>
        <w:spacing w:after="0" w:line="301" w:lineRule="auto"/>
        <w:tabs>
          <w:tab w:leader="none" w:pos="184"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Registration Procedures</w:t>
      </w:r>
      <w:r>
        <w:rPr>
          <w:rFonts w:ascii="Arial" w:cs="Arial" w:eastAsia="Arial" w:hAnsi="Arial"/>
          <w:sz w:val="16"/>
          <w:szCs w:val="16"/>
          <w:color w:val="auto"/>
        </w:rPr>
        <w:t>. If and whenever the holders of Registrable Securities request that the offer and sale of any Registrable Securities be registered under the Securities Act or any Registrable Securities be distributed in a Shelf Takedown pursuant to the provisions of this Agreement, the Company shall use its best efforts to effect the registration of the offer and sale of such Registrable Securities under the Securities Act in accordance with the intended method of disposition thereof, and pursuant thereto the Company shall as soon as practicable and as applicable:</w:t>
      </w:r>
    </w:p>
    <w:p>
      <w:pPr>
        <w:spacing w:after="0" w:line="45" w:lineRule="exact"/>
        <w:rPr>
          <w:rFonts w:ascii="Arial" w:cs="Arial" w:eastAsia="Arial" w:hAnsi="Arial"/>
          <w:sz w:val="16"/>
          <w:szCs w:val="16"/>
          <w:color w:val="auto"/>
        </w:rPr>
      </w:pPr>
    </w:p>
    <w:p>
      <w:pPr>
        <w:ind w:left="4" w:right="720" w:firstLine="436"/>
        <w:spacing w:after="0" w:line="282" w:lineRule="auto"/>
        <w:tabs>
          <w:tab w:leader="none" w:pos="689" w:val="left"/>
        </w:tabs>
        <w:numPr>
          <w:ilvl w:val="1"/>
          <w:numId w:val="21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Section 2(a)</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2(b)</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2(c)</w:t>
      </w:r>
      <w:r>
        <w:rPr>
          <w:rFonts w:ascii="Arial" w:cs="Arial" w:eastAsia="Arial" w:hAnsi="Arial"/>
          <w:sz w:val="18"/>
          <w:szCs w:val="18"/>
          <w:color w:val="auto"/>
        </w:rPr>
        <w:t>, prepare and file with the Commission a Registration Statement covering such Registrable Securities and use its best efforts to cause such Registration Statement to be declared effective;</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4" w:right="499" w:bottom="1440" w:gutter="0" w:footer="0" w:header="0"/>
        </w:sectPr>
      </w:pPr>
    </w:p>
    <w:bookmarkStart w:id="193" w:name="page194"/>
    <w:bookmarkEnd w:id="193"/>
    <w:p>
      <w:pPr>
        <w:ind w:left="-20" w:right="80" w:firstLine="436"/>
        <w:spacing w:after="0" w:line="257" w:lineRule="auto"/>
        <w:tabs>
          <w:tab w:leader="none" w:pos="675" w:val="left"/>
        </w:tabs>
        <w:numPr>
          <w:ilvl w:val="0"/>
          <w:numId w:val="2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Long-Form Registration or a Short-Form Registration, prepare and file with the Commission such amendments, post-effective amendments and supplements to such Registration Statement and the Prospectus used in connection therewith as may be necessary to keep such Registration Statement effective until all of such Registrable Securities have been disposed of and to comply with the provisions of the Securities Act with respect to the disposition of such Registrable Securities in accordance with the intended methods of disposition set forth in such Registration Statement;</w:t>
      </w:r>
    </w:p>
    <w:p>
      <w:pPr>
        <w:spacing w:after="0" w:line="187" w:lineRule="exact"/>
        <w:rPr>
          <w:rFonts w:ascii="Arial" w:cs="Arial" w:eastAsia="Arial" w:hAnsi="Arial"/>
          <w:sz w:val="18"/>
          <w:szCs w:val="18"/>
          <w:color w:val="auto"/>
        </w:rPr>
      </w:pPr>
    </w:p>
    <w:p>
      <w:pPr>
        <w:ind w:left="-20" w:right="80" w:firstLine="436"/>
        <w:spacing w:after="0" w:line="263" w:lineRule="auto"/>
        <w:tabs>
          <w:tab w:leader="none" w:pos="66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within a reasonable time before filing such Registration Statement, Prospectus or amendments or supplements thereto with the Commission, furnish to one counsel selected by holders of a majority of such Registrable Securities copies of such documents proposed to be filed, which documents shall be subject to the review, comment and approval of such counsel;</w:t>
      </w:r>
    </w:p>
    <w:p>
      <w:pPr>
        <w:spacing w:after="0" w:line="183" w:lineRule="exact"/>
        <w:rPr>
          <w:rFonts w:ascii="Arial" w:cs="Arial" w:eastAsia="Arial" w:hAnsi="Arial"/>
          <w:sz w:val="18"/>
          <w:szCs w:val="18"/>
          <w:color w:val="auto"/>
        </w:rPr>
      </w:pPr>
    </w:p>
    <w:p>
      <w:pPr>
        <w:ind w:left="-20" w:right="160" w:firstLine="436"/>
        <w:spacing w:after="0" w:line="263" w:lineRule="auto"/>
        <w:tabs>
          <w:tab w:leader="none" w:pos="67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notify each selling holder of Registrable Securities, promptly after the Company receives notice thereof, of the time when such Registration Statement has been declared effective or a supplement, including a Shelf Supplement, to any Prospectus forming a part of such Registration Statement has been filed with the Commission;</w:t>
      </w:r>
    </w:p>
    <w:p>
      <w:pPr>
        <w:spacing w:after="0" w:line="183" w:lineRule="exact"/>
        <w:rPr>
          <w:rFonts w:ascii="Arial" w:cs="Arial" w:eastAsia="Arial" w:hAnsi="Arial"/>
          <w:sz w:val="18"/>
          <w:szCs w:val="18"/>
          <w:color w:val="auto"/>
        </w:rPr>
      </w:pPr>
    </w:p>
    <w:p>
      <w:pPr>
        <w:ind w:left="-20" w:firstLine="436"/>
        <w:spacing w:after="0" w:line="259" w:lineRule="auto"/>
        <w:tabs>
          <w:tab w:leader="none" w:pos="66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furnish to each selling holder of Registrable Securities such number of copies of the Prospectus included in such Registration Statement (including each preliminary Prospectus) and any supplement thereto, including a Shelf Supplement (in each case including all exhibits and documents incorporated by reference therein), and such other documents as such seller may request in order to facilitate the disposition of the Registrable Securities owned by such seller;</w:t>
      </w:r>
    </w:p>
    <w:p>
      <w:pPr>
        <w:spacing w:after="0" w:line="186" w:lineRule="exact"/>
        <w:rPr>
          <w:rFonts w:ascii="Arial" w:cs="Arial" w:eastAsia="Arial" w:hAnsi="Arial"/>
          <w:sz w:val="18"/>
          <w:szCs w:val="18"/>
          <w:color w:val="auto"/>
        </w:rPr>
      </w:pPr>
    </w:p>
    <w:p>
      <w:pPr>
        <w:ind w:left="-20" w:right="160" w:firstLine="436"/>
        <w:spacing w:after="0" w:line="257" w:lineRule="auto"/>
        <w:tabs>
          <w:tab w:leader="none" w:pos="64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use its best efforts to register or qualify such Registrable Securities under such other securities or “blue sky” laws of such jurisdictions as any selling holder requests and do any and all other acts and things which may be necessary or advisable to enable such holders to consummate the disposition in such jurisdictions of the Registrable Securities owned by such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qualify generally to do business, subject itself to general taxation or consent to general service of process in any jurisdiction where it would not otherwise be required to do so but for this </w:t>
      </w:r>
      <w:r>
        <w:rPr>
          <w:rFonts w:ascii="Arial" w:cs="Arial" w:eastAsia="Arial" w:hAnsi="Arial"/>
          <w:sz w:val="18"/>
          <w:szCs w:val="18"/>
          <w:b w:val="1"/>
          <w:bCs w:val="1"/>
          <w:color w:val="auto"/>
        </w:rPr>
        <w:t>Section 5(f</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20" w:right="80" w:firstLine="436"/>
        <w:spacing w:after="0" w:line="293" w:lineRule="auto"/>
        <w:tabs>
          <w:tab w:leader="none" w:pos="67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notify each selling holder of such Registrable Securities, at any time when a Prospectus relating thereto is required to be delivered under the Securities Act, of the happening of any event that would cause the Prospectus included in such Registration Statement to contain an untrue statement of a material fact or omit any fact necessary in order to make the statements made therein, in light of the circumstances under which they were made, not misleading, and, at the request of any such holder, the Company shall prepare a supplement or amendment to such Prospectus so that, as thereafter delivered to the purchasers of such Registrable Securities, such Prospectus shall not contain an untrue statement of a material fact or omit to state any fact necessary to make the statements therein, in light of the circumstances under which they were made, not misleading;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74" w:right="479" w:bottom="1440" w:gutter="0" w:footer="0" w:header="0"/>
        </w:sectPr>
      </w:pPr>
    </w:p>
    <w:bookmarkStart w:id="194" w:name="page195"/>
    <w:bookmarkEnd w:id="194"/>
    <w:p>
      <w:pPr>
        <w:ind w:left="-20" w:right="60" w:firstLine="436"/>
        <w:spacing w:after="0" w:line="301" w:lineRule="auto"/>
        <w:tabs>
          <w:tab w:leader="none" w:pos="675" w:val="left"/>
        </w:tabs>
        <w:numPr>
          <w:ilvl w:val="0"/>
          <w:numId w:val="2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available for inspection by any selling holder of Registrable Securities, any underwriter participating in any disposition pursuant to such Registration Statement and any attorney, accountant or other agent retained by any such holder or underwriter (collectively, the “</w:t>
      </w:r>
      <w:r>
        <w:rPr>
          <w:rFonts w:ascii="Arial" w:cs="Arial" w:eastAsia="Arial" w:hAnsi="Arial"/>
          <w:sz w:val="16"/>
          <w:szCs w:val="16"/>
          <w:b w:val="1"/>
          <w:bCs w:val="1"/>
          <w:color w:val="auto"/>
        </w:rPr>
        <w:t>Inspectors</w:t>
      </w:r>
      <w:r>
        <w:rPr>
          <w:rFonts w:ascii="Arial" w:cs="Arial" w:eastAsia="Arial" w:hAnsi="Arial"/>
          <w:sz w:val="16"/>
          <w:szCs w:val="16"/>
          <w:color w:val="auto"/>
        </w:rPr>
        <w:t>”), all financial and other records, pertinent corporate documents and properties of the Company (collectively, the “</w:t>
      </w:r>
      <w:r>
        <w:rPr>
          <w:rFonts w:ascii="Arial" w:cs="Arial" w:eastAsia="Arial" w:hAnsi="Arial"/>
          <w:sz w:val="16"/>
          <w:szCs w:val="16"/>
          <w:b w:val="1"/>
          <w:bCs w:val="1"/>
          <w:color w:val="auto"/>
        </w:rPr>
        <w:t>Records</w:t>
      </w:r>
      <w:r>
        <w:rPr>
          <w:rFonts w:ascii="Arial" w:cs="Arial" w:eastAsia="Arial" w:hAnsi="Arial"/>
          <w:sz w:val="16"/>
          <w:szCs w:val="16"/>
          <w:color w:val="auto"/>
        </w:rPr>
        <w:t>”), and cause the Company’s officers, directors and employees to supply all information requested by any such Inspector in connection with such Registration Statement;</w:t>
      </w:r>
    </w:p>
    <w:p>
      <w:pPr>
        <w:spacing w:after="0" w:line="157" w:lineRule="exact"/>
        <w:rPr>
          <w:rFonts w:ascii="Arial" w:cs="Arial" w:eastAsia="Arial" w:hAnsi="Arial"/>
          <w:sz w:val="16"/>
          <w:szCs w:val="16"/>
          <w:color w:val="auto"/>
        </w:rPr>
      </w:pPr>
    </w:p>
    <w:p>
      <w:pPr>
        <w:ind w:left="-20" w:right="40" w:firstLine="436"/>
        <w:spacing w:after="0" w:line="277" w:lineRule="auto"/>
        <w:tabs>
          <w:tab w:leader="none" w:pos="63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provide a transfer agent and registrar (which may be the same entity) for all such Registrable Securities not later than the effective date of such registration;</w:t>
      </w:r>
    </w:p>
    <w:p>
      <w:pPr>
        <w:spacing w:after="0" w:line="170" w:lineRule="exact"/>
        <w:rPr>
          <w:rFonts w:ascii="Arial" w:cs="Arial" w:eastAsia="Arial" w:hAnsi="Arial"/>
          <w:sz w:val="18"/>
          <w:szCs w:val="18"/>
          <w:color w:val="auto"/>
        </w:rPr>
      </w:pPr>
    </w:p>
    <w:p>
      <w:pPr>
        <w:ind w:left="-20" w:right="260" w:firstLine="436"/>
        <w:spacing w:after="0" w:line="263" w:lineRule="auto"/>
        <w:tabs>
          <w:tab w:leader="none" w:pos="63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use its best efforts to cause such Registrable Securities to be listed on each securities exchange on which the Class A Common Stock is then listed or, if the Class A Common Stock is not then listed, on a national securities exchange selected by the holders of a majority of such Registrable Securities;</w:t>
      </w:r>
    </w:p>
    <w:p>
      <w:pPr>
        <w:spacing w:after="0" w:line="183" w:lineRule="exact"/>
        <w:rPr>
          <w:rFonts w:ascii="Arial" w:cs="Arial" w:eastAsia="Arial" w:hAnsi="Arial"/>
          <w:sz w:val="18"/>
          <w:szCs w:val="18"/>
          <w:color w:val="auto"/>
        </w:rPr>
      </w:pPr>
    </w:p>
    <w:p>
      <w:pPr>
        <w:ind w:left="-20" w:right="80" w:firstLine="436"/>
        <w:spacing w:after="0" w:line="257" w:lineRule="auto"/>
        <w:tabs>
          <w:tab w:leader="none" w:pos="67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connection with an underwritten offering, enter into such customary agreements (including underwriting and lock-up agreements in customary form) and take all such other customary actions as the holders of such Registrable Securities or the managing underwriter of such offering request in order to expedite or facilitate the disposition of such Registrable Securities (including, without limitation, making appropriate officers of the Company available to participate in “road show” and other customary marketing activities (including one-on-one meetings with prospective purchasers of the Registrable Securities));</w:t>
      </w:r>
    </w:p>
    <w:p>
      <w:pPr>
        <w:spacing w:after="0" w:line="187" w:lineRule="exact"/>
        <w:rPr>
          <w:rFonts w:ascii="Arial" w:cs="Arial" w:eastAsia="Arial" w:hAnsi="Arial"/>
          <w:sz w:val="18"/>
          <w:szCs w:val="18"/>
          <w:color w:val="auto"/>
        </w:rPr>
      </w:pPr>
    </w:p>
    <w:p>
      <w:pPr>
        <w:ind w:left="-20" w:firstLine="436"/>
        <w:spacing w:after="0" w:line="273" w:lineRule="auto"/>
        <w:tabs>
          <w:tab w:leader="none" w:pos="63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otherwise use its best efforts to comply with all applicable rules and regulations of the Commission and make available to its stockholders an earnings statement (in a form that satisfies the provisions of Section 11(a) of the Securities Act and Rule 158 under the Securities Act or any successor rule thereto) no later than thirty (30) days after the end of the 12-month period beginning with the first day of the Company’s first full fiscal quarter after the effective date of such Registration Statement, which earnings statement shall cover said 12-month period, and which requirement will be deemed to be satisfied if the Company timely files complete and accurate information on Forms 10-K, 10-Q and 8-K under the Exchange Act and otherwise complies with Rule 158 under the Securities Act or any successor rule thereto;</w:t>
      </w:r>
    </w:p>
    <w:p>
      <w:pPr>
        <w:spacing w:after="0" w:line="177" w:lineRule="exact"/>
        <w:rPr>
          <w:rFonts w:ascii="Arial" w:cs="Arial" w:eastAsia="Arial" w:hAnsi="Arial"/>
          <w:sz w:val="17"/>
          <w:szCs w:val="17"/>
          <w:color w:val="auto"/>
        </w:rPr>
      </w:pPr>
    </w:p>
    <w:p>
      <w:pPr>
        <w:ind w:left="-20" w:right="60" w:firstLine="436"/>
        <w:spacing w:after="0" w:line="275" w:lineRule="auto"/>
        <w:tabs>
          <w:tab w:leader="none" w:pos="72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furnish to each underwriter, if any, with (i) a written legal opinion of the Company’s outside counsel, dated the closing date of the offering, in form and substance as is customarily given in opinions of the Company’s counsel to underwriters in underwritten registered offerings; and (ii) on the date of the applicable Prospectus, on the effective date of any post-effective amendment to the applicable Registration Statement and at the closing of the offering, dated the respective dates of delivery thereof, a “comfort” letter signed by the Company’s independent certified public accountants in form and substance as is customarily given in accountants’ letters to underwriters in underwritten registered offerings;</w:t>
      </w:r>
    </w:p>
    <w:p>
      <w:pPr>
        <w:spacing w:after="0" w:line="172" w:lineRule="exact"/>
        <w:rPr>
          <w:rFonts w:ascii="Arial" w:cs="Arial" w:eastAsia="Arial" w:hAnsi="Arial"/>
          <w:sz w:val="17"/>
          <w:szCs w:val="17"/>
          <w:color w:val="auto"/>
        </w:rPr>
      </w:pPr>
    </w:p>
    <w:p>
      <w:pPr>
        <w:ind w:left="-20" w:right="280" w:firstLine="436"/>
        <w:spacing w:after="0" w:line="314" w:lineRule="auto"/>
        <w:tabs>
          <w:tab w:leader="none" w:pos="67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without limiting </w:t>
      </w:r>
      <w:r>
        <w:rPr>
          <w:rFonts w:ascii="Arial" w:cs="Arial" w:eastAsia="Arial" w:hAnsi="Arial"/>
          <w:sz w:val="16"/>
          <w:szCs w:val="16"/>
          <w:b w:val="1"/>
          <w:bCs w:val="1"/>
          <w:color w:val="auto"/>
        </w:rPr>
        <w:t>Section 5(f</w:t>
      </w:r>
      <w:r>
        <w:rPr>
          <w:rFonts w:ascii="Arial" w:cs="Arial" w:eastAsia="Arial" w:hAnsi="Arial"/>
          <w:sz w:val="16"/>
          <w:szCs w:val="16"/>
          <w:color w:val="auto"/>
        </w:rPr>
        <w:t>), use its best efforts to cause such Registrable Securities to be registered with or approved by such other governmental agencies or authorities as may be necessary by virtue of the business and operations of the Company to enable the holders of such Registrable Securities to consummate the disposition of such Registrable Securities in accordance with their intended method of distribution thereof;</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4" w:right="479" w:bottom="1440" w:gutter="0" w:footer="0" w:header="0"/>
        </w:sectPr>
      </w:pPr>
    </w:p>
    <w:bookmarkStart w:id="195" w:name="page196"/>
    <w:bookmarkEnd w:id="195"/>
    <w:p>
      <w:pPr>
        <w:ind w:left="-40" w:right="840" w:firstLine="436"/>
        <w:spacing w:after="0" w:line="277" w:lineRule="auto"/>
        <w:tabs>
          <w:tab w:leader="none" w:pos="655"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notify the holders of Registrable Securities promptly of any request by the Commission for the amending or supplementing of such Registration Statement or Prospectus or for additional information;</w:t>
      </w:r>
    </w:p>
    <w:p>
      <w:pPr>
        <w:spacing w:after="0" w:line="170" w:lineRule="exact"/>
        <w:rPr>
          <w:rFonts w:ascii="Arial" w:cs="Arial" w:eastAsia="Arial" w:hAnsi="Arial"/>
          <w:sz w:val="18"/>
          <w:szCs w:val="18"/>
          <w:color w:val="auto"/>
        </w:rPr>
      </w:pPr>
    </w:p>
    <w:p>
      <w:pPr>
        <w:ind w:left="-40" w:firstLine="436"/>
        <w:spacing w:after="0" w:line="259" w:lineRule="auto"/>
        <w:tabs>
          <w:tab w:leader="none" w:pos="65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advise the holders of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best efforts to prevent the issuance of any stop order or to obtain its withdrawal at the earliest possible moment if such stop order should be issued;</w:t>
      </w:r>
    </w:p>
    <w:p>
      <w:pPr>
        <w:spacing w:after="0" w:line="186" w:lineRule="exact"/>
        <w:rPr>
          <w:rFonts w:ascii="Arial" w:cs="Arial" w:eastAsia="Arial" w:hAnsi="Arial"/>
          <w:sz w:val="18"/>
          <w:szCs w:val="18"/>
          <w:color w:val="auto"/>
        </w:rPr>
      </w:pPr>
    </w:p>
    <w:p>
      <w:pPr>
        <w:ind w:left="-40" w:right="120" w:firstLine="436"/>
        <w:spacing w:after="0" w:line="279" w:lineRule="auto"/>
        <w:tabs>
          <w:tab w:leader="none" w:pos="65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permit any holder of Registrable Securities which holder, in its sole and exclusive judgment, might be deemed to be an underwriter or a “controlling person” (within the meaning of Section 15 of the Securities Act and Section 20 of the Exchange Act) (a “</w:t>
      </w:r>
      <w:r>
        <w:rPr>
          <w:rFonts w:ascii="Arial" w:cs="Arial" w:eastAsia="Arial" w:hAnsi="Arial"/>
          <w:sz w:val="17"/>
          <w:szCs w:val="17"/>
          <w:b w:val="1"/>
          <w:bCs w:val="1"/>
          <w:color w:val="auto"/>
        </w:rPr>
        <w:t>Controlling Person</w:t>
      </w:r>
      <w:r>
        <w:rPr>
          <w:rFonts w:ascii="Arial" w:cs="Arial" w:eastAsia="Arial" w:hAnsi="Arial"/>
          <w:sz w:val="17"/>
          <w:szCs w:val="17"/>
          <w:color w:val="auto"/>
        </w:rPr>
        <w:t>”) of the Company, to participate in the preparation of such Registration Statement and to require the insertion therein of language, furnished to the Company in writing, which in the reasonable judgment of such holder and its counsel should be included;</w:t>
      </w:r>
    </w:p>
    <w:p>
      <w:pPr>
        <w:spacing w:after="0" w:line="171" w:lineRule="exact"/>
        <w:rPr>
          <w:rFonts w:ascii="Arial" w:cs="Arial" w:eastAsia="Arial" w:hAnsi="Arial"/>
          <w:sz w:val="17"/>
          <w:szCs w:val="17"/>
          <w:color w:val="auto"/>
        </w:rPr>
      </w:pPr>
    </w:p>
    <w:p>
      <w:pPr>
        <w:ind w:left="-40" w:right="140" w:firstLine="436"/>
        <w:spacing w:after="0" w:line="255" w:lineRule="auto"/>
        <w:tabs>
          <w:tab w:leader="none" w:pos="62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cooperate with the holders of the Registrable Securities to facilitate the timely preparation and delivery of certificates representing the Registrable Securities to be sold pursuant to such Registration Statement or Rule 144 free of any restrictive legends and representing such number of shares of Class A Common Stock and registered in such names as the holders of the Registrable Securities may reasonably request a reasonable period of time prior to sales of Registrable Securities pursuant to such Registration Statement or Rule 144; provided, that the Company may satisfy its obligations hereunder without issuing physical stock certificates through the use of the Depository Trust Company’s Direct Registration System (the “</w:t>
      </w:r>
      <w:r>
        <w:rPr>
          <w:rFonts w:ascii="Arial" w:cs="Arial" w:eastAsia="Arial" w:hAnsi="Arial"/>
          <w:sz w:val="18"/>
          <w:szCs w:val="18"/>
          <w:b w:val="1"/>
          <w:bCs w:val="1"/>
          <w:color w:val="auto"/>
        </w:rPr>
        <w:t>DTCDRS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40" w:right="20" w:firstLine="436"/>
        <w:spacing w:after="0" w:line="311" w:lineRule="auto"/>
        <w:tabs>
          <w:tab w:leader="none" w:pos="63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not later than the effective date of such Registration Statement, provide a CUSIP number for all Registrable Securities and provide the applicable transfer agent with printed certificates for the Registrable Securities which are in a form eligible for deposit with The Depository Trust Company; provided, that the Company may satisfy its obligations hereunder without issuing physical stock certificates through the use of the DTCDRS;</w:t>
      </w:r>
    </w:p>
    <w:p>
      <w:pPr>
        <w:spacing w:after="0" w:line="148" w:lineRule="exact"/>
        <w:rPr>
          <w:rFonts w:ascii="Arial" w:cs="Arial" w:eastAsia="Arial" w:hAnsi="Arial"/>
          <w:sz w:val="16"/>
          <w:szCs w:val="16"/>
          <w:color w:val="auto"/>
        </w:rPr>
      </w:pPr>
    </w:p>
    <w:p>
      <w:pPr>
        <w:ind w:left="-40" w:right="560" w:firstLine="436"/>
        <w:spacing w:after="0" w:line="308" w:lineRule="auto"/>
        <w:tabs>
          <w:tab w:leader="none" w:pos="61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take no direct or indirect action prohibited by Regulation M under the Exchange Act; provided, that, to the extent that any prohibition is applicable to the Company, the Company will take all reasonable action to make any such prohibition inapplicable; and</w:t>
      </w:r>
    </w:p>
    <w:p>
      <w:pPr>
        <w:spacing w:after="0" w:line="146" w:lineRule="exact"/>
        <w:rPr>
          <w:rFonts w:ascii="Arial" w:cs="Arial" w:eastAsia="Arial" w:hAnsi="Arial"/>
          <w:sz w:val="17"/>
          <w:szCs w:val="17"/>
          <w:color w:val="auto"/>
        </w:rPr>
      </w:pPr>
    </w:p>
    <w:p>
      <w:pPr>
        <w:ind w:left="660" w:hanging="264"/>
        <w:spacing w:after="0"/>
        <w:tabs>
          <w:tab w:leader="none" w:pos="6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otherwise use its best efforts to take all other steps necessary to effect the registration of such Registrable Securities contemplated hereby.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80" w:top="274" w:right="479" w:bottom="1440" w:gutter="0" w:footer="0" w:header="0"/>
        </w:sectPr>
      </w:pPr>
    </w:p>
    <w:bookmarkStart w:id="196" w:name="page197"/>
    <w:bookmarkEnd w:id="196"/>
    <w:p>
      <w:pPr>
        <w:ind w:left="4" w:right="40" w:hanging="4"/>
        <w:spacing w:after="0" w:line="286" w:lineRule="auto"/>
        <w:tabs>
          <w:tab w:leader="none" w:pos="184"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w:t>
      </w:r>
      <w:r>
        <w:rPr>
          <w:rFonts w:ascii="Arial" w:cs="Arial" w:eastAsia="Arial" w:hAnsi="Arial"/>
          <w:sz w:val="16"/>
          <w:szCs w:val="16"/>
          <w:color w:val="auto"/>
        </w:rPr>
        <w:t xml:space="preserve">. All expenses (other than Selling Expenses) incurred by the Company in complying with its obligations pursuant to this Agreement and in connection with the registration and disposition of Registrable Securities shall be paid by the Company, including, without limitation, all (i) registration and filing fees (including, without limitation, any fees relating to filings required to be made with, or the listing of any Registrable Securities on, any securities exchange or over-the-counter trading market on which the Registrable Securities are listed or quoted); (ii) underwriting expenses (other than fees, commissions or discounts); (iii) expenses of any audits incident to or required by any such registration; (iv) fees and expenses of complying with securities and “blue sky” laws (including, without limitation, fees and disbursements of counsel for the Company in connection with “blue sky” qualifications or exemptions of the Registrable Securities); (v) printing expenses; (vi) messenger, telephone and delivery expenses; (vii) fees and expenses of the Company’s counsel and accountants; (viii) Financial Industry Regulatory Authority, Inc. filing fees (if any); and (ix) fees and expenses of one counsel for the holders of Registrable Securities participating in such registration as a group (selected by, in the case of a registration under </w:t>
      </w:r>
      <w:r>
        <w:rPr>
          <w:rFonts w:ascii="Arial" w:cs="Arial" w:eastAsia="Arial" w:hAnsi="Arial"/>
          <w:sz w:val="16"/>
          <w:szCs w:val="16"/>
          <w:b w:val="1"/>
          <w:bCs w:val="1"/>
          <w:color w:val="auto"/>
        </w:rPr>
        <w:t>Section 2(a)</w:t>
      </w:r>
      <w:r>
        <w:rPr>
          <w:rFonts w:ascii="Arial" w:cs="Arial" w:eastAsia="Arial" w:hAnsi="Arial"/>
          <w:sz w:val="16"/>
          <w:szCs w:val="16"/>
          <w:color w:val="auto"/>
        </w:rPr>
        <w:t>, the holders of a majority of the Registrable Securities initially requesting such registration, and, in the case of all other registrations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the holders of a majority of the Registrable Securities included in the registration).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and the expense of any annual audits. All Selling Expenses relating to the offer and sale of Registrable Securities registered under the Securities Act pursuant to this Agreement shall be borne and paid by the holders of such Registrable Securities, in proportion to the number of Registrable Securities included in such registration for each such holder.</w:t>
      </w:r>
    </w:p>
    <w:p>
      <w:pPr>
        <w:spacing w:after="0" w:line="167" w:lineRule="exact"/>
        <w:rPr>
          <w:rFonts w:ascii="Arial" w:cs="Arial" w:eastAsia="Arial" w:hAnsi="Arial"/>
          <w:sz w:val="16"/>
          <w:szCs w:val="16"/>
          <w:color w:val="auto"/>
        </w:rPr>
      </w:pPr>
    </w:p>
    <w:p>
      <w:pPr>
        <w:ind w:left="184" w:hanging="184"/>
        <w:spacing w:after="0"/>
        <w:tabs>
          <w:tab w:leader="none" w:pos="184"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436"/>
        <w:spacing w:after="0" w:line="286" w:lineRule="auto"/>
        <w:tabs>
          <w:tab w:leader="none" w:pos="689"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Company shall indemnify and hold harmless, to the fullest extent permitted by law, each holder of Registrable Securities, such holder’s officers, directors, managers, members, partners, stockholders and Affiliates, each underwriter, broker or any other Person acting on behalf of such holder of Registrable Securities and each other Controlling Person, if any, who controls any of the foregoing Persons, against all losses, claims, actions, damages, liabilities and expenses, joint or several, to which any of the foregoing Persons may become subject under the Securities Act or otherwise, insofar as such losses, claims, actions, damages, liabilities or expenses arise out of or are based upon any untrue or alleged untrue statement of a material fact contained in any Registration Statement, Prospectus, preliminary Prospectus, free writing prospectus (as defined in Rule 405 under the Securities Act or any successor rule thereto) or any amendment thereof or supplement thereto or any omission or alleged omission of a material fact required to be stated therein or necessary to make the statements therein (in the case of a Prospectus, preliminary Prospectus or free writing prospectus, in light of the circumstances under which they were made) not misleading; and shall reimburse such Persons for any legal or other expenses reasonably incurred by any of them in connection with investigating or defending any such loss, claim, action, damage or liability, except insofar as the same are caused by or contained in any information furnished in writing to the Company by such holder expressly for use therein or by such holder’s failure to deliver a copy of the Registration Statement, Prospectus, preliminary Prospectus, free writing prospectus (as defined in Rule 405 under the Securities Act or any successor rule thereto) or any amendments or supplements thereto (if the same was required by applicable law to be so delivered) after the Company has furnished such holder with a sufficient number of copies of the same prior to any written confirmation of the sale of Registrable Securities. This indemnity shall be in addition to any liability the Company may otherwise have.</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97" w:name="page198"/>
    <w:bookmarkEnd w:id="197"/>
    <w:p>
      <w:pPr>
        <w:ind w:left="4" w:firstLine="436"/>
        <w:spacing w:after="0" w:line="268" w:lineRule="auto"/>
        <w:tabs>
          <w:tab w:leader="none" w:pos="699" w:val="left"/>
        </w:tabs>
        <w:numPr>
          <w:ilvl w:val="1"/>
          <w:numId w:val="2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connection with any registration in which a holder of Registrable Securities is participating, each such holder shall furnish to the Company in writing such information as the Company reasonably requests for use in connection with any such Registration Statement or Prospectus and, to the extent permitted by law, shall indemnify and hold harmless, the Company, each director of the Company, each officer of the Company who shall sign such Registration Statement, each underwriter, broker or other Person acting on behalf of the holders of Registrable Securities and each Controlling Person who controls any of the foregoing Persons against any losses, claims, actions, damages, liabilities or expenses resulting from any untrue or alleged untrue statement of material fact contained in the Registration Statement, Prospectus, preliminary Prospectus, free writing prospectus (as defined in Rule 405 under the Securities Act or any successor rule thereto) or any amendment thereof or supplement thereto or any omission or alleged omission of a material fact required to be stated therein or necessary to make the statements therein (in the case of a Prospectus, preliminary Prospectus or free writing prospectus, in light of the circumstances under which they were made) not misleading, but only to the extent that such untrue statement or omission is contained in any information so furnished in writing by such holder; </w:t>
      </w:r>
      <w:r>
        <w:rPr>
          <w:rFonts w:ascii="Arial" w:cs="Arial" w:eastAsia="Arial" w:hAnsi="Arial"/>
          <w:sz w:val="17"/>
          <w:szCs w:val="17"/>
          <w:u w:val="single" w:color="auto"/>
          <w:color w:val="auto"/>
        </w:rPr>
        <w:t>provided</w:t>
      </w:r>
      <w:r>
        <w:rPr>
          <w:rFonts w:ascii="Arial" w:cs="Arial" w:eastAsia="Arial" w:hAnsi="Arial"/>
          <w:sz w:val="17"/>
          <w:szCs w:val="17"/>
          <w:color w:val="auto"/>
        </w:rPr>
        <w:t>, that the obligation to indemnify shall be several, not joint and several, for each holder and shall not exceed an amount equal to the net proceeds (after underwriting fees, commissions or discounts) actually received by such holder from the sale of Registrable Securities pursuant to such Registration Statement. This indemnity shall be in addition to any liability the selling holder may otherwise have.</w:t>
      </w:r>
    </w:p>
    <w:p>
      <w:pPr>
        <w:spacing w:after="0" w:line="182" w:lineRule="exact"/>
        <w:rPr>
          <w:rFonts w:ascii="Arial" w:cs="Arial" w:eastAsia="Arial" w:hAnsi="Arial"/>
          <w:sz w:val="17"/>
          <w:szCs w:val="17"/>
          <w:color w:val="auto"/>
        </w:rPr>
      </w:pPr>
    </w:p>
    <w:p>
      <w:pPr>
        <w:ind w:left="4" w:right="160" w:firstLine="436"/>
        <w:spacing w:after="0" w:line="284" w:lineRule="auto"/>
        <w:tabs>
          <w:tab w:leader="none" w:pos="689"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of notice of the commencement of any action involving a claim referred to in this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7, such indemnified party shall, if a claim in respect thereof is made against an indemnifying party, give written notice to the latter of the commencement of such action. The failure of any indemnified party to notify an indemnifying party of any such action shall not (unless such failure shall have a material adverse effect on the indemnifying party) relieve the indemnifying party from any liability in respect of such action that it may have to such indemnified party hereunder. In case any such action is brought against an indemnified party, the indemnifying party shall be entitled to participate in and to assume the defense of the claims in any such action that are subject or potentially subject to indemnification hereunder, jointly with any other indemnifying party similarly notified to the extent that it may wish, with counsel reasonably satisfactory to such indemnified party, and after written notice from the indemnifying party to such indemnified party of its election so to assume the defense thereof, the indemnifying party shall not be responsible for any legal or other expenses subsequently incurred by the indemnified party in connection with the defense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if</w:t>
      </w:r>
    </w:p>
    <w:p>
      <w:pPr>
        <w:spacing w:after="0" w:line="2" w:lineRule="exact"/>
        <w:rPr>
          <w:rFonts w:ascii="Arial" w:cs="Arial" w:eastAsia="Arial" w:hAnsi="Arial"/>
          <w:sz w:val="16"/>
          <w:szCs w:val="16"/>
          <w:color w:val="auto"/>
        </w:rPr>
      </w:pPr>
    </w:p>
    <w:p>
      <w:pPr>
        <w:ind w:left="4" w:hanging="4"/>
        <w:spacing w:after="0" w:line="253" w:lineRule="auto"/>
        <w:tabs>
          <w:tab w:leader="none" w:pos="21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indemnified party shall have reasonably concluded that there may be one or more legal or equitable defenses available to such indemnified party which are additional to or conflict with those available to the indemnifying party, or that such claim or litigation involves or could have an effect upon matters beyond the scope of the indemnity provided hereunder, or (ii) such action seeks an injunction or equitable relief against any indemnified party or involves actual or alleged criminal activity, the indemnifying party shall not have the right to assume the defense of such action on behalf of such indemnified party without such indemnified party’s prior written consent (but,</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198" w:name="page199"/>
    <w:bookmarkEnd w:id="198"/>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such consent, shall have the right to participate therein with counsel of its choice) and such indemnifying party shall reimburse such indemnified party and any Controlling Person of such indemnified party for that portion of the fees and expenses of any counsel retained by the indemnified party which is reasonably related to the matters covered by the indemnity provided hereunder. If the indemnifying party is not entitled to, or elects not to, assume the defense of a claim, it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conflicting indemnified parties shall have a right to retain one separate counsel, chosen by the holders of a majority of the Registrable Securities included in the registration, at the expense of the indemnifying party.</w:t>
      </w:r>
    </w:p>
    <w:p>
      <w:pPr>
        <w:spacing w:after="0" w:line="192" w:lineRule="exact"/>
        <w:rPr>
          <w:sz w:val="20"/>
          <w:szCs w:val="20"/>
          <w:color w:val="auto"/>
        </w:rPr>
      </w:pPr>
    </w:p>
    <w:p>
      <w:pPr>
        <w:ind w:left="4" w:right="20" w:firstLine="436"/>
        <w:spacing w:after="0" w:line="267" w:lineRule="auto"/>
        <w:tabs>
          <w:tab w:leader="none" w:pos="699" w:val="left"/>
        </w:tabs>
        <w:numPr>
          <w:ilvl w:val="1"/>
          <w:numId w:val="226"/>
        </w:numPr>
        <w:rPr>
          <w:rFonts w:ascii="Arial" w:cs="Arial" w:eastAsia="Arial" w:hAnsi="Arial"/>
          <w:sz w:val="17"/>
          <w:szCs w:val="17"/>
          <w:color w:val="auto"/>
        </w:rPr>
      </w:pPr>
      <w:r>
        <w:rPr>
          <w:rFonts w:ascii="Arial" w:cs="Arial" w:eastAsia="Arial" w:hAnsi="Arial"/>
          <w:sz w:val="17"/>
          <w:szCs w:val="17"/>
          <w:color w:val="auto"/>
        </w:rPr>
        <w:t>If the indemnification provided for hereunder is held by a court of competent jurisdiction to be unavailable to an indemnified party with respect to any loss, claim, damage, liability or action referred to herein, then the indemnifying party, in lieu of indemnifying such indemnified party hereunder, shall contribute to the amounts paid or payable by such indemnified party as a result of such loss, claim, damage, liability or action in such proportion as is appropriate to reflect the relative fault of the indemnifying party on the one hand and of the indemnified party on the other in connection with the statements or omissions which resulted in such loss, claim, damage, liability or action as well as any other relevant equitable considerations; provided, that the maximum amount of liability in respect of such contribution shall be limited, in the case of each holder of Registrable Securities, to an amount equal to the net proceeds (after underwriting fees, commissions or discounts) actually received by such seller from the sale of Registrable Securities effected pursuant to such registration.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whether the violation of the Securities Act or any other similar federal or state securities laws or rule or regulation promulgated thereunder applicable to the Company and relating to action or inaction required of the Company in connection with any applicable registration, qualification or compliance was perpetrated by the indemnifying party or the indemnified party and the parties’ relative intent, knowledge, access to information and opportunity to correct or prevent such statement or omission. The parties agree that it would not be just and equitable if contribution pursuant hereto were determined by pro rata allocation or by any other method or allocation which does not take account of the equitable considerations referred to herein. No Person guilty or liable of fraudulent misrepresentation within the meaning of Section 11(f) of the Securities Act shall be entitled to contribution from any Person who was not guilty of such fraudulent misrepresentation.</w:t>
      </w:r>
    </w:p>
    <w:p>
      <w:pPr>
        <w:spacing w:after="0" w:line="191" w:lineRule="exact"/>
        <w:rPr>
          <w:rFonts w:ascii="Arial" w:cs="Arial" w:eastAsia="Arial" w:hAnsi="Arial"/>
          <w:sz w:val="17"/>
          <w:szCs w:val="17"/>
          <w:color w:val="auto"/>
        </w:rPr>
      </w:pPr>
    </w:p>
    <w:p>
      <w:pPr>
        <w:ind w:left="184" w:hanging="184"/>
        <w:spacing w:after="0"/>
        <w:tabs>
          <w:tab w:leader="none" w:pos="184"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Participation in Underwritten Registrations</w:t>
      </w:r>
      <w:r>
        <w:rPr>
          <w:rFonts w:ascii="Arial" w:cs="Arial" w:eastAsia="Arial" w:hAnsi="Arial"/>
          <w:sz w:val="17"/>
          <w:szCs w:val="17"/>
          <w:color w:val="auto"/>
        </w:rPr>
        <w:t>. No Person may participate in any registration hereunder which is underwritten unless such Person</w:t>
      </w:r>
    </w:p>
    <w:p>
      <w:pPr>
        <w:spacing w:after="0" w:line="35" w:lineRule="exact"/>
        <w:rPr>
          <w:sz w:val="20"/>
          <w:szCs w:val="20"/>
          <w:color w:val="auto"/>
        </w:rPr>
      </w:pPr>
    </w:p>
    <w:p>
      <w:pPr>
        <w:ind w:left="4" w:right="120" w:hanging="4"/>
        <w:spacing w:after="0" w:line="302" w:lineRule="auto"/>
        <w:tabs>
          <w:tab w:leader="none" w:pos="24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agrees to sell such Person’s securities on the basis provided in any underwriting arrangements approved by the Person or Persons entitled hereunder to approve such arrangements and (b) completes and executes all questionnaires, powers of attorney, indemnities, underwriting agreements and other documents reasonably required under the terms of such underwriting arrangements; provided, that no holder of Registrable Securities</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199" w:name="page200"/>
    <w:bookmarkEnd w:id="199"/>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included in any underwritten registration shall be required to make any representations or warranties to the Company or the underwriters (other than representations and warranties regarding such holder, such holder’s ownership of its shares of Class A Common Stock to be sold in the offering and such holder’s intended method of distribution) or to undertake any indemnification obligations to the Company or the underwriters with respect thereto, except as otherwise provided in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7.</w:t>
      </w:r>
    </w:p>
    <w:p>
      <w:pPr>
        <w:spacing w:after="0" w:line="187" w:lineRule="exact"/>
        <w:rPr>
          <w:sz w:val="20"/>
          <w:szCs w:val="20"/>
          <w:color w:val="auto"/>
        </w:rPr>
      </w:pPr>
    </w:p>
    <w:p>
      <w:pPr>
        <w:ind w:left="4" w:right="60" w:hanging="4"/>
        <w:spacing w:after="0" w:line="286" w:lineRule="auto"/>
        <w:tabs>
          <w:tab w:leader="none" w:pos="184"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Rule 144 Compliance</w:t>
      </w:r>
      <w:r>
        <w:rPr>
          <w:rFonts w:ascii="Arial" w:cs="Arial" w:eastAsia="Arial" w:hAnsi="Arial"/>
          <w:sz w:val="17"/>
          <w:szCs w:val="17"/>
          <w:color w:val="auto"/>
        </w:rPr>
        <w:t>. With a view to making available to the holders of Registrable Securities the benefits of Rule 144 and any other rule or regulation of the Commission that may at any time permit a holder to sell securities of the Company to the public without registration, at any time when the Company is subject to filing obligations under Section 13(a) or Section 15(d) of the Exchange Act, the Company shall:</w:t>
      </w:r>
    </w:p>
    <w:p>
      <w:pPr>
        <w:spacing w:after="0" w:line="165" w:lineRule="exact"/>
        <w:rPr>
          <w:rFonts w:ascii="Arial" w:cs="Arial" w:eastAsia="Arial" w:hAnsi="Arial"/>
          <w:sz w:val="17"/>
          <w:szCs w:val="17"/>
          <w:color w:val="auto"/>
        </w:rPr>
      </w:pPr>
    </w:p>
    <w:p>
      <w:pPr>
        <w:ind w:left="684" w:hanging="244"/>
        <w:spacing w:after="0"/>
        <w:tabs>
          <w:tab w:leader="none" w:pos="68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225" w:lineRule="exact"/>
        <w:rPr>
          <w:rFonts w:ascii="Arial" w:cs="Arial" w:eastAsia="Arial" w:hAnsi="Arial"/>
          <w:sz w:val="18"/>
          <w:szCs w:val="18"/>
          <w:color w:val="auto"/>
        </w:rPr>
      </w:pPr>
    </w:p>
    <w:p>
      <w:pPr>
        <w:ind w:left="4" w:right="140" w:firstLine="436"/>
        <w:spacing w:after="0" w:line="277" w:lineRule="auto"/>
        <w:tabs>
          <w:tab w:leader="none" w:pos="69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use best efforts to file with the Commission in a timely manner all reports and other documents required of the Company under the Securities Act and the Exchange Act; and</w:t>
      </w:r>
    </w:p>
    <w:p>
      <w:pPr>
        <w:spacing w:after="0" w:line="170" w:lineRule="exact"/>
        <w:rPr>
          <w:rFonts w:ascii="Arial" w:cs="Arial" w:eastAsia="Arial" w:hAnsi="Arial"/>
          <w:sz w:val="18"/>
          <w:szCs w:val="18"/>
          <w:color w:val="auto"/>
        </w:rPr>
      </w:pPr>
    </w:p>
    <w:p>
      <w:pPr>
        <w:jc w:val="both"/>
        <w:ind w:left="4" w:right="200" w:firstLine="436"/>
        <w:spacing w:after="0" w:line="259" w:lineRule="auto"/>
        <w:tabs>
          <w:tab w:leader="none" w:pos="68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furnish to any holder so long as the holder owns Registrable Securities, promptly upon request, a written statement by the Company as to its compliance with the reporting requirements of Rule 144 and of the Securities Act and the Exchange Act, a copy of the most recent annual or quarterly report of the Company, and such other reports and documents so filed or furnished by the Company as such holder may request in connection with the sale of Registrable Securities without registration.</w:t>
      </w:r>
    </w:p>
    <w:p>
      <w:pPr>
        <w:spacing w:after="0" w:line="186" w:lineRule="exact"/>
        <w:rPr>
          <w:rFonts w:ascii="Arial" w:cs="Arial" w:eastAsia="Arial" w:hAnsi="Arial"/>
          <w:sz w:val="18"/>
          <w:szCs w:val="18"/>
          <w:color w:val="auto"/>
        </w:rPr>
      </w:pPr>
    </w:p>
    <w:p>
      <w:pPr>
        <w:ind w:left="4" w:right="180" w:hanging="4"/>
        <w:spacing w:after="0" w:line="263" w:lineRule="auto"/>
        <w:tabs>
          <w:tab w:leader="none" w:pos="274"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Preservation of Rights</w:t>
      </w:r>
      <w:r>
        <w:rPr>
          <w:rFonts w:ascii="Arial" w:cs="Arial" w:eastAsia="Arial" w:hAnsi="Arial"/>
          <w:sz w:val="18"/>
          <w:szCs w:val="18"/>
          <w:color w:val="auto"/>
        </w:rPr>
        <w:t>. Without the prior written consent of the holders of a majority of the Registrable Securities, the Company shall not (a) grant any registration rights, or (b) enter into any agreement, take any action, or permit any change to occur, with respect to its securities that violates or subordinates the rights expressly granted to the holders of Registrable Securities in this Agreement.</w:t>
      </w:r>
    </w:p>
    <w:p>
      <w:pPr>
        <w:spacing w:after="0" w:line="183" w:lineRule="exact"/>
        <w:rPr>
          <w:rFonts w:ascii="Arial" w:cs="Arial" w:eastAsia="Arial" w:hAnsi="Arial"/>
          <w:sz w:val="18"/>
          <w:szCs w:val="18"/>
          <w:color w:val="auto"/>
        </w:rPr>
      </w:pPr>
    </w:p>
    <w:p>
      <w:pPr>
        <w:ind w:left="4" w:right="40" w:hanging="4"/>
        <w:spacing w:after="0" w:line="275" w:lineRule="auto"/>
        <w:tabs>
          <w:tab w:leader="none" w:pos="267"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Alternative Entities</w:t>
      </w:r>
      <w:r>
        <w:rPr>
          <w:rFonts w:ascii="Arial" w:cs="Arial" w:eastAsia="Arial" w:hAnsi="Arial"/>
          <w:sz w:val="17"/>
          <w:szCs w:val="17"/>
          <w:color w:val="auto"/>
        </w:rPr>
        <w:t>. In the event that the Company elects to effect an underwritten registered offering of equity securities of any subsidiary or parent of the Company (collectively, “</w:t>
      </w:r>
      <w:r>
        <w:rPr>
          <w:rFonts w:ascii="Arial" w:cs="Arial" w:eastAsia="Arial" w:hAnsi="Arial"/>
          <w:sz w:val="17"/>
          <w:szCs w:val="17"/>
          <w:b w:val="1"/>
          <w:bCs w:val="1"/>
          <w:color w:val="auto"/>
        </w:rPr>
        <w:t>Alternative Entities</w:t>
      </w:r>
      <w:r>
        <w:rPr>
          <w:rFonts w:ascii="Arial" w:cs="Arial" w:eastAsia="Arial" w:hAnsi="Arial"/>
          <w:sz w:val="17"/>
          <w:szCs w:val="17"/>
          <w:color w:val="auto"/>
        </w:rPr>
        <w:t>”) rather than the equity securities of the Company, whether as a result of a reorganization of the Company or otherwise, the Investors and the Company shall cause the Alternative Entity to enter into an agreement with the Investors that provides the Investors with registration rights with respect to the equity securities of the Alternative Entity that are substantially the same as, and in any event no less favorable in the aggregate to, the registration rights provided to the Investors in this Agreement.</w:t>
      </w:r>
    </w:p>
    <w:p>
      <w:pPr>
        <w:spacing w:after="0" w:line="176" w:lineRule="exact"/>
        <w:rPr>
          <w:rFonts w:ascii="Arial" w:cs="Arial" w:eastAsia="Arial" w:hAnsi="Arial"/>
          <w:sz w:val="17"/>
          <w:szCs w:val="17"/>
          <w:color w:val="auto"/>
        </w:rPr>
      </w:pPr>
    </w:p>
    <w:p>
      <w:pPr>
        <w:ind w:left="264" w:hanging="264"/>
        <w:spacing w:after="0"/>
        <w:tabs>
          <w:tab w:leader="none" w:pos="264"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As to any particular Registrable Securities, such securities shall cease to be Registrable Securities at the earliest of the following:</w:t>
      </w:r>
    </w:p>
    <w:p>
      <w:pPr>
        <w:spacing w:after="0" w:line="35" w:lineRule="exact"/>
        <w:rPr>
          <w:sz w:val="20"/>
          <w:szCs w:val="20"/>
          <w:color w:val="auto"/>
        </w:rPr>
      </w:pPr>
    </w:p>
    <w:p>
      <w:pPr>
        <w:ind w:left="4" w:right="280" w:hanging="4"/>
        <w:spacing w:after="0" w:line="260" w:lineRule="auto"/>
        <w:tabs>
          <w:tab w:leader="none" w:pos="21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when a registration statement registering such securities under the Securities Act has been declared effective and such securities have been sold or otherwise transferred by the holder thereof pursuant to such effective registration statement,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00" w:name="page201"/>
    <w:bookmarkEnd w:id="200"/>
    <w:p>
      <w:pPr>
        <w:ind w:left="4" w:right="40" w:hanging="4"/>
        <w:spacing w:after="0" w:line="279" w:lineRule="auto"/>
        <w:tabs>
          <w:tab w:leader="none" w:pos="269" w:val="left"/>
        </w:tabs>
        <w:numPr>
          <w:ilvl w:val="0"/>
          <w:numId w:val="2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such securities shall have been distributed pursuant to Rule 144 under the Securities Act, (iii) when such securities shall have been otherwise transferred in a transaction in which the transferor’s rights under this Agreement are not assigned to the transferee of such securities, (iv) when such securities are no longer outstanding and (v) at any time following the Public Offering and with respect to any Investor, when such Investor together with its Affiliates ceases to own at least 1.0% of the then-outstanding shares of Common Stock.</w:t>
      </w:r>
    </w:p>
    <w:p>
      <w:pPr>
        <w:spacing w:after="0" w:line="171" w:lineRule="exact"/>
        <w:rPr>
          <w:sz w:val="20"/>
          <w:szCs w:val="20"/>
          <w:color w:val="auto"/>
        </w:rPr>
      </w:pPr>
    </w:p>
    <w:p>
      <w:pPr>
        <w:ind w:left="4" w:right="140" w:hanging="4"/>
        <w:spacing w:after="0" w:line="257" w:lineRule="auto"/>
        <w:tabs>
          <w:tab w:leader="none" w:pos="274"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Option Grants</w:t>
      </w:r>
      <w:r>
        <w:rPr>
          <w:rFonts w:ascii="Arial" w:cs="Arial" w:eastAsia="Arial" w:hAnsi="Arial"/>
          <w:sz w:val="18"/>
          <w:szCs w:val="18"/>
          <w:color w:val="auto"/>
        </w:rPr>
        <w:t>. The parties agree that the employees of the Company and its subsidiaries as a group shall be eligible to be granted annually for ten (10) years beginning on the date of the Original Agreement options to acquire a number of shares of Common Stock equal to two percent (2%) of the aggregate number of shares of Common Stock outstanding on the date of grant of such options, provided that the exercise date of each option is not earlier than November 1, 2022 and each option is granted at no less than the fair market value of the shares of Class A Common Stock into which such option is exercisable.</w:t>
      </w:r>
    </w:p>
    <w:p>
      <w:pPr>
        <w:spacing w:after="0" w:line="187" w:lineRule="exact"/>
        <w:rPr>
          <w:rFonts w:ascii="Arial" w:cs="Arial" w:eastAsia="Arial" w:hAnsi="Arial"/>
          <w:sz w:val="18"/>
          <w:szCs w:val="18"/>
          <w:color w:val="auto"/>
        </w:rPr>
      </w:pPr>
    </w:p>
    <w:p>
      <w:pPr>
        <w:ind w:left="4" w:hanging="4"/>
        <w:spacing w:after="0" w:line="271" w:lineRule="auto"/>
        <w:tabs>
          <w:tab w:leader="none" w:pos="274"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Other Covenants</w:t>
      </w:r>
      <w:r>
        <w:rPr>
          <w:rFonts w:ascii="Arial" w:cs="Arial" w:eastAsia="Arial" w:hAnsi="Arial"/>
          <w:sz w:val="17"/>
          <w:szCs w:val="17"/>
          <w:color w:val="auto"/>
        </w:rPr>
        <w:t xml:space="preserve">. Unless otherwise consented to by the holders of a majority of the Class A Common Stock owned by the Investors that are identified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under the heading “Not RCP2 Sellers” (“</w:t>
      </w:r>
      <w:r>
        <w:rPr>
          <w:rFonts w:ascii="Arial" w:cs="Arial" w:eastAsia="Arial" w:hAnsi="Arial"/>
          <w:sz w:val="17"/>
          <w:szCs w:val="17"/>
          <w:b w:val="1"/>
          <w:bCs w:val="1"/>
          <w:color w:val="auto"/>
        </w:rPr>
        <w:t>Not RCP2 Sellers</w:t>
      </w:r>
      <w:r>
        <w:rPr>
          <w:rFonts w:ascii="Arial" w:cs="Arial" w:eastAsia="Arial" w:hAnsi="Arial"/>
          <w:sz w:val="17"/>
          <w:szCs w:val="17"/>
          <w:color w:val="auto"/>
        </w:rPr>
        <w:t xml:space="preserve">”), which consent may be withheld in such holders’ sole discretion, all new investment management agreements entered into with each new investment limited partnership or investment fund formed after the date hereof with respect to which any Investor that is identified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under the heading “RCP2 Sellers” (the “</w:t>
      </w:r>
      <w:r>
        <w:rPr>
          <w:rFonts w:ascii="Arial" w:cs="Arial" w:eastAsia="Arial" w:hAnsi="Arial"/>
          <w:sz w:val="17"/>
          <w:szCs w:val="17"/>
          <w:b w:val="1"/>
          <w:bCs w:val="1"/>
          <w:color w:val="auto"/>
        </w:rPr>
        <w:t>RCP2 Sellers</w:t>
      </w:r>
      <w:r>
        <w:rPr>
          <w:rFonts w:ascii="Arial" w:cs="Arial" w:eastAsia="Arial" w:hAnsi="Arial"/>
          <w:sz w:val="17"/>
          <w:szCs w:val="17"/>
          <w:color w:val="auto"/>
        </w:rPr>
        <w:t>”) is involved in the promotion or sale of limited partnership or other fund interests to investors shall be transacted, if at all, exclusively through the Company or its Affiliates. It is understood that RCP2 Sellers shall be entitled to receive as separate consideration carried interest from new fund customers in a manner substantially similar to the carried interest historically received by them at RCP Advisors 2, LLC in connection with the Investment Management Agreements (as defined in the RCP2 Purchase Agreement).</w:t>
      </w:r>
    </w:p>
    <w:p>
      <w:pPr>
        <w:spacing w:after="0" w:line="178" w:lineRule="exact"/>
        <w:rPr>
          <w:rFonts w:ascii="Arial" w:cs="Arial" w:eastAsia="Arial" w:hAnsi="Arial"/>
          <w:sz w:val="17"/>
          <w:szCs w:val="17"/>
          <w:color w:val="auto"/>
        </w:rPr>
      </w:pPr>
    </w:p>
    <w:p>
      <w:pPr>
        <w:ind w:left="4" w:right="60" w:hanging="4"/>
        <w:spacing w:after="0" w:line="257" w:lineRule="auto"/>
        <w:tabs>
          <w:tab w:leader="none" w:pos="274"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Board Nomination and Observer</w:t>
      </w:r>
      <w:r>
        <w:rPr>
          <w:rFonts w:ascii="Arial" w:cs="Arial" w:eastAsia="Arial" w:hAnsi="Arial"/>
          <w:sz w:val="18"/>
          <w:szCs w:val="18"/>
          <w:color w:val="auto"/>
        </w:rPr>
        <w:t>. The provisions of Sections 4 and 5 of the TB Equityholders Agreement are incorporated herein by reference and such sections (and any defined terms used therein) shall remain in full force and effect as if set forth in this Agreement in their entirety. As used in Sections 4 and 5 of the TB Equityholders Agreement, “New P10 Parent” means the Company. For the avoidance of doubt, this Section 15 may only be amended, modified, supplemented or waived with the prior written consent of the Company and the holders of a majority of the Common Stock held by the TB Unitholders.</w:t>
      </w:r>
    </w:p>
    <w:p>
      <w:pPr>
        <w:spacing w:after="0" w:line="187" w:lineRule="exact"/>
        <w:rPr>
          <w:rFonts w:ascii="Arial" w:cs="Arial" w:eastAsia="Arial" w:hAnsi="Arial"/>
          <w:sz w:val="18"/>
          <w:szCs w:val="18"/>
          <w:color w:val="auto"/>
        </w:rPr>
      </w:pPr>
    </w:p>
    <w:p>
      <w:pPr>
        <w:ind w:left="4" w:right="20" w:hanging="4"/>
        <w:spacing w:after="0" w:line="293" w:lineRule="auto"/>
        <w:tabs>
          <w:tab w:leader="none" w:pos="274"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Arial" w:cs="Arial" w:eastAsia="Arial" w:hAnsi="Arial"/>
          <w:sz w:val="16"/>
          <w:szCs w:val="16"/>
          <w:b w:val="1"/>
          <w:bCs w:val="1"/>
          <w:color w:val="auto"/>
        </w:rPr>
        <w:t>Section 16</w:t>
      </w:r>
      <w:r>
        <w:rPr>
          <w:rFonts w:ascii="Arial" w:cs="Arial" w:eastAsia="Arial" w:hAnsi="Arial"/>
          <w:sz w:val="16"/>
          <w:szCs w:val="16"/>
          <w:color w:val="auto"/>
        </w:rPr>
        <w:t>).</w:t>
      </w:r>
    </w:p>
    <w:p>
      <w:pPr>
        <w:sectPr>
          <w:pgSz w:w="11900" w:h="16838" w:orient="portrait"/>
          <w:cols w:equalWidth="0" w:num="1">
            <w:col w:w="11004"/>
          </w:cols>
          <w:pgMar w:left="436" w:top="274" w:right="459" w:bottom="1440" w:gutter="0" w:footer="0" w:header="0"/>
        </w:sectPr>
      </w:pPr>
    </w:p>
    <w:p>
      <w:pPr>
        <w:spacing w:after="0" w:line="191"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P10,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4514 Cole Avenue, Suite 1600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Amanda Coussens</w:t>
      </w:r>
    </w:p>
    <w:p>
      <w:pPr>
        <w:spacing w:after="0" w:line="180" w:lineRule="exact"/>
        <w:rPr>
          <w:sz w:val="20"/>
          <w:szCs w:val="20"/>
          <w:color w:val="auto"/>
        </w:rPr>
      </w:pPr>
    </w:p>
    <w:p>
      <w:pPr>
        <w:sectPr>
          <w:pgSz w:w="11900" w:h="16838" w:orient="portrait"/>
          <w:cols w:equalWidth="0" w:num="2">
            <w:col w:w="2484" w:space="720"/>
            <w:col w:w="7800"/>
          </w:cols>
          <w:pgMar w:left="436" w:top="274" w:right="459" w:bottom="1440" w:gutter="0" w:footer="0" w:header="0"/>
          <w:type w:val="continuous"/>
        </w:sectPr>
      </w:pPr>
    </w:p>
    <w:p>
      <w:pPr>
        <w:jc w:val="center"/>
        <w:ind w:right="-23"/>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04"/>
          </w:cols>
          <w:pgMar w:left="436" w:top="274" w:right="459" w:bottom="1440" w:gutter="0" w:footer="0" w:header="0"/>
          <w:type w:val="continuous"/>
        </w:sectPr>
      </w:pPr>
    </w:p>
    <w:bookmarkStart w:id="201" w:name="page202"/>
    <w:bookmarkEnd w:id="201"/>
    <w:p>
      <w:pPr>
        <w:ind w:left="4"/>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Gibson, Dunn &amp; Crutcher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-215900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2001 Ross Avenue, Suite 2100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dsinak@gibsondunn.com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Sinak</w:t>
      </w:r>
    </w:p>
    <w:p>
      <w:pPr>
        <w:spacing w:after="0" w:line="116" w:lineRule="exact"/>
        <w:rPr>
          <w:sz w:val="20"/>
          <w:szCs w:val="20"/>
          <w:color w:val="auto"/>
        </w:rPr>
      </w:pPr>
    </w:p>
    <w:p>
      <w:pPr>
        <w:sectPr>
          <w:pgSz w:w="11900" w:h="16838" w:orient="portrait"/>
          <w:cols w:equalWidth="0" w:num="2">
            <w:col w:w="2484" w:space="720"/>
            <w:col w:w="7800"/>
          </w:cols>
          <w:pgMar w:left="436" w:top="274" w:right="459" w:bottom="1440" w:gutter="0" w:footer="0" w:header="0"/>
        </w:sectPr>
      </w:pPr>
    </w:p>
    <w:p>
      <w:pPr>
        <w:ind w:left="3204"/>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left="3204"/>
        <w:spacing w:after="0"/>
        <w:rPr>
          <w:sz w:val="20"/>
          <w:szCs w:val="20"/>
          <w:color w:val="auto"/>
        </w:rPr>
      </w:pPr>
      <w:r>
        <w:rPr>
          <w:rFonts w:ascii="Arial" w:cs="Arial" w:eastAsia="Arial" w:hAnsi="Arial"/>
          <w:sz w:val="17"/>
          <w:szCs w:val="17"/>
          <w:color w:val="auto"/>
        </w:rPr>
        <w:t>Olshan Frome Wolosky LLP</w:t>
      </w:r>
    </w:p>
    <w:p>
      <w:pPr>
        <w:spacing w:after="0" w:line="35" w:lineRule="exact"/>
        <w:rPr>
          <w:sz w:val="20"/>
          <w:szCs w:val="20"/>
          <w:color w:val="auto"/>
        </w:rPr>
      </w:pPr>
    </w:p>
    <w:p>
      <w:pPr>
        <w:ind w:left="3204"/>
        <w:spacing w:after="0"/>
        <w:rPr>
          <w:sz w:val="20"/>
          <w:szCs w:val="20"/>
          <w:color w:val="auto"/>
        </w:rPr>
      </w:pPr>
      <w:r>
        <w:rPr>
          <w:rFonts w:ascii="Arial" w:cs="Arial" w:eastAsia="Arial" w:hAnsi="Arial"/>
          <w:sz w:val="16"/>
          <w:szCs w:val="16"/>
          <w:color w:val="auto"/>
        </w:rPr>
        <w:t>1325 Avenue of the Americas</w:t>
      </w:r>
    </w:p>
    <w:p>
      <w:pPr>
        <w:spacing w:after="0" w:line="32"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3204"/>
        <w:spacing w:after="0"/>
        <w:rPr>
          <w:sz w:val="20"/>
          <w:szCs w:val="20"/>
          <w:color w:val="auto"/>
        </w:rPr>
      </w:pPr>
      <w:r>
        <w:rPr>
          <w:rFonts w:ascii="Arial" w:cs="Arial" w:eastAsia="Arial" w:hAnsi="Arial"/>
          <w:sz w:val="17"/>
          <w:szCs w:val="17"/>
          <w:color w:val="auto"/>
        </w:rPr>
        <w:t>afinerman@olshanlaw.com</w:t>
      </w:r>
    </w:p>
    <w:p>
      <w:pPr>
        <w:spacing w:after="0" w:line="21" w:lineRule="exact"/>
        <w:rPr>
          <w:sz w:val="20"/>
          <w:szCs w:val="20"/>
          <w:color w:val="auto"/>
        </w:rPr>
      </w:pPr>
    </w:p>
    <w:p>
      <w:pPr>
        <w:ind w:left="3204"/>
        <w:spacing w:after="0"/>
        <w:rPr>
          <w:sz w:val="20"/>
          <w:szCs w:val="20"/>
          <w:color w:val="auto"/>
        </w:rPr>
      </w:pPr>
      <w:r>
        <w:rPr>
          <w:rFonts w:ascii="Arial" w:cs="Arial" w:eastAsia="Arial" w:hAnsi="Arial"/>
          <w:sz w:val="18"/>
          <w:szCs w:val="18"/>
          <w:color w:val="auto"/>
        </w:rPr>
        <w:t>Attention: Adam Finerman</w:t>
      </w:r>
    </w:p>
    <w:p>
      <w:pPr>
        <w:sectPr>
          <w:pgSz w:w="11900" w:h="16838" w:orient="portrait"/>
          <w:cols w:equalWidth="0" w:num="1">
            <w:col w:w="11004"/>
          </w:cols>
          <w:pgMar w:left="436" w:top="274" w:right="459" w:bottom="1440" w:gutter="0" w:footer="0" w:header="0"/>
          <w:type w:val="continuous"/>
        </w:sectPr>
      </w:pP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any Investor, to such Investor’s address as set forth in the register of stockholders maintained by the Company.</w:t>
      </w:r>
    </w:p>
    <w:p>
      <w:pPr>
        <w:spacing w:after="0" w:line="117" w:lineRule="exact"/>
        <w:rPr>
          <w:sz w:val="20"/>
          <w:szCs w:val="20"/>
          <w:color w:val="auto"/>
        </w:rPr>
      </w:pPr>
    </w:p>
    <w:p>
      <w:pPr>
        <w:ind w:left="4" w:right="300" w:hanging="4"/>
        <w:spacing w:after="0" w:line="263" w:lineRule="auto"/>
        <w:tabs>
          <w:tab w:leader="none" w:pos="274"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any related exhibits and schedules thereto), constitute the sole and entire agreement of the parties to this Agreement with respect to the subject matter contained herein, and supersede all prior and contemporaneous understandings and agreements, both written and oral, with respect to such subject matter.</w:t>
      </w:r>
    </w:p>
    <w:p>
      <w:pPr>
        <w:spacing w:after="0" w:line="75" w:lineRule="exact"/>
        <w:rPr>
          <w:rFonts w:ascii="Arial" w:cs="Arial" w:eastAsia="Arial" w:hAnsi="Arial"/>
          <w:sz w:val="18"/>
          <w:szCs w:val="18"/>
          <w:color w:val="auto"/>
        </w:rPr>
      </w:pPr>
    </w:p>
    <w:p>
      <w:pPr>
        <w:jc w:val="both"/>
        <w:ind w:left="4" w:right="60" w:hanging="4"/>
        <w:spacing w:after="0" w:line="286" w:lineRule="auto"/>
        <w:tabs>
          <w:tab w:leader="none" w:pos="274"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Successor and Assigns</w:t>
      </w:r>
      <w:r>
        <w:rPr>
          <w:rFonts w:ascii="Arial" w:cs="Arial" w:eastAsia="Arial" w:hAnsi="Arial"/>
          <w:sz w:val="16"/>
          <w:szCs w:val="16"/>
          <w:color w:val="auto"/>
        </w:rPr>
        <w:t>. This Agreement shall be binding upon and shall inure to the benefit of the parties hereto and their respective successors and permitted assigns. Each Investor may assign its rights hereunder to any purchaser or transferee of Registrable Securities; provided, that as a condition to the effectiveness of such assignment, unless any such transferee or assignee is an Affiliate of, and after such transfer or assignment continues to be an Affiliate of, such Investor, the amount of Registrable Securities transferred or assigned to such transferee or assignee shall represent at least</w:t>
      </w:r>
    </w:p>
    <w:p>
      <w:pPr>
        <w:spacing w:after="0" w:line="1" w:lineRule="exact"/>
        <w:rPr>
          <w:rFonts w:ascii="Arial" w:cs="Arial" w:eastAsia="Arial" w:hAnsi="Arial"/>
          <w:sz w:val="16"/>
          <w:szCs w:val="16"/>
          <w:color w:val="auto"/>
        </w:rPr>
      </w:pPr>
    </w:p>
    <w:p>
      <w:pPr>
        <w:ind w:left="4" w:right="40"/>
        <w:spacing w:after="0" w:line="281" w:lineRule="auto"/>
        <w:rPr>
          <w:rFonts w:ascii="Arial" w:cs="Arial" w:eastAsia="Arial" w:hAnsi="Arial"/>
          <w:sz w:val="16"/>
          <w:szCs w:val="16"/>
          <w:color w:val="auto"/>
        </w:rPr>
      </w:pPr>
      <w:r>
        <w:rPr>
          <w:rFonts w:ascii="Arial" w:cs="Arial" w:eastAsia="Arial" w:hAnsi="Arial"/>
          <w:sz w:val="16"/>
          <w:szCs w:val="16"/>
          <w:color w:val="auto"/>
        </w:rPr>
        <w:t>$25.0 million of Registrable Securities, (b) the Company is given written notice prior to any said transfer or assignment, stating the name and address of each such transferee or assignee and identifying the securities with respect to which such registration rights are being transferred or assigned, (c) each such transferee or assignee assumes in writing responsibility for its portion of the obligations of such transferring Investor under this Agreement and</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 the transferor or assignor is not relieved of any obligations or liabilities hereunder arising out of events occurring prior to such transfer.</w:t>
      </w:r>
    </w:p>
    <w:p>
      <w:pPr>
        <w:spacing w:after="0" w:line="102" w:lineRule="exact"/>
        <w:rPr>
          <w:rFonts w:ascii="Arial" w:cs="Arial" w:eastAsia="Arial" w:hAnsi="Arial"/>
          <w:sz w:val="16"/>
          <w:szCs w:val="16"/>
          <w:color w:val="auto"/>
        </w:rPr>
      </w:pPr>
    </w:p>
    <w:p>
      <w:pPr>
        <w:ind w:left="4" w:hanging="4"/>
        <w:spacing w:after="0" w:line="287" w:lineRule="auto"/>
        <w:tabs>
          <w:tab w:leader="none" w:pos="274"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xml:space="preserve">.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 provided, however, the parties hereto hereby acknowledge that the Persons set forth in </w:t>
      </w:r>
      <w:r>
        <w:rPr>
          <w:rFonts w:ascii="Arial" w:cs="Arial" w:eastAsia="Arial" w:hAnsi="Arial"/>
          <w:sz w:val="16"/>
          <w:szCs w:val="16"/>
          <w:b w:val="1"/>
          <w:bCs w:val="1"/>
          <w:color w:val="auto"/>
        </w:rPr>
        <w:t>Sections 7</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 xml:space="preserve">are express third-party beneficiaries of the obligations of the parties hereto set forth in </w:t>
      </w:r>
      <w:r>
        <w:rPr>
          <w:rFonts w:ascii="Arial" w:cs="Arial" w:eastAsia="Arial" w:hAnsi="Arial"/>
          <w:sz w:val="18"/>
          <w:szCs w:val="18"/>
          <w:b w:val="1"/>
          <w:bCs w:val="1"/>
          <w:color w:val="auto"/>
        </w:rPr>
        <w:t>Section 7</w:t>
      </w:r>
      <w:r>
        <w:rPr>
          <w:rFonts w:ascii="Arial" w:cs="Arial" w:eastAsia="Arial" w:hAnsi="Arial"/>
          <w:sz w:val="18"/>
          <w:szCs w:val="18"/>
          <w:color w:val="auto"/>
        </w:rPr>
        <w:t xml:space="preserve"> and </w:t>
      </w:r>
      <w:r>
        <w:rPr>
          <w:rFonts w:ascii="Arial" w:cs="Arial" w:eastAsia="Arial" w:hAnsi="Arial"/>
          <w:sz w:val="18"/>
          <w:szCs w:val="18"/>
          <w:b w:val="1"/>
          <w:bCs w:val="1"/>
          <w:color w:val="auto"/>
        </w:rPr>
        <w:t>23</w:t>
      </w:r>
      <w:r>
        <w:rPr>
          <w:rFonts w:ascii="Arial" w:cs="Arial" w:eastAsia="Arial" w:hAnsi="Arial"/>
          <w:sz w:val="18"/>
          <w:szCs w:val="18"/>
          <w:color w:val="auto"/>
        </w:rPr>
        <w:t>, respectively.</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type w:val="continuous"/>
        </w:sectPr>
      </w:pPr>
    </w:p>
    <w:bookmarkStart w:id="202" w:name="page203"/>
    <w:bookmarkEnd w:id="202"/>
    <w:p>
      <w:pPr>
        <w:ind w:left="264" w:hanging="264"/>
        <w:spacing w:after="0"/>
        <w:tabs>
          <w:tab w:leader="none" w:pos="264"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Headings</w:t>
      </w:r>
      <w:r>
        <w:rPr>
          <w:rFonts w:ascii="Arial" w:cs="Arial" w:eastAsia="Arial" w:hAnsi="Arial"/>
          <w:sz w:val="18"/>
          <w:szCs w:val="18"/>
          <w:color w:val="auto"/>
        </w:rPr>
        <w:t>. The headings in this Agreement are for reference only and shall not affect the interpretation of this Agreement.</w:t>
      </w:r>
    </w:p>
    <w:p>
      <w:pPr>
        <w:spacing w:after="0" w:line="225" w:lineRule="exact"/>
        <w:rPr>
          <w:rFonts w:ascii="Arial" w:cs="Arial" w:eastAsia="Arial" w:hAnsi="Arial"/>
          <w:sz w:val="18"/>
          <w:szCs w:val="18"/>
          <w:color w:val="auto"/>
        </w:rPr>
      </w:pPr>
    </w:p>
    <w:p>
      <w:pPr>
        <w:ind w:left="4" w:hanging="4"/>
        <w:spacing w:after="0" w:line="287" w:lineRule="auto"/>
        <w:tabs>
          <w:tab w:leader="none" w:pos="274"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Amendment, Modification and Waiver</w:t>
      </w:r>
      <w:r>
        <w:rPr>
          <w:rFonts w:ascii="Arial" w:cs="Arial" w:eastAsia="Arial" w:hAnsi="Arial"/>
          <w:sz w:val="16"/>
          <w:szCs w:val="16"/>
          <w:color w:val="auto"/>
        </w:rPr>
        <w:t xml:space="preserve">. The provisions of this Agreement may only be amended, modified, supplemented or waived with the prior written consent of the Company and the holders of a majority of the Registrable Securities; provided that (i) </w:t>
      </w:r>
      <w:r>
        <w:rPr>
          <w:rFonts w:ascii="Arial" w:cs="Arial" w:eastAsia="Arial" w:hAnsi="Arial"/>
          <w:sz w:val="16"/>
          <w:szCs w:val="16"/>
          <w:b w:val="1"/>
          <w:bCs w:val="1"/>
          <w:color w:val="auto"/>
        </w:rPr>
        <w:t>Section 3(b)(A)(ii)</w:t>
      </w:r>
      <w:r>
        <w:rPr>
          <w:rFonts w:ascii="Arial" w:cs="Arial" w:eastAsia="Arial" w:hAnsi="Arial"/>
          <w:sz w:val="16"/>
          <w:szCs w:val="16"/>
          <w:color w:val="auto"/>
        </w:rPr>
        <w:t xml:space="preserve"> may only be amended, modified, supplemented or waived by the holders of (a) a majority of the Common Stock owned by Keystone, (b) a majority of the Common Stock owned by the FPC Unitholders, (c) a majority of the Common Stock owned by the TB Unitholders, and (d) at least two-thirds of the Common Stock owned by the EC Unitholders; (ii)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may only be amended, modified, supplemented or waived by the holders of (a) a majority of the Common Stock owned by the Not RCP2 Sellers and (b) a majority of the Common Stock owned by the RCP2 Sellers; (iii) </w:t>
      </w:r>
      <w:r>
        <w:rPr>
          <w:rFonts w:ascii="Arial" w:cs="Arial" w:eastAsia="Arial" w:hAnsi="Arial"/>
          <w:sz w:val="16"/>
          <w:szCs w:val="16"/>
          <w:b w:val="1"/>
          <w:bCs w:val="1"/>
          <w:color w:val="auto"/>
        </w:rPr>
        <w:t>Section 13</w:t>
      </w:r>
      <w:r>
        <w:rPr>
          <w:rFonts w:ascii="Arial" w:cs="Arial" w:eastAsia="Arial" w:hAnsi="Arial"/>
          <w:sz w:val="16"/>
          <w:szCs w:val="16"/>
          <w:color w:val="auto"/>
        </w:rPr>
        <w:t xml:space="preserve"> may only be amended, modified, supplemented or waived by the holders of (a) a majority of the Common Stock owned by the RCP2 Sellers and (b) a majority of the Common Stock owned by the Not RCP2 Sellers. No waiver by any party or parties shall operate or be construed as a waiver in respect of any failure, breach or default not expressly identified by such written waiver, whether of a similar or different character, and whether occurring before or after that waiver. Except as otherwise set forth in this Agreement,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67" w:lineRule="exact"/>
        <w:rPr>
          <w:rFonts w:ascii="Arial" w:cs="Arial" w:eastAsia="Arial" w:hAnsi="Arial"/>
          <w:sz w:val="16"/>
          <w:szCs w:val="16"/>
          <w:color w:val="auto"/>
        </w:rPr>
      </w:pPr>
    </w:p>
    <w:p>
      <w:pPr>
        <w:ind w:left="4" w:right="20" w:hanging="4"/>
        <w:spacing w:after="0" w:line="275" w:lineRule="auto"/>
        <w:tabs>
          <w:tab w:leader="none" w:pos="274"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6" w:lineRule="exact"/>
        <w:rPr>
          <w:rFonts w:ascii="Arial" w:cs="Arial" w:eastAsia="Arial" w:hAnsi="Arial"/>
          <w:sz w:val="17"/>
          <w:szCs w:val="17"/>
          <w:color w:val="auto"/>
        </w:rPr>
      </w:pPr>
    </w:p>
    <w:p>
      <w:pPr>
        <w:ind w:left="4" w:right="80" w:hanging="4"/>
        <w:spacing w:after="0" w:line="293" w:lineRule="auto"/>
        <w:tabs>
          <w:tab w:leader="none" w:pos="274"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Each party hereto, in addition to being entitled to exercise all rights granted by law, including recovery of damages, shall be entitled to specific performance of its rights under this Agreement. Each party hereto acknowledges that monetary damages would not be adequate compensation for any loss incurred by reason of a breach by it of the provisions of this Agreement and hereby agrees to waive the defense in any action for specific performance that a remedy at law would be adequate. If any RCP2 Seller breaches this Agreement and the Company fails to exercise its remedies in response to such breach, the parties hereto agree that any Not RCP2 Seller shall be entitled, on behalf of the Company, to exercise any rights granted to the Company by law, including recovery of damages, and to seek specific performance, with respect to such breach.</w:t>
      </w:r>
    </w:p>
    <w:p>
      <w:pPr>
        <w:spacing w:after="0" w:line="9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4"/>
          </w:cols>
          <w:pgMar w:left="436" w:top="274" w:right="499" w:bottom="1440" w:gutter="0" w:footer="0" w:header="0"/>
        </w:sectPr>
      </w:pPr>
    </w:p>
    <w:bookmarkStart w:id="203" w:name="page204"/>
    <w:bookmarkEnd w:id="203"/>
    <w:p>
      <w:pPr>
        <w:ind w:left="4" w:hanging="4"/>
        <w:spacing w:after="0" w:line="253" w:lineRule="auto"/>
        <w:tabs>
          <w:tab w:leader="none" w:pos="274"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Submission to Jurisdiction</w:t>
      </w:r>
      <w:r>
        <w:rPr>
          <w:rFonts w:ascii="Arial" w:cs="Arial" w:eastAsia="Arial" w:hAnsi="Arial"/>
          <w:sz w:val="18"/>
          <w:szCs w:val="18"/>
          <w:color w:val="auto"/>
        </w:rPr>
        <w:t>. This Agreement shall be governed by and construed in accordance with the internal laws of the State of Delaware without giving effect to any choice or conflict of law provision or rule (whether of the State of Delaware or any other jurisdiction). Any legal suit, action or proceeding arising out of or based upon this Agreement or the transactions contemplated hereby may be instituted in the federal courts of the United States or the courts of the State of Illinois in each case located in the city of Chicago and County of Cook,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96" w:lineRule="exact"/>
        <w:rPr>
          <w:rFonts w:ascii="Arial" w:cs="Arial" w:eastAsia="Arial" w:hAnsi="Arial"/>
          <w:sz w:val="18"/>
          <w:szCs w:val="18"/>
          <w:color w:val="auto"/>
        </w:rPr>
      </w:pPr>
    </w:p>
    <w:p>
      <w:pPr>
        <w:ind w:left="4" w:right="40" w:hanging="4"/>
        <w:spacing w:after="0" w:line="254" w:lineRule="auto"/>
        <w:tabs>
          <w:tab w:leader="none" w:pos="274"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Arial" w:cs="Arial" w:eastAsia="Arial" w:hAnsi="Arial"/>
          <w:sz w:val="18"/>
          <w:szCs w:val="18"/>
          <w:b w:val="1"/>
          <w:bCs w:val="1"/>
          <w:color w:val="auto"/>
        </w:rPr>
        <w:t>Section 25</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4" w:right="180" w:hanging="4"/>
        <w:spacing w:after="0" w:line="286" w:lineRule="auto"/>
        <w:tabs>
          <w:tab w:leader="none" w:pos="274"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be deemed to be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65" w:lineRule="exact"/>
        <w:rPr>
          <w:rFonts w:ascii="Arial" w:cs="Arial" w:eastAsia="Arial" w:hAnsi="Arial"/>
          <w:sz w:val="17"/>
          <w:szCs w:val="17"/>
          <w:color w:val="auto"/>
        </w:rPr>
      </w:pPr>
    </w:p>
    <w:p>
      <w:pPr>
        <w:ind w:left="4" w:right="200" w:hanging="4"/>
        <w:spacing w:after="0" w:line="263" w:lineRule="auto"/>
        <w:tabs>
          <w:tab w:leader="none" w:pos="274"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to this Agreement shall, and shall cause their Affiliates to, execute and deliver such additional documents, instruments, conveyances and assurances and take such further actions as may be reasonably required to carry out the provisions hereof and to give effect to the transactions contemplated hereby.</w:t>
      </w:r>
    </w:p>
    <w:p>
      <w:pPr>
        <w:spacing w:after="0" w:line="183" w:lineRule="exact"/>
        <w:rPr>
          <w:rFonts w:ascii="Arial" w:cs="Arial" w:eastAsia="Arial" w:hAnsi="Arial"/>
          <w:sz w:val="18"/>
          <w:szCs w:val="18"/>
          <w:color w:val="auto"/>
        </w:rPr>
      </w:pPr>
    </w:p>
    <w:p>
      <w:pPr>
        <w:ind w:left="264" w:hanging="264"/>
        <w:spacing w:after="0"/>
        <w:tabs>
          <w:tab w:leader="none" w:pos="264"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Termination of Prior Agreements</w:t>
      </w:r>
      <w:r>
        <w:rPr>
          <w:rFonts w:ascii="Arial" w:cs="Arial" w:eastAsia="Arial" w:hAnsi="Arial"/>
          <w:sz w:val="17"/>
          <w:szCs w:val="17"/>
          <w:color w:val="auto"/>
        </w:rPr>
        <w:t>. The parties to the TB Equityholders Agreement, the Enhanced Equityholders Agreement and the Original</w:t>
      </w:r>
    </w:p>
    <w:p>
      <w:pPr>
        <w:spacing w:after="0" w:line="34" w:lineRule="exact"/>
        <w:rPr>
          <w:rFonts w:ascii="Arial" w:cs="Arial" w:eastAsia="Arial" w:hAnsi="Arial"/>
          <w:sz w:val="17"/>
          <w:szCs w:val="17"/>
          <w:color w:val="auto"/>
        </w:rPr>
      </w:pPr>
    </w:p>
    <w:p>
      <w:pPr>
        <w:ind w:left="4" w:right="360"/>
        <w:spacing w:after="0" w:line="255" w:lineRule="auto"/>
        <w:rPr>
          <w:rFonts w:ascii="Arial" w:cs="Arial" w:eastAsia="Arial" w:hAnsi="Arial"/>
          <w:sz w:val="17"/>
          <w:szCs w:val="17"/>
          <w:color w:val="auto"/>
        </w:rPr>
      </w:pPr>
      <w:r>
        <w:rPr>
          <w:rFonts w:ascii="Arial" w:cs="Arial" w:eastAsia="Arial" w:hAnsi="Arial"/>
          <w:sz w:val="18"/>
          <w:szCs w:val="18"/>
          <w:color w:val="auto"/>
        </w:rPr>
        <w:t>Agreement, which are parties hereto, agree that upon (and only upon) the completion of the P10 Reorganization (including the Uplist Event and the Public Offering) each of the TB Equityholders Agreement, Enhanced Equityholders Agreement and the Original Agreement, as applicable, shall thereupon be terminated in their entirety and shall thereupon be of no further force or effect.</w:t>
      </w:r>
    </w:p>
    <w:p>
      <w:pPr>
        <w:spacing w:after="0" w:line="1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4" w:right="479" w:bottom="1440" w:gutter="0" w:footer="0" w:header="0"/>
        </w:sectPr>
      </w:pPr>
    </w:p>
    <w:bookmarkStart w:id="204" w:name="page205"/>
    <w:bookmarkEnd w:id="2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effective as of the date first written above.</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P10,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29210</wp:posOffset>
            </wp:positionV>
            <wp:extent cx="25971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Name: Amanda Coussens</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CFO</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FORMER P10 PARENT:</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P10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29210</wp:posOffset>
            </wp:positionV>
            <wp:extent cx="25971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Name: Amanda Coussens</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CFO</w:t>
      </w:r>
    </w:p>
    <w:p>
      <w:pPr>
        <w:spacing w:after="0" w:line="143"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[Signature Page to Stockholders Agreement]</w:t>
      </w:r>
    </w:p>
    <w:p>
      <w:pPr>
        <w:sectPr>
          <w:pgSz w:w="11900" w:h="16838" w:orient="portrait"/>
          <w:cols w:equalWidth="0" w:num="1">
            <w:col w:w="10019"/>
          </w:cols>
          <w:pgMar w:left="440" w:top="274" w:right="1440" w:bottom="1440" w:gutter="0" w:footer="0" w:header="0"/>
        </w:sectPr>
      </w:pPr>
    </w:p>
    <w:bookmarkStart w:id="205" w:name="page206"/>
    <w:bookmarkEnd w:id="20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 ALEXANDER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ALEXANDER ABELL</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ANDREW NELSON and LAURIE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ANDREW NELSON and LAURIE NELSON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(Joint Tenants)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Andrew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Andrew Nelson</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Laurie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Laurie Nelson</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CHARLES K. HUEBNER AS TRUSTEE OF THE</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CHARLES K. HUEBNER TRUST DATED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JANUARY 16, 2001</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Charles K. Huebner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Charles K. Huebner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M</w:t>
      </w:r>
      <w:r>
        <w:rPr>
          <w:rFonts w:ascii="Arial" w:cs="Arial" w:eastAsia="Arial" w:hAnsi="Arial"/>
          <w:sz w:val="14"/>
          <w:szCs w:val="14"/>
          <w:color w:val="auto"/>
        </w:rPr>
        <w:t>C</w:t>
      </w:r>
      <w:r>
        <w:rPr>
          <w:rFonts w:ascii="Arial" w:cs="Arial" w:eastAsia="Arial" w:hAnsi="Arial"/>
          <w:sz w:val="18"/>
          <w:szCs w:val="18"/>
          <w:color w:val="auto"/>
        </w:rPr>
        <w:t>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M</w:t>
      </w:r>
      <w:r>
        <w:rPr>
          <w:rFonts w:ascii="Arial" w:cs="Arial" w:eastAsia="Arial" w:hAnsi="Arial"/>
          <w:sz w:val="14"/>
          <w:szCs w:val="14"/>
          <w:color w:val="auto"/>
        </w:rPr>
        <w:t>C</w:t>
      </w:r>
      <w:r>
        <w:rPr>
          <w:rFonts w:ascii="Arial" w:cs="Arial" w:eastAsia="Arial" w:hAnsi="Arial"/>
          <w:sz w:val="18"/>
          <w:szCs w:val="18"/>
          <w:color w:val="auto"/>
        </w:rPr>
        <w:t>COY</w:t>
      </w:r>
    </w:p>
    <w:p>
      <w:pPr>
        <w:spacing w:after="0" w:line="157" w:lineRule="exact"/>
        <w:rPr>
          <w:sz w:val="20"/>
          <w:szCs w:val="20"/>
          <w:color w:val="auto"/>
        </w:rPr>
      </w:pPr>
    </w:p>
    <w:p>
      <w:pPr>
        <w:jc w:val="center"/>
        <w:ind w:right="300"/>
        <w:spacing w:after="0"/>
        <w:rPr>
          <w:sz w:val="20"/>
          <w:szCs w:val="20"/>
          <w:color w:val="auto"/>
        </w:rPr>
      </w:pPr>
      <w:r>
        <w:rPr>
          <w:rFonts w:ascii="Arial" w:cs="Arial" w:eastAsia="Arial" w:hAnsi="Arial"/>
          <w:sz w:val="16"/>
          <w:szCs w:val="16"/>
          <w:i w:val="1"/>
          <w:iCs w:val="1"/>
          <w:color w:val="auto"/>
        </w:rPr>
        <w:t>[Signature Page to Stockholders Agreement]</w:t>
      </w:r>
    </w:p>
    <w:p>
      <w:pPr>
        <w:sectPr>
          <w:pgSz w:w="11900" w:h="16838" w:orient="portrait"/>
          <w:cols w:equalWidth="0" w:num="1">
            <w:col w:w="9320"/>
          </w:cols>
          <w:pgMar w:left="1440" w:top="274" w:right="1139" w:bottom="1440" w:gutter="0" w:footer="0" w:header="0"/>
        </w:sectPr>
      </w:pPr>
    </w:p>
    <w:bookmarkStart w:id="206" w:name="page207"/>
    <w:bookmarkEnd w:id="20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JEFF P. GEHL AS TRUSTEE OF THE JEFF P. GEHL</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LIVING TRUST DATED JANUARY 25, 2011</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Jeff P. Gehl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Jeff P. Gehl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Trustee</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JON I. MADORSKY AS TRUSTEE OF THE JON 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MADORSKY REVOCABLE TRUST DATED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DECEMBER 1, 2008</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 I. Madorsky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Jon I. Madorsky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FEINGLASS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NELL BLATHERWICK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NELL BLATHERWICK</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THOMAS P. DANIS AS TRUSTEE OF THE THOMAS P.</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DANIS, JR. REVOCABLE LIVING TRUST DATED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MARCH 10, 2003</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P. Danis,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Thomas P. Danis,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PRISM 2,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P. Danis,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Thomas P. Danis,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[Signature Page to Stockholders Agreement]</w:t>
      </w:r>
    </w:p>
    <w:p>
      <w:pPr>
        <w:sectPr>
          <w:pgSz w:w="11900" w:h="16838" w:orient="portrait"/>
          <w:cols w:equalWidth="0" w:num="1">
            <w:col w:w="9880"/>
          </w:cols>
          <w:pgMar w:left="1440" w:top="274" w:right="579" w:bottom="1440" w:gutter="0" w:footer="0" w:header="0"/>
        </w:sectPr>
      </w:pPr>
    </w:p>
    <w:bookmarkStart w:id="207" w:name="page208"/>
    <w:bookmarkEnd w:id="20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 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WILLIAM F. SOUDER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SOUDER FAMILY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William F. Souder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KORENGOLD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KORENGOLD</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KORENGOLD FAMILY ASSOCIATES,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Korengold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Korengold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MK NOTE HOLDINGS,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Korengold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Korengold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HUSTON</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CHAPARRAL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Andrew Paul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Sole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APMK Holdings,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Andrew Paul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Sole Member</w:t>
      </w:r>
    </w:p>
    <w:p>
      <w:pPr>
        <w:spacing w:after="0" w:line="143"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[Signature Page to Stockholders Agreement]</w:t>
      </w:r>
    </w:p>
    <w:p>
      <w:pPr>
        <w:sectPr>
          <w:pgSz w:w="11900" w:h="16838" w:orient="portrait"/>
          <w:cols w:equalWidth="0" w:num="1">
            <w:col w:w="9019"/>
          </w:cols>
          <w:pgMar w:left="1440" w:top="490" w:right="1440" w:bottom="1440" w:gutter="0" w:footer="0" w:header="0"/>
        </w:sectPr>
      </w:pPr>
    </w:p>
    <w:bookmarkStart w:id="208" w:name="page209"/>
    <w:bookmarkEnd w:id="20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 PAUL KASPER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PAUL KASPER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RICHARD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RICHARD MONTGOMERY</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SHANE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SHANE MCCARTHY</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MARK SLUSAR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SLUSAR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VCPE III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VCPE Management III, its manager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Cougar Investment Holdings LLC, its managing</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 Orndorff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 Orndorff</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[Signature Page to Stockholders Agreement]</w:t>
      </w:r>
    </w:p>
    <w:p>
      <w:pPr>
        <w:sectPr>
          <w:pgSz w:w="11900" w:h="16838" w:orient="portrait"/>
          <w:cols w:equalWidth="0" w:num="1">
            <w:col w:w="9400"/>
          </w:cols>
          <w:pgMar w:left="1440" w:top="490" w:right="1059" w:bottom="1440" w:gutter="0" w:footer="0" w:header="0"/>
        </w:sectPr>
      </w:pPr>
    </w:p>
    <w:bookmarkStart w:id="209" w:name="page210"/>
    <w:bookmarkEnd w:id="20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TRIDENT V,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Stone Point Capital, LLC, its manager</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Mundheim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Peter Mundheim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Principal and Counsel</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TRIDENT V PARALLEL FUND,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Stone Point Capital, LLC, its manager</w:t>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Mundheim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Peter Mundheim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Principal and Counsel</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TRIDENT V PROFESSIONALS FUND, L.P.</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Stone Point Capital, LLC, its manager</w:t>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Mundheim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Peter Mundheim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Principal and Counsel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Stockholders Agreement]</w:t>
      </w:r>
    </w:p>
    <w:p>
      <w:pPr>
        <w:sectPr>
          <w:pgSz w:w="11900" w:h="16838" w:orient="portrait"/>
          <w:cols w:equalWidth="0" w:num="1">
            <w:col w:w="9019"/>
          </w:cols>
          <w:pgMar w:left="1440" w:top="274" w:right="1440" w:bottom="1440" w:gutter="0" w:footer="0" w:header="0"/>
        </w:sectPr>
      </w:pPr>
    </w:p>
    <w:bookmarkStart w:id="210" w:name="page211"/>
    <w:bookmarkEnd w:id="21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TrueBridge Colonial Fund, u/a dated 11/15/2015</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Edwin Poston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Edwin Poston</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GP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Mel Williams Irrevocable Trust u/a/d August 12, 2015</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Alliance Trust Company , its Trustee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Mel A.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Mel A. Williams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TrueBridge Ascent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Edwin Poston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Edwin Poston</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GP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MAW MANAGEMENT CO.</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Mel A.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Mel A. Williams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[Signature Page to Stockholders Agreement]</w:t>
      </w:r>
    </w:p>
    <w:p>
      <w:pPr>
        <w:sectPr>
          <w:pgSz w:w="11900" w:h="16838" w:orient="portrait"/>
          <w:cols w:equalWidth="0" w:num="1">
            <w:col w:w="9520"/>
          </w:cols>
          <w:pgMar w:left="1440" w:top="274" w:right="939" w:bottom="1440" w:gutter="0" w:footer="0" w:header="0"/>
        </w:sectPr>
      </w:pPr>
    </w:p>
    <w:bookmarkStart w:id="211" w:name="page212"/>
    <w:bookmarkEnd w:id="21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210/P10 ACQUISITION PARTNERS,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210 Capital,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Covenant RHA Partners,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Its:  BY: RHA Investments, Inc., its General Partner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Alpert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CCW/LAW Holdings,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 Clark Webb</w:t>
      </w:r>
    </w:p>
    <w:p>
      <w:pPr>
        <w:spacing w:after="0" w:line="23" w:lineRule="exact"/>
        <w:rPr>
          <w:sz w:val="20"/>
          <w:szCs w:val="20"/>
          <w:color w:val="auto"/>
        </w:rPr>
      </w:pPr>
    </w:p>
    <w:p>
      <w:pPr>
        <w:jc w:val="center"/>
        <w:ind w:left="38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ALPERT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 CLARK WEBB</w:t>
      </w:r>
    </w:p>
    <w:p>
      <w:pPr>
        <w:spacing w:after="0" w:line="333"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[Signature Page to Stockholders Agreement]</w:t>
      </w:r>
    </w:p>
    <w:p>
      <w:pPr>
        <w:sectPr>
          <w:pgSz w:w="11900" w:h="16838" w:orient="portrait"/>
          <w:cols w:equalWidth="0" w:num="1">
            <w:col w:w="9400"/>
          </w:cols>
          <w:pgMar w:left="1440" w:top="274" w:right="1059" w:bottom="1440" w:gutter="0" w:footer="0" w:header="0"/>
        </w:sectPr>
      </w:pPr>
    </w:p>
    <w:bookmarkStart w:id="212" w:name="page213"/>
    <w:bookmarkEnd w:id="21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KEYSTONE CAPITAL XXX,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Kent Dauten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Kent Dauten</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G. TOWNSEND FAMILY 2020</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GENERATION-SKIPPING TRUST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Margaret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Margaret D. Townsend</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MARTIN PAUL GILMORE 2020 IRREVOCABLE TRUST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DATED JULY 23, 2020</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Susan Bradford Gilmore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Susan Bradford Gilmore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Rick Wimmer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Rick Wimmer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H. WESTBROOK 2012 IRREVOCABLE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 DATED DECEMBER 11, 2012</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Anne Rollins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Anne Rollins Westbrook</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H.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H. WESTBROOK</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[Signature Page to Stockholders Agreement]</w:t>
      </w:r>
    </w:p>
    <w:p>
      <w:pPr>
        <w:sectPr>
          <w:pgSz w:w="11900" w:h="16838" w:orient="portrait"/>
          <w:cols w:equalWidth="0" w:num="1">
            <w:col w:w="10000"/>
          </w:cols>
          <w:pgMar w:left="1440" w:top="274" w:right="459" w:bottom="1440" w:gutter="0" w:footer="0" w:header="0"/>
        </w:sectPr>
      </w:pPr>
    </w:p>
    <w:bookmarkStart w:id="213" w:name="page214"/>
    <w:bookmarkEnd w:id="213"/>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CHRISTOPHER N. JONES 2014 REVOCABLE TRUST</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DATED MARCH 10, 2014</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N. Jones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JONES FAMILY 2020 DESCENDANTS’ TRUST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DATED JULY 31, 2020</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Lucinda Kellam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Lucinda Kellam Jones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PROJECT STAR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 Whitfield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 Whitfield Edwards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FPC/P10 INVESTMENT,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Whitfield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Whitfield Edwards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[Signature Page to Stockholders Agreement]</w:t>
      </w:r>
    </w:p>
    <w:p>
      <w:pPr>
        <w:sectPr>
          <w:pgSz w:w="11900" w:h="16838" w:orient="portrait"/>
          <w:cols w:equalWidth="0" w:num="1">
            <w:col w:w="9780"/>
          </w:cols>
          <w:pgMar w:left="1440" w:top="274" w:right="679" w:bottom="1440" w:gutter="0" w:footer="0" w:header="0"/>
        </w:sectPr>
      </w:pPr>
    </w:p>
    <w:bookmarkStart w:id="214" w:name="page215"/>
    <w:bookmarkEnd w:id="214"/>
    <w:p>
      <w:pPr>
        <w:jc w:val="center"/>
        <w:ind w:right="-100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3" w:lineRule="exact"/>
        <w:rPr>
          <w:sz w:val="20"/>
          <w:szCs w:val="20"/>
          <w:color w:val="auto"/>
        </w:rPr>
      </w:pPr>
    </w:p>
    <w:p>
      <w:pPr>
        <w:jc w:val="center"/>
        <w:ind w:right="-1004"/>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 xml:space="preserve"> (all of the below)</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RCP 2 Sellers</w:t>
      </w:r>
    </w:p>
    <w:p>
      <w:pPr>
        <w:spacing w:after="0" w:line="23" w:lineRule="exact"/>
        <w:rPr>
          <w:sz w:val="20"/>
          <w:szCs w:val="20"/>
          <w:color w:val="auto"/>
        </w:rPr>
      </w:pPr>
    </w:p>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Alexander Abell</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Andrew Nelson and Laurie Nelson (joint tenants)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Charles K. Huebner as Trustee of the Charles K. Huebner Trust, dated January 16, 2001</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David McCoy</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Jeff P. Gehl as Trustee of the Jeff P. Gehl Living Trust, dated January 25, 2011</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Jon I. Madorsky as Trustee of the Jon I. Madorsky Revocable Trust, dated December 1, 2008</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Michael Feinglass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Nell Blatherwick</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Thomas P. Danis, Jr. as Trustee of the Thomas P. Danis, Jr. Revocable Living Trust, dated March 10, 2003, as amended</w:t>
      </w:r>
    </w:p>
    <w:p>
      <w:pPr>
        <w:spacing w:after="0" w:line="32" w:lineRule="exact"/>
        <w:rPr>
          <w:rFonts w:ascii="Arial" w:cs="Arial" w:eastAsia="Arial" w:hAnsi="Arial"/>
          <w:sz w:val="16"/>
          <w:szCs w:val="16"/>
          <w:color w:val="auto"/>
        </w:rPr>
      </w:pPr>
    </w:p>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Souder Family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Prism 2,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William Souder</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Andrew Nelson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Not RCP 2 Sellers</w:t>
      </w:r>
    </w:p>
    <w:p>
      <w:pPr>
        <w:spacing w:after="0" w:line="23" w:lineRule="exact"/>
        <w:rPr>
          <w:sz w:val="20"/>
          <w:szCs w:val="20"/>
          <w:color w:val="auto"/>
        </w:rPr>
      </w:pPr>
    </w:p>
    <w:p>
      <w:pPr>
        <w:ind w:left="424" w:hanging="424"/>
        <w:spacing w:after="0"/>
        <w:tabs>
          <w:tab w:leader="none" w:pos="42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210/P10 Acquisition Partners, LLC</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 Keystone:</w:t>
      </w:r>
    </w:p>
    <w:p>
      <w:pPr>
        <w:spacing w:after="0" w:line="23" w:lineRule="exact"/>
        <w:rPr>
          <w:sz w:val="20"/>
          <w:szCs w:val="20"/>
          <w:color w:val="auto"/>
        </w:rPr>
      </w:pPr>
    </w:p>
    <w:p>
      <w:pPr>
        <w:ind w:left="424" w:hanging="424"/>
        <w:spacing w:after="0"/>
        <w:tabs>
          <w:tab w:leader="none" w:pos="42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Keystone Capital XXX, LLC</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 FPC:</w:t>
      </w:r>
    </w:p>
    <w:p>
      <w:pPr>
        <w:spacing w:after="0" w:line="23" w:lineRule="exact"/>
        <w:rPr>
          <w:sz w:val="20"/>
          <w:szCs w:val="20"/>
          <w:color w:val="auto"/>
        </w:rPr>
      </w:pPr>
    </w:p>
    <w:p>
      <w:pPr>
        <w:ind w:left="424" w:hanging="424"/>
        <w:spacing w:after="0"/>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David G. Townsend Family 2020 Generation Skipping Trust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Martin Paul Gilmore 2020 Irrevocable Trust dated July 23, 2020</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Thomas H. Westbrook 2012 Irrevocable Trust dated December 11, 2012</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Thomas H. Westbrook</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Christopher N. Jones 2014 Revocable Trust dated March 10, 2014</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Jones Family 2020 Descendants’ Trust dated July 31, 2020</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Project Star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FPC/P10 Investment, LLC</w:t>
      </w:r>
    </w:p>
    <w:p>
      <w:pPr>
        <w:spacing w:after="0" w:line="211" w:lineRule="exact"/>
        <w:rPr>
          <w:sz w:val="20"/>
          <w:szCs w:val="20"/>
          <w:color w:val="auto"/>
        </w:rPr>
      </w:pPr>
    </w:p>
    <w:p>
      <w:pPr>
        <w:ind w:left="224" w:hanging="224"/>
        <w:spacing w:after="0"/>
        <w:tabs>
          <w:tab w:leader="none" w:pos="224"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Enhanced</w:t>
      </w:r>
    </w:p>
    <w:p>
      <w:pPr>
        <w:spacing w:after="0" w:line="23" w:lineRule="exact"/>
        <w:rPr>
          <w:sz w:val="20"/>
          <w:szCs w:val="20"/>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Michael Korengold</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Korengold Family Associates,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MK Note Holdings,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APMK Holdings,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Shane McCarthy</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Richard Montgomery</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Paul Kasper</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VCPE III</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Chaparral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Trident V, L.P.</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Trident V Parallel Fund, L.P.</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Trident V Professionals Fund, L.P.</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David Huston</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Mark Slusar</w:t>
      </w:r>
    </w:p>
    <w:p>
      <w:pPr>
        <w:spacing w:after="0" w:line="211" w:lineRule="exact"/>
        <w:rPr>
          <w:sz w:val="20"/>
          <w:szCs w:val="20"/>
          <w:color w:val="auto"/>
        </w:rPr>
      </w:pPr>
    </w:p>
    <w:p>
      <w:pPr>
        <w:ind w:left="204" w:hanging="204"/>
        <w:spacing w:after="0"/>
        <w:tabs>
          <w:tab w:leader="none" w:pos="204"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TrueBridge</w:t>
      </w:r>
    </w:p>
    <w:p>
      <w:pPr>
        <w:spacing w:after="0" w:line="23" w:lineRule="exact"/>
        <w:rPr>
          <w:sz w:val="20"/>
          <w:szCs w:val="20"/>
          <w:color w:val="auto"/>
        </w:rPr>
      </w:pPr>
    </w:p>
    <w:p>
      <w:pPr>
        <w:ind w:left="424" w:hanging="424"/>
        <w:spacing w:after="0"/>
        <w:tabs>
          <w:tab w:leader="none" w:pos="42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TrueBridge Colonial Fund, u/a dated 11/15/2015</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Alliance Trust Company, Trustee of Mel Williams Irrevocable Trust u/a/d August 12, 2015</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TrueBridge Ascent LLC</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MAW Management Co.</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25ACE2"/>
    <w:multiLevelType w:val="hybridMultilevel"/>
    <w:lvl w:ilvl="0">
      <w:lvlJc w:val="left"/>
      <w:lvlText w:val="☐"/>
      <w:numFmt w:val="bullet"/>
      <w:start w:val="1"/>
    </w:lvl>
  </w:abstractNum>
  <w:abstractNum w:abstractNumId="1">
    <w:nsid w:val="175DFCF0"/>
    <w:multiLevelType w:val="hybridMultilevel"/>
    <w:lvl w:ilvl="0">
      <w:lvlJc w:val="left"/>
      <w:lvlText w:val="•"/>
      <w:numFmt w:val="bullet"/>
      <w:start w:val="1"/>
    </w:lvl>
  </w:abstractNum>
  <w:abstractNum w:abstractNumId="2">
    <w:nsid w:val="4F97E3E4"/>
    <w:multiLevelType w:val="hybridMultilevel"/>
    <w:lvl w:ilvl="0">
      <w:lvlJc w:val="left"/>
      <w:lvlText w:val="%1."/>
      <w:numFmt w:val="decimal"/>
      <w:start w:val="1"/>
    </w:lvl>
    <w:lvl w:ilvl="1">
      <w:lvlJc w:val="left"/>
      <w:lvlText w:val="(%2)"/>
      <w:numFmt w:val="lowerLetter"/>
      <w:start w:val="1"/>
    </w:lvl>
  </w:abstractNum>
  <w:abstractNum w:abstractNumId="3">
    <w:nsid w:val="53B0A9E"/>
    <w:multiLevelType w:val="hybridMultilevel"/>
    <w:lvl w:ilvl="0">
      <w:lvlJc w:val="left"/>
      <w:lvlText w:val="(%1)"/>
      <w:numFmt w:val="lowerLetter"/>
      <w:start w:val="3"/>
    </w:lvl>
  </w:abstractNum>
  <w:abstractNum w:abstractNumId="4">
    <w:nsid w:val="34FD6B4F"/>
    <w:multiLevelType w:val="hybridMultilevel"/>
    <w:lvl w:ilvl="0">
      <w:lvlJc w:val="left"/>
      <w:lvlText w:val="%1"/>
      <w:numFmt w:val="lowerLetter"/>
      <w:start w:val="1"/>
    </w:lvl>
    <w:lvl w:ilvl="1">
      <w:lvlJc w:val="left"/>
      <w:lvlText w:val="(%2)"/>
      <w:numFmt w:val="lowerLetter"/>
      <w:start w:val="7"/>
    </w:lvl>
  </w:abstractNum>
  <w:abstractNum w:abstractNumId="5">
    <w:nsid w:val="5915FF32"/>
    <w:multiLevelType w:val="hybridMultilevel"/>
    <w:lvl w:ilvl="0">
      <w:lvlJc w:val="left"/>
      <w:lvlText w:val="(%1)"/>
      <w:numFmt w:val="lowerLetter"/>
      <w:start w:val="61"/>
    </w:lvl>
    <w:lvl w:ilvl="1">
      <w:lvlJc w:val="left"/>
      <w:lvlText w:val="(%2)"/>
      <w:numFmt w:val="lowerLetter"/>
      <w:start w:val="11"/>
    </w:lvl>
  </w:abstractNum>
  <w:abstractNum w:abstractNumId="6">
    <w:nsid w:val="56438D15"/>
    <w:multiLevelType w:val="hybridMultilevel"/>
    <w:lvl w:ilvl="0">
      <w:lvlJc w:val="left"/>
      <w:lvlText w:val="(%1)"/>
      <w:numFmt w:val="lowerLetter"/>
      <w:start w:val="13"/>
    </w:lvl>
  </w:abstractNum>
  <w:abstractNum w:abstractNumId="7">
    <w:nsid w:val="519E3149"/>
    <w:multiLevelType w:val="hybridMultilevel"/>
    <w:lvl w:ilvl="0">
      <w:lvlJc w:val="left"/>
      <w:lvlText w:val="%1"/>
      <w:numFmt w:val="lowerRoman"/>
      <w:start w:val="1"/>
    </w:lvl>
    <w:lvl w:ilvl="1">
      <w:lvlJc w:val="left"/>
      <w:lvlText w:val="(%2)"/>
      <w:numFmt w:val="lowerLetter"/>
      <w:start w:val="17"/>
    </w:lvl>
  </w:abstractNum>
  <w:abstractNum w:abstractNumId="8">
    <w:nsid w:val="2C6E4AFD"/>
    <w:multiLevelType w:val="hybridMultilevel"/>
    <w:lvl w:ilvl="0">
      <w:lvlJc w:val="left"/>
      <w:lvlText w:val="(%1)"/>
      <w:numFmt w:val="lowerRoman"/>
      <w:start w:val="7"/>
    </w:lvl>
    <w:lvl w:ilvl="1">
      <w:lvlJc w:val="left"/>
      <w:lvlText w:val="%2"/>
      <w:numFmt w:val="lowerLetter"/>
      <w:start w:val="1"/>
    </w:lvl>
  </w:abstractNum>
  <w:abstractNum w:abstractNumId="9">
    <w:nsid w:val="17A1B582"/>
    <w:multiLevelType w:val="hybridMultilevel"/>
    <w:lvl w:ilvl="0">
      <w:lvlJc w:val="left"/>
      <w:lvlText w:val="%1"/>
      <w:numFmt w:val="lowerLetter"/>
      <w:start w:val="1"/>
    </w:lvl>
    <w:lvl w:ilvl="1">
      <w:lvlJc w:val="left"/>
      <w:lvlText w:val="(%2)"/>
      <w:numFmt w:val="lowerLetter"/>
      <w:start w:val="20"/>
    </w:lvl>
  </w:abstractNum>
  <w:abstractNum w:abstractNumId="10">
    <w:nsid w:val="4DF72E4E"/>
    <w:multiLevelType w:val="hybridMultilevel"/>
    <w:lvl w:ilvl="0">
      <w:lvlJc w:val="left"/>
      <w:lvlText w:val="(%1)"/>
      <w:numFmt w:val="lowerLetter"/>
      <w:start w:val="1"/>
    </w:lvl>
    <w:lvl w:ilvl="1">
      <w:lvlJc w:val="left"/>
      <w:lvlText w:val="%2"/>
      <w:numFmt w:val="lowerLetter"/>
      <w:start w:val="1"/>
    </w:lvl>
  </w:abstractNum>
  <w:abstractNum w:abstractNumId="11">
    <w:nsid w:val="5046B5A9"/>
    <w:multiLevelType w:val="hybridMultilevel"/>
    <w:lvl w:ilvl="0">
      <w:lvlJc w:val="left"/>
      <w:lvlText w:val="(%1)"/>
      <w:numFmt w:val="lowerLetter"/>
      <w:start w:val="21"/>
    </w:lvl>
    <w:lvl w:ilvl="1">
      <w:lvlJc w:val="left"/>
      <w:lvlText w:val="(%2)"/>
      <w:numFmt w:val="lowerRoman"/>
      <w:start w:val="1"/>
    </w:lvl>
    <w:lvl w:ilvl="2">
      <w:lvlJc w:val="left"/>
      <w:lvlText w:val="(%3)"/>
      <w:numFmt w:val="upperLetter"/>
      <w:start w:val="1"/>
    </w:lvl>
  </w:abstractNum>
  <w:abstractNum w:abstractNumId="12">
    <w:nsid w:val="5D888A08"/>
    <w:multiLevelType w:val="hybridMultilevel"/>
    <w:lvl w:ilvl="0">
      <w:lvlJc w:val="left"/>
      <w:lvlText w:val="(%1)"/>
      <w:numFmt w:val="lowerLetter"/>
      <w:start w:val="23"/>
    </w:lvl>
  </w:abstractNum>
  <w:abstractNum w:abstractNumId="13">
    <w:nsid w:val="2A082C70"/>
    <w:multiLevelType w:val="hybridMultilevel"/>
    <w:lvl w:ilvl="0">
      <w:lvlJc w:val="left"/>
      <w:lvlText w:val="%1"/>
      <w:numFmt w:val="lowerLetter"/>
      <w:start w:val="1"/>
    </w:lvl>
    <w:lvl w:ilvl="1">
      <w:lvlJc w:val="left"/>
      <w:lvlText w:val="(%2)"/>
      <w:numFmt w:val="lowerLetter"/>
      <w:start w:val="26"/>
    </w:lvl>
  </w:abstractNum>
  <w:abstractNum w:abstractNumId="14">
    <w:nsid w:val="5EC6AFD4"/>
    <w:multiLevelType w:val="hybridMultilevel"/>
    <w:lvl w:ilvl="0">
      <w:lvlJc w:val="left"/>
      <w:lvlText w:val="(%1)"/>
      <w:numFmt w:val="lowerLetter"/>
      <w:start w:val="9"/>
    </w:lvl>
    <w:lvl w:ilvl="1">
      <w:lvlJc w:val="left"/>
      <w:lvlText w:val="(%2)"/>
      <w:numFmt w:val="lowerLetter"/>
      <w:start w:val="27"/>
    </w:lvl>
  </w:abstractNum>
  <w:abstractNum w:abstractNumId="15">
    <w:nsid w:val="19E21BB2"/>
    <w:multiLevelType w:val="hybridMultilevel"/>
    <w:lvl w:ilvl="0">
      <w:lvlJc w:val="left"/>
      <w:lvlText w:val="(%1)"/>
      <w:numFmt w:val="lowerLetter"/>
      <w:start w:val="29"/>
    </w:lvl>
  </w:abstractNum>
  <w:abstractNum w:abstractNumId="16">
    <w:nsid w:val="75E0858A"/>
    <w:multiLevelType w:val="hybridMultilevel"/>
    <w:lvl w:ilvl="0">
      <w:lvlJc w:val="left"/>
      <w:lvlText w:val="(%1)"/>
      <w:numFmt w:val="lowerLetter"/>
      <w:start w:val="32"/>
    </w:lvl>
    <w:lvl w:ilvl="1">
      <w:lvlJc w:val="left"/>
      <w:lvlText w:val="(%2)"/>
      <w:numFmt w:val="lowerLetter"/>
      <w:start w:val="35"/>
    </w:lvl>
  </w:abstractNum>
  <w:abstractNum w:abstractNumId="17">
    <w:nsid w:val="57A61A29"/>
    <w:multiLevelType w:val="hybridMultilevel"/>
    <w:lvl w:ilvl="0">
      <w:lvlJc w:val="left"/>
      <w:lvlText w:val="%1"/>
      <w:numFmt w:val="lowerLetter"/>
      <w:start w:val="1"/>
    </w:lvl>
    <w:lvl w:ilvl="1">
      <w:lvlJc w:val="left"/>
      <w:lvlText w:val="(%2)"/>
      <w:numFmt w:val="lowerRoman"/>
      <w:start w:val="2"/>
    </w:lvl>
  </w:abstractNum>
  <w:abstractNum w:abstractNumId="18">
    <w:nsid w:val="5399C654"/>
    <w:multiLevelType w:val="hybridMultilevel"/>
    <w:lvl w:ilvl="0">
      <w:lvlJc w:val="left"/>
      <w:lvlText w:val="(%1)"/>
      <w:numFmt w:val="lowerLetter"/>
      <w:start w:val="34"/>
    </w:lvl>
    <w:lvl w:ilvl="1">
      <w:lvlJc w:val="left"/>
      <w:lvlText w:val="%2"/>
      <w:numFmt w:val="lowerRoman"/>
      <w:start w:val="1"/>
    </w:lvl>
  </w:abstractNum>
  <w:abstractNum w:abstractNumId="19">
    <w:nsid w:val="20EE1348"/>
    <w:multiLevelType w:val="hybridMultilevel"/>
    <w:lvl w:ilvl="0">
      <w:lvlJc w:val="left"/>
      <w:lvlText w:val="(%1)"/>
      <w:numFmt w:val="lowerLetter"/>
      <w:start w:val="35"/>
    </w:lvl>
  </w:abstractNum>
  <w:abstractNum w:abstractNumId="20">
    <w:nsid w:val="4427069A"/>
    <w:multiLevelType w:val="hybridMultilevel"/>
    <w:lvl w:ilvl="0">
      <w:lvlJc w:val="left"/>
      <w:lvlText w:val="(%1)"/>
      <w:numFmt w:val="lowerLetter"/>
      <w:start w:val="40"/>
    </w:lvl>
  </w:abstractNum>
  <w:abstractNum w:abstractNumId="21">
    <w:nsid w:val="B37E80A"/>
    <w:multiLevelType w:val="hybridMultilevel"/>
    <w:lvl w:ilvl="0">
      <w:lvlJc w:val="left"/>
      <w:lvlText w:val="(%1)"/>
      <w:numFmt w:val="lowerLetter"/>
      <w:start w:val="45"/>
    </w:lvl>
  </w:abstractNum>
  <w:abstractNum w:abstractNumId="22">
    <w:nsid w:val="2157F6BC"/>
    <w:multiLevelType w:val="hybridMultilevel"/>
    <w:lvl w:ilvl="0">
      <w:lvlJc w:val="left"/>
      <w:lvlText w:val="%1"/>
      <w:numFmt w:val="decimal"/>
      <w:start w:val="1"/>
    </w:lvl>
    <w:lvl w:ilvl="1">
      <w:lvlJc w:val="left"/>
      <w:lvlText w:val="(%2)"/>
      <w:numFmt w:val="lowerLetter"/>
      <w:start w:val="48"/>
    </w:lvl>
  </w:abstractNum>
  <w:abstractNum w:abstractNumId="23">
    <w:nsid w:val="704E1DD5"/>
    <w:multiLevelType w:val="hybridMultilevel"/>
    <w:lvl w:ilvl="0">
      <w:lvlJc w:val="left"/>
      <w:lvlText w:val="%1."/>
      <w:numFmt w:val="decimal"/>
      <w:start w:val="2"/>
    </w:lvl>
    <w:lvl w:ilvl="1">
      <w:lvlJc w:val="left"/>
      <w:lvlText w:val="(%2)"/>
      <w:numFmt w:val="lowerLetter"/>
      <w:start w:val="1"/>
    </w:lvl>
  </w:abstractNum>
  <w:abstractNum w:abstractNumId="24">
    <w:nsid w:val="57D2F10E"/>
    <w:multiLevelType w:val="hybridMultilevel"/>
    <w:lvl w:ilvl="0">
      <w:lvlJc w:val="left"/>
      <w:lvlText w:val="(%1)"/>
      <w:numFmt w:val="lowerLetter"/>
      <w:start w:val="3"/>
    </w:lvl>
  </w:abstractNum>
  <w:abstractNum w:abstractNumId="25">
    <w:nsid w:val="BFFAE18"/>
    <w:multiLevelType w:val="hybridMultilevel"/>
    <w:lvl w:ilvl="0">
      <w:lvlJc w:val="left"/>
      <w:lvlText w:val="(%1)"/>
      <w:numFmt w:val="lowerLetter"/>
      <w:start w:val="6"/>
    </w:lvl>
  </w:abstractNum>
  <w:abstractNum w:abstractNumId="26">
    <w:nsid w:val="E3E47A8"/>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27">
    <w:nsid w:val="2E48F04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lowerLetter"/>
      <w:start w:val="22"/>
    </w:lvl>
  </w:abstractNum>
  <w:abstractNum w:abstractNumId="28">
    <w:nsid w:val="49D0FEAC"/>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29">
    <w:nsid w:val="4BEE5A5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30">
    <w:nsid w:val="5551B9F3"/>
    <w:multiLevelType w:val="hybridMultilevel"/>
    <w:lvl w:ilvl="0">
      <w:lvlJc w:val="left"/>
      <w:lvlText w:val="%1."/>
      <w:numFmt w:val="decimal"/>
      <w:start w:val="4"/>
    </w:lvl>
  </w:abstractNum>
  <w:abstractNum w:abstractNumId="31">
    <w:nsid w:val="24F6AB8E"/>
    <w:multiLevelType w:val="hybridMultilevel"/>
    <w:lvl w:ilvl="0">
      <w:lvlJc w:val="left"/>
      <w:lvlText w:val="%1."/>
      <w:numFmt w:val="decimal"/>
      <w:start w:val="6"/>
    </w:lvl>
  </w:abstractNum>
  <w:abstractNum w:abstractNumId="32">
    <w:nsid w:val="634C574C"/>
    <w:multiLevelType w:val="hybridMultilevel"/>
    <w:lvl w:ilvl="0">
      <w:lvlJc w:val="left"/>
      <w:lvlText w:val="(%1)"/>
      <w:numFmt w:val="lowerLetter"/>
      <w:start w:val="1"/>
    </w:lvl>
    <w:lvl w:ilvl="1">
      <w:lvlJc w:val="left"/>
      <w:lvlText w:val="(%2)"/>
      <w:numFmt w:val="lowerRoman"/>
      <w:start w:val="1"/>
    </w:lvl>
  </w:abstractNum>
  <w:abstractNum w:abstractNumId="33">
    <w:nsid w:val="24E99DD7"/>
    <w:multiLevelType w:val="hybridMultilevel"/>
    <w:lvl w:ilvl="0">
      <w:lvlJc w:val="left"/>
      <w:lvlText w:val="(%1)"/>
      <w:numFmt w:val="lowerLetter"/>
      <w:start w:val="3"/>
    </w:lvl>
    <w:lvl w:ilvl="1">
      <w:lvlJc w:val="left"/>
      <w:lvlText w:val="(%2)"/>
      <w:numFmt w:val="lowerRoman"/>
      <w:start w:val="1"/>
    </w:lvl>
  </w:abstractNum>
  <w:abstractNum w:abstractNumId="34">
    <w:nsid w:val="2A31B62D"/>
    <w:multiLevelType w:val="hybridMultilevel"/>
    <w:lvl w:ilvl="0">
      <w:lvlJc w:val="left"/>
      <w:lvlText w:val="(%1)"/>
      <w:numFmt w:val="lowerRoman"/>
      <w:start w:val="6"/>
    </w:lvl>
  </w:abstractNum>
  <w:abstractNum w:abstractNumId="35">
    <w:nsid w:val="1849C29B"/>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36">
    <w:nsid w:val="7DFF9D09"/>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37">
    <w:nsid w:val="754342"/>
    <w:multiLevelType w:val="hybridMultilevel"/>
    <w:lvl w:ilvl="0">
      <w:lvlJc w:val="left"/>
      <w:lvlText w:val="%1"/>
      <w:numFmt w:val="lowerLetter"/>
      <w:start w:val="1"/>
    </w:lvl>
    <w:lvl w:ilvl="1">
      <w:lvlJc w:val="left"/>
      <w:lvlText w:val="(%2)"/>
      <w:numFmt w:val="lowerRoman"/>
      <w:start w:val="3"/>
    </w:lvl>
  </w:abstractNum>
  <w:abstractNum w:abstractNumId="38">
    <w:nsid w:val="69E7F3E5"/>
    <w:multiLevelType w:val="hybridMultilevel"/>
    <w:lvl w:ilvl="0">
      <w:lvlJc w:val="left"/>
      <w:lvlText w:val="(%1)"/>
      <w:numFmt w:val="lowerLetter"/>
      <w:start w:val="5"/>
    </w:lvl>
    <w:lvl w:ilvl="1">
      <w:lvlJc w:val="left"/>
      <w:lvlText w:val="%2"/>
      <w:numFmt w:val="lowerRoman"/>
      <w:start w:val="1"/>
    </w:lvl>
  </w:abstractNum>
  <w:abstractNum w:abstractNumId="39">
    <w:nsid w:val="2A6DE806"/>
    <w:multiLevelType w:val="hybridMultilevel"/>
    <w:lvl w:ilvl="0">
      <w:lvlJc w:val="left"/>
      <w:lvlText w:val="(%1)"/>
      <w:numFmt w:val="lowerLetter"/>
      <w:start w:val="6"/>
    </w:lvl>
  </w:abstractNum>
  <w:abstractNum w:abstractNumId="40">
    <w:nsid w:val="1816F8C4"/>
    <w:multiLevelType w:val="hybridMultilevel"/>
    <w:lvl w:ilvl="0">
      <w:lvlJc w:val="left"/>
      <w:lvlText w:val="(%1)"/>
      <w:numFmt w:val="lowerLetter"/>
      <w:start w:val="7"/>
    </w:lvl>
  </w:abstractNum>
  <w:abstractNum w:abstractNumId="41">
    <w:nsid w:val="37DF2233"/>
    <w:multiLevelType w:val="hybridMultilevel"/>
    <w:lvl w:ilvl="0">
      <w:lvlJc w:val="left"/>
      <w:lvlText w:val="(%1)"/>
      <w:numFmt w:val="lowerLetter"/>
      <w:start w:val="9"/>
    </w:lvl>
    <w:lvl w:ilvl="1">
      <w:lvlJc w:val="left"/>
      <w:lvlText w:val="(%2)"/>
      <w:numFmt w:val="lowerRoman"/>
      <w:start w:val="1"/>
    </w:lvl>
  </w:abstractNum>
  <w:abstractNum w:abstractNumId="42">
    <w:nsid w:val="7AB49D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43">
    <w:nsid w:val="759F82C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4">
    <w:nsid w:val="61E74EA3"/>
    <w:multiLevelType w:val="hybridMultilevel"/>
    <w:lvl w:ilvl="0">
      <w:lvlJc w:val="left"/>
      <w:lvlText w:val="(%1)"/>
      <w:numFmt w:val="lowerLetter"/>
      <w:start w:val="5"/>
    </w:lvl>
  </w:abstractNum>
  <w:abstractNum w:abstractNumId="45">
    <w:nsid w:val="597B4D84"/>
    <w:multiLevelType w:val="hybridMultilevel"/>
    <w:lvl w:ilvl="0">
      <w:lvlJc w:val="left"/>
      <w:lvlText w:val="(%1)"/>
      <w:numFmt w:val="lowerLetter"/>
      <w:start w:val="9"/>
    </w:lvl>
  </w:abstractNum>
  <w:abstractNum w:abstractNumId="46">
    <w:nsid w:val="F819E7F"/>
    <w:multiLevelType w:val="hybridMultilevel"/>
    <w:lvl w:ilvl="0">
      <w:lvlJc w:val="left"/>
      <w:lvlText w:val="(%1)"/>
      <w:numFmt w:val="lowerLetter"/>
      <w:start w:val="11"/>
    </w:lvl>
  </w:abstractNum>
  <w:abstractNum w:abstractNumId="47">
    <w:nsid w:val="57C7D42D"/>
    <w:multiLevelType w:val="hybridMultilevel"/>
    <w:lvl w:ilvl="0">
      <w:lvlJc w:val="left"/>
      <w:lvlText w:val="(%1)"/>
      <w:numFmt w:val="decimal"/>
      <w:start w:val="1"/>
    </w:lvl>
  </w:abstractNum>
  <w:abstractNum w:abstractNumId="48">
    <w:nsid w:val="312167AD"/>
    <w:multiLevelType w:val="hybridMultilevel"/>
    <w:lvl w:ilvl="0">
      <w:lvlJc w:val="left"/>
      <w:lvlText w:val="%1."/>
      <w:numFmt w:val="decimal"/>
      <w:start w:val="8"/>
    </w:lvl>
    <w:lvl w:ilvl="1">
      <w:lvlJc w:val="left"/>
      <w:lvlText w:val="(%2)"/>
      <w:numFmt w:val="lowerLetter"/>
      <w:start w:val="1"/>
    </w:lvl>
  </w:abstractNum>
  <w:abstractNum w:abstractNumId="49">
    <w:nsid w:val="631B64D4"/>
    <w:multiLevelType w:val="hybridMultilevel"/>
    <w:lvl w:ilvl="0">
      <w:lvlJc w:val="left"/>
      <w:lvlText w:val="(%1)"/>
      <w:numFmt w:val="lowerLetter"/>
      <w:start w:val="2"/>
    </w:lvl>
  </w:abstractNum>
  <w:abstractNum w:abstractNumId="50">
    <w:nsid w:val="78B5E776"/>
    <w:multiLevelType w:val="hybridMultilevel"/>
    <w:lvl w:ilvl="0">
      <w:lvlJc w:val="left"/>
      <w:lvlText w:val="%1"/>
      <w:numFmt w:val="lowerLetter"/>
      <w:start w:val="1"/>
    </w:lvl>
    <w:lvl w:ilvl="1">
      <w:lvlJc w:val="left"/>
      <w:lvlText w:val="(%2)"/>
      <w:numFmt w:val="lowerLetter"/>
      <w:start w:val="3"/>
    </w:lvl>
  </w:abstractNum>
  <w:abstractNum w:abstractNumId="51">
    <w:nsid w:val="75486E47"/>
    <w:multiLevelType w:val="hybridMultilevel"/>
    <w:lvl w:ilvl="0">
      <w:lvlJc w:val="left"/>
      <w:lvlText w:val="(%1)"/>
      <w:numFmt w:val="lowerLetter"/>
      <w:start w:val="35"/>
    </w:lvl>
    <w:lvl w:ilvl="1">
      <w:lvlJc w:val="left"/>
      <w:lvlText w:val="%2"/>
      <w:numFmt w:val="lowerLetter"/>
      <w:start w:val="1"/>
    </w:lvl>
  </w:abstractNum>
  <w:abstractNum w:abstractNumId="52">
    <w:nsid w:val="6E534CDE"/>
    <w:multiLevelType w:val="hybridMultilevel"/>
    <w:lvl w:ilvl="0">
      <w:lvlJc w:val="left"/>
      <w:lvlText w:val="(%1)"/>
      <w:numFmt w:val="lowerLetter"/>
      <w:start w:val="5"/>
    </w:lvl>
  </w:abstractNum>
  <w:abstractNum w:abstractNumId="53">
    <w:nsid w:val="1A0DDE32"/>
    <w:multiLevelType w:val="hybridMultilevel"/>
    <w:lvl w:ilvl="0">
      <w:lvlJc w:val="left"/>
      <w:lvlText w:val="%1"/>
      <w:numFmt w:val="decimal"/>
      <w:start w:val="1"/>
    </w:lvl>
    <w:lvl w:ilvl="1">
      <w:lvlJc w:val="left"/>
      <w:lvlText w:val="(%2)"/>
      <w:numFmt w:val="lowerLetter"/>
      <w:start w:val="6"/>
    </w:lvl>
  </w:abstractNum>
  <w:abstractNum w:abstractNumId="54">
    <w:nsid w:val="65968C1C"/>
    <w:multiLevelType w:val="hybridMultilevel"/>
    <w:lvl w:ilvl="0">
      <w:lvlJc w:val="left"/>
      <w:lvlText w:val="%1."/>
      <w:numFmt w:val="decimal"/>
      <w:start w:val="11"/>
    </w:lvl>
    <w:lvl w:ilvl="1">
      <w:lvlJc w:val="left"/>
      <w:lvlText w:val="%2"/>
      <w:numFmt w:val="lowerLetter"/>
      <w:start w:val="1"/>
    </w:lvl>
  </w:abstractNum>
  <w:abstractNum w:abstractNumId="55">
    <w:nsid w:val="46263DEC"/>
    <w:multiLevelType w:val="hybridMultilevel"/>
    <w:lvl w:ilvl="0">
      <w:lvlJc w:val="left"/>
      <w:lvlText w:val="(%1)"/>
      <w:numFmt w:val="lowerLetter"/>
      <w:start w:val="2"/>
    </w:lvl>
  </w:abstractNum>
  <w:abstractNum w:abstractNumId="56">
    <w:nsid w:val="260D8C4A"/>
    <w:multiLevelType w:val="hybridMultilevel"/>
    <w:lvl w:ilvl="0">
      <w:lvlJc w:val="left"/>
      <w:lvlText w:val="(%1)"/>
      <w:numFmt w:val="lowerLetter"/>
      <w:start w:val="3"/>
    </w:lvl>
  </w:abstractNum>
  <w:abstractNum w:abstractNumId="57">
    <w:nsid w:val="73D4D3C4"/>
    <w:multiLevelType w:val="hybridMultilevel"/>
    <w:lvl w:ilvl="0">
      <w:lvlJc w:val="left"/>
      <w:lvlText w:val="%1"/>
      <w:numFmt w:val="lowerLetter"/>
      <w:start w:val="1"/>
    </w:lvl>
    <w:lvl w:ilvl="1">
      <w:lvlJc w:val="left"/>
      <w:lvlText w:val="(%2)"/>
      <w:numFmt w:val="lowerLetter"/>
      <w:start w:val="5"/>
    </w:lvl>
  </w:abstractNum>
  <w:abstractNum w:abstractNumId="58">
    <w:nsid w:val="746F2E30"/>
    <w:multiLevelType w:val="hybridMultilevel"/>
    <w:lvl w:ilvl="0">
      <w:lvlJc w:val="left"/>
      <w:lvlText w:val="(%1)"/>
      <w:numFmt w:val="lowerLetter"/>
      <w:start w:val="9"/>
    </w:lvl>
    <w:lvl w:ilvl="1">
      <w:lvlJc w:val="left"/>
      <w:lvlText w:val="%2"/>
      <w:numFmt w:val="lowerLetter"/>
      <w:start w:val="1"/>
    </w:lvl>
  </w:abstractNum>
  <w:abstractNum w:abstractNumId="59">
    <w:nsid w:val="6FDE8AF6"/>
    <w:multiLevelType w:val="hybridMultilevel"/>
    <w:lvl w:ilvl="0">
      <w:lvlJc w:val="left"/>
      <w:lvlText w:val="%1."/>
      <w:numFmt w:val="decimal"/>
      <w:start w:val="12"/>
    </w:lvl>
  </w:abstractNum>
  <w:abstractNum w:abstractNumId="60">
    <w:nsid w:val="3FC32E20"/>
    <w:multiLevelType w:val="hybridMultilevel"/>
    <w:lvl w:ilvl="0">
      <w:lvlJc w:val="left"/>
      <w:lvlText w:val="(%1)"/>
      <w:numFmt w:val="lowerRoman"/>
      <w:start w:val="2"/>
    </w:lvl>
  </w:abstractNum>
  <w:abstractNum w:abstractNumId="61">
    <w:nsid w:val="49C0E823"/>
    <w:multiLevelType w:val="hybridMultilevel"/>
    <w:lvl w:ilvl="0">
      <w:lvlJc w:val="left"/>
      <w:lvlText w:val="%1."/>
      <w:numFmt w:val="decimal"/>
      <w:start w:val="14"/>
    </w:lvl>
    <w:lvl w:ilvl="1">
      <w:lvlJc w:val="left"/>
      <w:lvlText w:val="(%2)"/>
      <w:numFmt w:val="lowerLetter"/>
      <w:start w:val="2"/>
    </w:lvl>
  </w:abstractNum>
  <w:abstractNum w:abstractNumId="62">
    <w:nsid w:val="14D53685"/>
    <w:multiLevelType w:val="hybridMultilevel"/>
    <w:lvl w:ilvl="0">
      <w:lvlJc w:val="left"/>
      <w:lvlText w:val="%1"/>
      <w:numFmt w:val="decimal"/>
      <w:start w:val="1"/>
    </w:lvl>
    <w:lvl w:ilvl="1">
      <w:lvlJc w:val="left"/>
      <w:lvlText w:val="(%2)"/>
      <w:numFmt w:val="lowerLetter"/>
      <w:start w:val="3"/>
    </w:lvl>
  </w:abstractNum>
  <w:abstractNum w:abstractNumId="63">
    <w:nsid w:val="230F856C"/>
    <w:multiLevelType w:val="hybridMultilevel"/>
    <w:lvl w:ilvl="0">
      <w:lvlJc w:val="left"/>
      <w:lvlText w:val="%1."/>
      <w:numFmt w:val="decimal"/>
      <w:start w:val="15"/>
    </w:lvl>
    <w:lvl w:ilvl="1">
      <w:lvlJc w:val="left"/>
      <w:lvlText w:val="(%2)"/>
      <w:numFmt w:val="lowerLetter"/>
      <w:start w:val="2"/>
    </w:lvl>
  </w:abstractNum>
  <w:abstractNum w:abstractNumId="64">
    <w:nsid w:val="6EAA85FB"/>
    <w:multiLevelType w:val="hybridMultilevel"/>
    <w:lvl w:ilvl="0">
      <w:lvlJc w:val="left"/>
      <w:lvlText w:val="%1."/>
      <w:numFmt w:val="decimal"/>
      <w:start w:val="16"/>
    </w:lvl>
  </w:abstractNum>
  <w:abstractNum w:abstractNumId="65">
    <w:nsid w:val="3F06ECB2"/>
    <w:multiLevelType w:val="hybridMultilevel"/>
    <w:lvl w:ilvl="0">
      <w:lvlJc w:val="left"/>
      <w:lvlText w:val="%1."/>
      <w:numFmt w:val="decimal"/>
      <w:start w:val="22"/>
    </w:lvl>
  </w:abstractNum>
  <w:abstractNum w:abstractNumId="66">
    <w:nsid w:val="3B594807"/>
    <w:multiLevelType w:val="hybridMultilevel"/>
    <w:lvl w:ilvl="0">
      <w:lvlJc w:val="left"/>
      <w:lvlText w:val="(%1)"/>
      <w:numFmt w:val="lowerLetter"/>
      <w:start w:val="1"/>
    </w:lvl>
  </w:abstractNum>
  <w:abstractNum w:abstractNumId="67">
    <w:nsid w:val="6CAA2304"/>
    <w:multiLevelType w:val="hybridMultilevel"/>
    <w:lvl w:ilvl="0">
      <w:lvlJc w:val="left"/>
      <w:lvlText w:val="%1."/>
      <w:numFmt w:val="decimal"/>
      <w:start w:val="1"/>
    </w:lvl>
  </w:abstractNum>
  <w:abstractNum w:abstractNumId="68">
    <w:nsid w:val="3F7C2FF4"/>
    <w:multiLevelType w:val="hybridMultilevel"/>
    <w:lvl w:ilvl="0">
      <w:lvlJc w:val="left"/>
      <w:lvlText w:val="%1."/>
      <w:numFmt w:val="decimal"/>
      <w:start w:val="1"/>
    </w:lvl>
  </w:abstractNum>
  <w:abstractNum w:abstractNumId="69">
    <w:nsid w:val="25413BEC"/>
    <w:multiLevelType w:val="hybridMultilevel"/>
    <w:lvl w:ilvl="0">
      <w:lvlJc w:val="left"/>
      <w:lvlText w:val="%1."/>
      <w:numFmt w:val="decimal"/>
      <w:start w:val="4"/>
    </w:lvl>
  </w:abstractNum>
  <w:abstractNum w:abstractNumId="70">
    <w:nsid w:val="17180B0B"/>
    <w:multiLevelType w:val="hybridMultilevel"/>
    <w:lvl w:ilvl="0">
      <w:lvlJc w:val="left"/>
      <w:lvlText w:val="(%1)"/>
      <w:numFmt w:val="decimal"/>
      <w:start w:val="2"/>
    </w:lvl>
  </w:abstractNum>
  <w:abstractNum w:abstractNumId="71">
    <w:nsid w:val="579328B9"/>
    <w:multiLevelType w:val="hybridMultilevel"/>
    <w:lvl w:ilvl="0">
      <w:lvlJc w:val="left"/>
      <w:lvlText w:val="%1"/>
      <w:numFmt w:val="lowerLetter"/>
      <w:start w:val="1"/>
    </w:lvl>
    <w:lvl w:ilvl="1">
      <w:lvlJc w:val="left"/>
      <w:lvlText w:val="(%2)"/>
      <w:numFmt w:val="lowerLetter"/>
      <w:start w:val="1"/>
    </w:lvl>
  </w:abstractNum>
  <w:abstractNum w:abstractNumId="72">
    <w:nsid w:val="5D205E20"/>
    <w:multiLevelType w:val="hybridMultilevel"/>
    <w:lvl w:ilvl="0">
      <w:lvlJc w:val="left"/>
      <w:lvlText w:val="(%1)"/>
      <w:numFmt w:val="lowerLetter"/>
      <w:start w:val="35"/>
    </w:lvl>
    <w:lvl w:ilvl="1">
      <w:lvlJc w:val="left"/>
      <w:lvlText w:val="%2"/>
      <w:numFmt w:val="lowerLetter"/>
      <w:start w:val="1"/>
    </w:lvl>
  </w:abstractNum>
  <w:abstractNum w:abstractNumId="73">
    <w:nsid w:val="11CCA8BA"/>
    <w:multiLevelType w:val="hybridMultilevel"/>
    <w:lvl w:ilvl="0">
      <w:lvlJc w:val="left"/>
      <w:lvlText w:val="(%1)"/>
      <w:numFmt w:val="lowerLetter"/>
      <w:start w:val="8"/>
    </w:lvl>
  </w:abstractNum>
  <w:abstractNum w:abstractNumId="74">
    <w:nsid w:val="4D32AB86"/>
    <w:multiLevelType w:val="hybridMultilevel"/>
    <w:lvl w:ilvl="0">
      <w:lvlJc w:val="left"/>
      <w:lvlText w:val="%1."/>
      <w:numFmt w:val="decimal"/>
      <w:start w:val="1"/>
    </w:lvl>
  </w:abstractNum>
  <w:abstractNum w:abstractNumId="75">
    <w:nsid w:val="3F07ACC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6">
    <w:nsid w:val="6B47F63E"/>
    <w:multiLevelType w:val="hybridMultilevel"/>
    <w:lvl w:ilvl="0">
      <w:lvlJc w:val="left"/>
      <w:lvlText w:val="(%1)"/>
      <w:numFmt w:val="lowerLetter"/>
      <w:start w:val="1"/>
    </w:lvl>
  </w:abstractNum>
  <w:abstractNum w:abstractNumId="77">
    <w:nsid w:val="5CB44A05"/>
    <w:multiLevelType w:val="hybridMultilevel"/>
    <w:lvl w:ilvl="0">
      <w:lvlJc w:val="left"/>
      <w:lvlText w:val="(%1)"/>
      <w:numFmt w:val="lowerLetter"/>
      <w:start w:val="3"/>
    </w:lvl>
  </w:abstractNum>
  <w:abstractNum w:abstractNumId="78">
    <w:nsid w:val="16CF80F1"/>
    <w:multiLevelType w:val="hybridMultilevel"/>
    <w:lvl w:ilvl="0">
      <w:lvlJc w:val="left"/>
      <w:lvlText w:val="(%1)"/>
      <w:numFmt w:val="lowerLetter"/>
      <w:start w:val="1"/>
    </w:lvl>
    <w:lvl w:ilvl="1">
      <w:lvlJc w:val="left"/>
      <w:lvlText w:val="%2."/>
      <w:numFmt w:val="lowerRoman"/>
      <w:start w:val="1"/>
    </w:lvl>
  </w:abstractNum>
  <w:abstractNum w:abstractNumId="79">
    <w:nsid w:val="1C695DEC"/>
    <w:multiLevelType w:val="hybridMultilevel"/>
    <w:lvl w:ilvl="0">
      <w:lvlJc w:val="left"/>
      <w:lvlText w:val="(%1)"/>
      <w:numFmt w:val="lowerLetter"/>
      <w:start w:val="1"/>
    </w:lvl>
  </w:abstractNum>
  <w:abstractNum w:abstractNumId="80">
    <w:nsid w:val="3FCFAED9"/>
    <w:multiLevelType w:val="hybridMultilevel"/>
    <w:lvl w:ilvl="0">
      <w:lvlJc w:val="left"/>
      <w:lvlText w:val="(%1)"/>
      <w:numFmt w:val="lowerLetter"/>
      <w:start w:val="3"/>
    </w:lvl>
  </w:abstractNum>
  <w:abstractNum w:abstractNumId="81">
    <w:nsid w:val="F856867"/>
    <w:multiLevelType w:val="hybridMultilevel"/>
    <w:lvl w:ilvl="0">
      <w:lvlJc w:val="left"/>
      <w:lvlText w:val="(%1)"/>
      <w:numFmt w:val="lowerLetter"/>
      <w:start w:val="1"/>
    </w:lvl>
  </w:abstractNum>
  <w:abstractNum w:abstractNumId="82">
    <w:nsid w:val="11B1CC33"/>
    <w:multiLevelType w:val="hybridMultilevel"/>
    <w:lvl w:ilvl="0">
      <w:lvlJc w:val="left"/>
      <w:lvlText w:val="(%1)"/>
      <w:numFmt w:val="lowerLetter"/>
      <w:start w:val="1"/>
    </w:lvl>
  </w:abstractNum>
  <w:abstractNum w:abstractNumId="83">
    <w:nsid w:val="2E22FBB7"/>
    <w:multiLevelType w:val="hybridMultilevel"/>
    <w:lvl w:ilvl="0">
      <w:lvlJc w:val="left"/>
      <w:lvlText w:val="(%1)"/>
      <w:numFmt w:val="lowerLetter"/>
      <w:start w:val="1"/>
    </w:lvl>
    <w:lvl w:ilvl="1">
      <w:lvlJc w:val="left"/>
      <w:lvlText w:val="(%2)"/>
      <w:numFmt w:val="lowerRoman"/>
      <w:start w:val="1"/>
    </w:lvl>
  </w:abstractNum>
  <w:abstractNum w:abstractNumId="84">
    <w:nsid w:val="29934699"/>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85">
    <w:nsid w:val="77485850"/>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86">
    <w:nsid w:val="744939A3"/>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87">
    <w:nsid w:val="4FA0D2E3"/>
    <w:multiLevelType w:val="hybridMultilevel"/>
    <w:lvl w:ilvl="0">
      <w:lvlJc w:val="left"/>
      <w:lvlText w:val="(%1)"/>
      <w:numFmt w:val="decimal"/>
      <w:start w:val="3"/>
    </w:lvl>
    <w:lvl w:ilvl="1">
      <w:lvlJc w:val="left"/>
      <w:lvlText w:val="(%2)"/>
      <w:numFmt w:val="lowerRoman"/>
      <w:start w:val="3"/>
    </w:lvl>
    <w:lvl w:ilvl="2">
      <w:lvlJc w:val="left"/>
      <w:lvlText w:val="(%3)"/>
      <w:numFmt w:val="upperLetter"/>
      <w:start w:val="4"/>
    </w:lvl>
  </w:abstractNum>
  <w:abstractNum w:abstractNumId="88">
    <w:nsid w:val="6B1D2C14"/>
    <w:multiLevelType w:val="hybridMultilevel"/>
    <w:lvl w:ilvl="0">
      <w:lvlJc w:val="left"/>
      <w:lvlText w:val="(%1)"/>
      <w:numFmt w:val="lowerRoman"/>
      <w:start w:val="5"/>
    </w:lvl>
    <w:lvl w:ilvl="1">
      <w:lvlJc w:val="left"/>
      <w:lvlText w:val="(%2)"/>
      <w:numFmt w:val="upperLetter"/>
      <w:start w:val="1"/>
    </w:lvl>
  </w:abstractNum>
  <w:abstractNum w:abstractNumId="89">
    <w:nsid w:val="68B867D3"/>
    <w:multiLevelType w:val="hybridMultilevel"/>
    <w:lvl w:ilvl="0">
      <w:lvlJc w:val="left"/>
      <w:lvlText w:val="(%1)"/>
      <w:numFmt w:val="lowerLetter"/>
      <w:start w:val="1"/>
    </w:lvl>
  </w:abstractNum>
  <w:abstractNum w:abstractNumId="90">
    <w:nsid w:val="3F7F5DD9"/>
    <w:multiLevelType w:val="hybridMultilevel"/>
    <w:lvl w:ilvl="0">
      <w:lvlJc w:val="left"/>
      <w:lvlText w:val="(%1)"/>
      <w:numFmt w:val="lowerLetter"/>
      <w:start w:val="5"/>
    </w:lvl>
  </w:abstractNum>
  <w:abstractNum w:abstractNumId="91">
    <w:nsid w:val="2AE05A34"/>
    <w:multiLevelType w:val="hybridMultilevel"/>
    <w:lvl w:ilvl="0">
      <w:lvlJc w:val="left"/>
      <w:lvlText w:val="(%1)"/>
      <w:numFmt w:val="lowerLetter"/>
      <w:start w:val="13"/>
    </w:lvl>
  </w:abstractNum>
  <w:abstractNum w:abstractNumId="92">
    <w:nsid w:val="32794FF7"/>
    <w:multiLevelType w:val="hybridMultilevel"/>
    <w:lvl w:ilvl="0">
      <w:lvlJc w:val="left"/>
      <w:lvlText w:val="§"/>
      <w:numFmt w:val="bullet"/>
      <w:start w:val="1"/>
    </w:lvl>
    <w:lvl w:ilvl="1">
      <w:lvlJc w:val="left"/>
      <w:lvlText w:val="(%2)"/>
      <w:numFmt w:val="lowerLetter"/>
      <w:start w:val="1"/>
    </w:lvl>
  </w:abstractNum>
  <w:abstractNum w:abstractNumId="93">
    <w:nsid w:val="5454945E"/>
    <w:multiLevelType w:val="hybridMultilevel"/>
    <w:lvl w:ilvl="0">
      <w:lvlJc w:val="left"/>
      <w:lvlText w:val="§"/>
      <w:numFmt w:val="bullet"/>
      <w:start w:val="1"/>
    </w:lvl>
    <w:lvl w:ilvl="1">
      <w:lvlJc w:val="left"/>
      <w:lvlText w:val="(%2)"/>
      <w:numFmt w:val="lowerLetter"/>
      <w:start w:val="2"/>
    </w:lvl>
  </w:abstractNum>
  <w:abstractNum w:abstractNumId="94">
    <w:nsid w:val="4DEFDFA0"/>
    <w:multiLevelType w:val="hybridMultilevel"/>
    <w:lvl w:ilvl="0">
      <w:lvlJc w:val="left"/>
      <w:lvlText w:val="(%1)"/>
      <w:numFmt w:val="lowerLetter"/>
      <w:start w:val="1"/>
    </w:lvl>
  </w:abstractNum>
  <w:abstractNum w:abstractNumId="95">
    <w:nsid w:val="2123D5F2"/>
    <w:multiLevelType w:val="hybridMultilevel"/>
    <w:lvl w:ilvl="0">
      <w:lvlJc w:val="left"/>
      <w:lvlText w:val="(%1)"/>
      <w:numFmt w:val="lowerRoman"/>
      <w:start w:val="1"/>
    </w:lvl>
  </w:abstractNum>
  <w:abstractNum w:abstractNumId="96">
    <w:nsid w:val="135B8110"/>
    <w:multiLevelType w:val="hybridMultilevel"/>
    <w:lvl w:ilvl="0">
      <w:lvlJc w:val="left"/>
      <w:lvlText w:val="(%1)"/>
      <w:numFmt w:val="lowerLetter"/>
      <w:start w:val="1"/>
    </w:lvl>
  </w:abstractNum>
  <w:abstractNum w:abstractNumId="97">
    <w:nsid w:val="94927A8"/>
    <w:multiLevelType w:val="hybridMultilevel"/>
    <w:lvl w:ilvl="0">
      <w:lvlJc w:val="left"/>
      <w:lvlText w:val="(%1)"/>
      <w:numFmt w:val="lowerLetter"/>
      <w:start w:val="3"/>
    </w:lvl>
  </w:abstractNum>
  <w:abstractNum w:abstractNumId="98">
    <w:nsid w:val="DCDF8F6"/>
    <w:multiLevelType w:val="hybridMultilevel"/>
    <w:lvl w:ilvl="0">
      <w:lvlJc w:val="left"/>
      <w:lvlText w:val="(%1)"/>
      <w:numFmt w:val="lowerLetter"/>
      <w:start w:val="1"/>
    </w:lvl>
  </w:abstractNum>
  <w:abstractNum w:abstractNumId="99">
    <w:nsid w:val="52D7B105"/>
    <w:multiLevelType w:val="hybridMultilevel"/>
    <w:lvl w:ilvl="0">
      <w:lvlJc w:val="left"/>
      <w:lvlText w:val="(%1)"/>
      <w:numFmt w:val="lowerLetter"/>
      <w:start w:val="3"/>
    </w:lvl>
  </w:abstractNum>
  <w:abstractNum w:abstractNumId="100">
    <w:nsid w:val="2E8A6394"/>
    <w:multiLevelType w:val="hybridMultilevel"/>
    <w:lvl w:ilvl="0">
      <w:lvlJc w:val="left"/>
      <w:lvlText w:val="(%1)"/>
      <w:numFmt w:val="lowerLetter"/>
      <w:start w:val="5"/>
    </w:lvl>
  </w:abstractNum>
  <w:abstractNum w:abstractNumId="101">
    <w:nsid w:val="24E60401"/>
    <w:multiLevelType w:val="hybridMultilevel"/>
    <w:lvl w:ilvl="0">
      <w:lvlJc w:val="left"/>
      <w:lvlText w:val="%1"/>
      <w:numFmt w:val="lowerRoman"/>
      <w:start w:val="1"/>
    </w:lvl>
    <w:lvl w:ilvl="1">
      <w:lvlJc w:val="left"/>
      <w:lvlText w:val="(%2)"/>
      <w:numFmt w:val="lowerLetter"/>
      <w:start w:val="1"/>
    </w:lvl>
  </w:abstractNum>
  <w:abstractNum w:abstractNumId="102">
    <w:nsid w:val="2A6AD9BE"/>
    <w:multiLevelType w:val="hybridMultilevel"/>
    <w:lvl w:ilvl="0">
      <w:lvlJc w:val="left"/>
      <w:lvlText w:val="(%1)"/>
      <w:numFmt w:val="lowerRoman"/>
      <w:start w:val="7"/>
    </w:lvl>
    <w:lvl w:ilvl="1">
      <w:lvlJc w:val="left"/>
      <w:lvlText w:val="%2"/>
      <w:numFmt w:val="lowerLetter"/>
      <w:start w:val="1"/>
    </w:lvl>
  </w:abstractNum>
  <w:abstractNum w:abstractNumId="103">
    <w:nsid w:val="BAAC1B4"/>
    <w:multiLevelType w:val="hybridMultilevel"/>
    <w:lvl w:ilvl="0">
      <w:lvlJc w:val="left"/>
      <w:lvlText w:val="(%1)"/>
      <w:numFmt w:val="lowerLetter"/>
      <w:start w:val="1"/>
    </w:lvl>
  </w:abstractNum>
  <w:abstractNum w:abstractNumId="104">
    <w:nsid w:val="36B2ACBC"/>
    <w:multiLevelType w:val="hybridMultilevel"/>
    <w:lvl w:ilvl="0">
      <w:lvlJc w:val="left"/>
      <w:lvlText w:val="(%1)"/>
      <w:numFmt w:val="lowerLetter"/>
      <w:start w:val="3"/>
    </w:lvl>
  </w:abstractNum>
  <w:abstractNum w:abstractNumId="105">
    <w:nsid w:val="779D854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06">
    <w:nsid w:val="4AB26E7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07">
    <w:nsid w:val="21FAA2F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8">
    <w:nsid w:val="5451CF49"/>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9">
    <w:nsid w:val="6181EF69"/>
    <w:multiLevelType w:val="hybridMultilevel"/>
    <w:lvl w:ilvl="0">
      <w:lvlJc w:val="left"/>
      <w:lvlText w:val="(%1)"/>
      <w:numFmt w:val="upperLetter"/>
      <w:start w:val="3"/>
    </w:lvl>
  </w:abstractNum>
  <w:abstractNum w:abstractNumId="110">
    <w:nsid w:val="3E6400E6"/>
    <w:multiLevelType w:val="hybridMultilevel"/>
    <w:lvl w:ilvl="0">
      <w:lvlJc w:val="left"/>
      <w:lvlText w:val="(%1)"/>
      <w:numFmt w:val="decimal"/>
      <w:start w:val="1"/>
    </w:lvl>
  </w:abstractNum>
  <w:abstractNum w:abstractNumId="111">
    <w:nsid w:val="14217E23"/>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112">
    <w:nsid w:val="710757D0"/>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113">
    <w:nsid w:val="5015CD1A"/>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114">
    <w:nsid w:val="424479DA"/>
    <w:multiLevelType w:val="hybridMultilevel"/>
    <w:lvl w:ilvl="0">
      <w:lvlJc w:val="left"/>
      <w:lvlText w:val="%1"/>
      <w:numFmt w:val="lowerLetter"/>
      <w:start w:val="1"/>
    </w:lvl>
    <w:lvl w:ilvl="1">
      <w:lvlJc w:val="left"/>
      <w:lvlText w:val="(%2)"/>
      <w:numFmt w:val="lowerRoman"/>
      <w:start w:val="4"/>
    </w:lvl>
  </w:abstractNum>
  <w:abstractNum w:abstractNumId="115">
    <w:nsid w:val="1A9A9E69"/>
    <w:multiLevelType w:val="hybridMultilevel"/>
    <w:lvl w:ilvl="0">
      <w:lvlJc w:val="left"/>
      <w:lvlText w:val="(%1)"/>
      <w:numFmt w:val="lowerLetter"/>
      <w:start w:val="2"/>
    </w:lvl>
    <w:lvl w:ilvl="1">
      <w:lvlJc w:val="left"/>
      <w:lvlText w:val="(%2)"/>
      <w:numFmt w:val="lowerRoman"/>
      <w:start w:val="1"/>
    </w:lvl>
  </w:abstractNum>
  <w:abstractNum w:abstractNumId="116">
    <w:nsid w:val="475E256A"/>
    <w:multiLevelType w:val="hybridMultilevel"/>
    <w:lvl w:ilvl="0">
      <w:lvlJc w:val="left"/>
      <w:lvlText w:val="(%1)"/>
      <w:numFmt w:val="decimal"/>
      <w:start w:val="3"/>
    </w:lvl>
    <w:lvl w:ilvl="1">
      <w:lvlJc w:val="left"/>
      <w:lvlText w:val="(%2)"/>
      <w:numFmt w:val="lowerRoman"/>
      <w:start w:val="2"/>
    </w:lvl>
  </w:abstractNum>
  <w:abstractNum w:abstractNumId="117">
    <w:nsid w:val="368DB37E"/>
    <w:multiLevelType w:val="hybridMultilevel"/>
    <w:lvl w:ilvl="0">
      <w:lvlJc w:val="left"/>
      <w:lvlText w:val="(%1)"/>
      <w:numFmt w:val="lowerLetter"/>
      <w:start w:val="1"/>
    </w:lvl>
  </w:abstractNum>
  <w:abstractNum w:abstractNumId="118">
    <w:nsid w:val="6A3B714C"/>
    <w:multiLevelType w:val="hybridMultilevel"/>
    <w:lvl w:ilvl="0">
      <w:lvlJc w:val="left"/>
      <w:lvlText w:val="(%1)"/>
      <w:numFmt w:val="lowerLetter"/>
      <w:start w:val="4"/>
    </w:lvl>
  </w:abstractNum>
  <w:abstractNum w:abstractNumId="119">
    <w:nsid w:val="327B517E"/>
    <w:multiLevelType w:val="hybridMultilevel"/>
    <w:lvl w:ilvl="0">
      <w:lvlJc w:val="left"/>
      <w:lvlText w:val="(%1)"/>
      <w:numFmt w:val="lowerLetter"/>
      <w:start w:val="1"/>
    </w:lvl>
  </w:abstractNum>
  <w:abstractNum w:abstractNumId="120">
    <w:nsid w:val="1F461B51"/>
    <w:multiLevelType w:val="hybridMultilevel"/>
    <w:lvl w:ilvl="0">
      <w:lvlJc w:val="left"/>
      <w:lvlText w:val="(%1)"/>
      <w:numFmt w:val="lowerLetter"/>
      <w:start w:val="2"/>
    </w:lvl>
  </w:abstractNum>
  <w:abstractNum w:abstractNumId="121">
    <w:nsid w:val="29BACF25"/>
    <w:multiLevelType w:val="hybridMultilevel"/>
    <w:lvl w:ilvl="0">
      <w:lvlJc w:val="left"/>
      <w:lvlText w:val="(%1)"/>
      <w:numFmt w:val="lowerLetter"/>
      <w:start w:val="1"/>
    </w:lvl>
  </w:abstractNum>
  <w:abstractNum w:abstractNumId="122">
    <w:nsid w:val="5D5BABB3"/>
    <w:multiLevelType w:val="hybridMultilevel"/>
    <w:lvl w:ilvl="0">
      <w:lvlJc w:val="left"/>
      <w:lvlText w:val="(%1)"/>
      <w:numFmt w:val="lowerLetter"/>
      <w:start w:val="1"/>
    </w:lvl>
  </w:abstractNum>
  <w:abstractNum w:abstractNumId="123">
    <w:nsid w:val="51BF6B48"/>
    <w:multiLevelType w:val="hybridMultilevel"/>
    <w:lvl w:ilvl="0">
      <w:lvlJc w:val="left"/>
      <w:lvlText w:val="(%1)"/>
      <w:numFmt w:val="lowerLetter"/>
      <w:start w:val="2"/>
    </w:lvl>
  </w:abstractNum>
  <w:abstractNum w:abstractNumId="124">
    <w:nsid w:val="7E0F638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25">
    <w:nsid w:val="2B4B8B5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26">
    <w:nsid w:val="72E3413A"/>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9"/>
    </w:lvl>
  </w:abstractNum>
  <w:abstractNum w:abstractNumId="127">
    <w:nsid w:val="116AE494"/>
    <w:multiLevelType w:val="hybridMultilevel"/>
    <w:lvl w:ilvl="0">
      <w:lvlJc w:val="left"/>
      <w:lvlText w:val="%1"/>
      <w:numFmt w:val="decimal"/>
      <w:start w:val="1"/>
    </w:lvl>
    <w:lvl w:ilvl="1">
      <w:lvlJc w:val="left"/>
      <w:lvlText w:val="(%2)"/>
      <w:numFmt w:val="lowerRoman"/>
      <w:start w:val="2"/>
    </w:lvl>
  </w:abstractNum>
  <w:abstractNum w:abstractNumId="128">
    <w:nsid w:val="3494B2FB"/>
    <w:multiLevelType w:val="hybridMultilevel"/>
    <w:lvl w:ilvl="0">
      <w:lvlJc w:val="left"/>
      <w:lvlText w:val="(%1)"/>
      <w:numFmt w:val="decimal"/>
      <w:start w:val="1"/>
    </w:lvl>
    <w:lvl w:ilvl="1">
      <w:lvlJc w:val="left"/>
      <w:lvlText w:val="(%2)"/>
      <w:numFmt w:val="lowerRoman"/>
      <w:start w:val="4"/>
    </w:lvl>
  </w:abstractNum>
  <w:abstractNum w:abstractNumId="129">
    <w:nsid w:val="B13A31"/>
    <w:multiLevelType w:val="hybridMultilevel"/>
    <w:lvl w:ilvl="0">
      <w:lvlJc w:val="left"/>
      <w:lvlText w:val="(%1)"/>
      <w:numFmt w:val="lowerLetter"/>
      <w:start w:val="5"/>
    </w:lvl>
  </w:abstractNum>
  <w:abstractNum w:abstractNumId="130">
    <w:nsid w:val="64429599"/>
    <w:multiLevelType w:val="hybridMultilevel"/>
    <w:lvl w:ilvl="0">
      <w:lvlJc w:val="left"/>
      <w:lvlText w:val="(%1)"/>
      <w:numFmt w:val="lowerLetter"/>
      <w:start w:val="10"/>
    </w:lvl>
  </w:abstractNum>
  <w:abstractNum w:abstractNumId="131">
    <w:nsid w:val="631F1690"/>
    <w:multiLevelType w:val="hybridMultilevel"/>
    <w:lvl w:ilvl="0">
      <w:lvlJc w:val="left"/>
      <w:lvlText w:val="%1"/>
      <w:numFmt w:val="lowerLetter"/>
      <w:start w:val="1"/>
    </w:lvl>
    <w:lvl w:ilvl="1">
      <w:lvlJc w:val="left"/>
      <w:lvlText w:val="(%2)"/>
      <w:numFmt w:val="lowerLetter"/>
      <w:start w:val="14"/>
    </w:lvl>
  </w:abstractNum>
  <w:abstractNum w:abstractNumId="132">
    <w:nsid w:val="25973E32"/>
    <w:multiLevelType w:val="hybridMultilevel"/>
    <w:lvl w:ilvl="0">
      <w:lvlJc w:val="left"/>
      <w:lvlText w:val="(%1)"/>
      <w:numFmt w:val="lowerLetter"/>
      <w:start w:val="22"/>
    </w:lvl>
    <w:lvl w:ilvl="1">
      <w:lvlJc w:val="left"/>
      <w:lvlText w:val="(%2)"/>
      <w:numFmt w:val="lowerLetter"/>
      <w:start w:val="24"/>
    </w:lvl>
  </w:abstractNum>
  <w:abstractNum w:abstractNumId="133">
    <w:nsid w:val="EAD6F57"/>
    <w:multiLevelType w:val="hybridMultilevel"/>
    <w:lvl w:ilvl="0">
      <w:lvlJc w:val="left"/>
      <w:lvlText w:val="(%1)"/>
      <w:numFmt w:val="lowerLetter"/>
      <w:start w:val="27"/>
    </w:lvl>
  </w:abstractNum>
  <w:abstractNum w:abstractNumId="134">
    <w:nsid w:val="6EC9D844"/>
    <w:multiLevelType w:val="hybridMultilevel"/>
    <w:lvl w:ilvl="0">
      <w:lvlJc w:val="left"/>
      <w:lvlText w:val="%1"/>
      <w:numFmt w:val="decimal"/>
      <w:start w:val="1"/>
    </w:lvl>
    <w:lvl w:ilvl="1">
      <w:lvlJc w:val="left"/>
      <w:lvlText w:val="(%2)"/>
      <w:numFmt w:val="lowerLetter"/>
      <w:start w:val="41"/>
    </w:lvl>
  </w:abstractNum>
  <w:abstractNum w:abstractNumId="135">
    <w:nsid w:val="5C49EAEE"/>
    <w:multiLevelType w:val="hybridMultilevel"/>
    <w:lvl w:ilvl="0">
      <w:lvlJc w:val="left"/>
      <w:lvlText w:val="%1."/>
      <w:numFmt w:val="decimal"/>
      <w:start w:val="2"/>
    </w:lvl>
    <w:lvl w:ilvl="1">
      <w:lvlJc w:val="left"/>
      <w:lvlText w:val="%2"/>
      <w:numFmt w:val="lowerLetter"/>
      <w:start w:val="1"/>
    </w:lvl>
  </w:abstractNum>
  <w:abstractNum w:abstractNumId="136">
    <w:nsid w:val="64AF49B"/>
    <w:multiLevelType w:val="hybridMultilevel"/>
    <w:lvl w:ilvl="0">
      <w:lvlJc w:val="left"/>
      <w:lvlText w:val="(%1)"/>
      <w:numFmt w:val="lowerLetter"/>
      <w:start w:val="2"/>
    </w:lvl>
  </w:abstractNum>
  <w:abstractNum w:abstractNumId="137">
    <w:nsid w:val="397C46BC"/>
    <w:multiLevelType w:val="hybridMultilevel"/>
    <w:lvl w:ilvl="0">
      <w:lvlJc w:val="left"/>
      <w:lvlText w:val="(%1)"/>
      <w:numFmt w:val="lowerLetter"/>
      <w:start w:val="3"/>
    </w:lvl>
  </w:abstractNum>
  <w:abstractNum w:abstractNumId="138">
    <w:nsid w:val="7E448DE9"/>
    <w:multiLevelType w:val="hybridMultilevel"/>
    <w:lvl w:ilvl="0">
      <w:lvlJc w:val="left"/>
      <w:lvlText w:val="%1"/>
      <w:numFmt w:val="decimal"/>
      <w:start w:val="1"/>
    </w:lvl>
    <w:lvl w:ilvl="1">
      <w:lvlJc w:val="left"/>
      <w:lvlText w:val="(%2)"/>
      <w:numFmt w:val="lowerLetter"/>
      <w:start w:val="4"/>
    </w:lvl>
  </w:abstractNum>
  <w:abstractNum w:abstractNumId="139">
    <w:nsid w:val="5A9CC3E5"/>
    <w:multiLevelType w:val="hybridMultilevel"/>
    <w:lvl w:ilvl="0">
      <w:lvlJc w:val="left"/>
      <w:lvlText w:val="%1."/>
      <w:numFmt w:val="decimal"/>
      <w:start w:val="4"/>
    </w:lvl>
    <w:lvl w:ilvl="1">
      <w:lvlJc w:val="left"/>
      <w:lvlText w:val="%2"/>
      <w:numFmt w:val="lowerLetter"/>
      <w:start w:val="1"/>
    </w:lvl>
  </w:abstractNum>
  <w:abstractNum w:abstractNumId="140">
    <w:nsid w:val="1AFE3625"/>
    <w:multiLevelType w:val="hybridMultilevel"/>
    <w:lvl w:ilvl="0">
      <w:lvlJc w:val="left"/>
      <w:lvlText w:val="%1."/>
      <w:numFmt w:val="decimal"/>
      <w:start w:val="5"/>
    </w:lvl>
    <w:lvl w:ilvl="1">
      <w:lvlJc w:val="left"/>
      <w:lvlText w:val="(%2)"/>
      <w:numFmt w:val="lowerLetter"/>
      <w:start w:val="2"/>
    </w:lvl>
  </w:abstractNum>
  <w:abstractNum w:abstractNumId="141">
    <w:nsid w:val="3CA88ECF"/>
    <w:multiLevelType w:val="hybridMultilevel"/>
    <w:lvl w:ilvl="0">
      <w:lvlJc w:val="left"/>
      <w:lvlText w:val="%1."/>
      <w:numFmt w:val="decimal"/>
      <w:start w:val="6"/>
    </w:lvl>
    <w:lvl w:ilvl="1">
      <w:lvlJc w:val="left"/>
      <w:lvlText w:val="(%2)"/>
      <w:numFmt w:val="lowerLetter"/>
      <w:start w:val="2"/>
    </w:lvl>
  </w:abstractNum>
  <w:abstractNum w:abstractNumId="142">
    <w:nsid w:val="6EBE4208"/>
    <w:multiLevelType w:val="hybridMultilevel"/>
    <w:lvl w:ilvl="0">
      <w:lvlJc w:val="left"/>
      <w:lvlText w:val="(%1)"/>
      <w:numFmt w:val="lowerLetter"/>
      <w:start w:val="2"/>
    </w:lvl>
  </w:abstractNum>
  <w:abstractNum w:abstractNumId="143">
    <w:nsid w:val="C058DF5"/>
    <w:multiLevelType w:val="hybridMultilevel"/>
    <w:lvl w:ilvl="0">
      <w:lvlJc w:val="left"/>
      <w:lvlText w:val="%1"/>
      <w:numFmt w:val="decimal"/>
      <w:start w:val="1"/>
    </w:lvl>
    <w:lvl w:ilvl="1">
      <w:lvlJc w:val="left"/>
      <w:lvlText w:val="(%2)"/>
      <w:numFmt w:val="lowerLetter"/>
      <w:start w:val="3"/>
    </w:lvl>
  </w:abstractNum>
  <w:abstractNum w:abstractNumId="144">
    <w:nsid w:val="CBE5BE9"/>
    <w:multiLevelType w:val="hybridMultilevel"/>
    <w:lvl w:ilvl="0">
      <w:lvlJc w:val="left"/>
      <w:lvlText w:val="%1."/>
      <w:numFmt w:val="decimal"/>
      <w:start w:val="8"/>
    </w:lvl>
    <w:lvl w:ilvl="1">
      <w:lvlJc w:val="left"/>
      <w:lvlText w:val="(%2)"/>
      <w:numFmt w:val="lowerLetter"/>
      <w:start w:val="1"/>
    </w:lvl>
  </w:abstractNum>
  <w:abstractNum w:abstractNumId="145">
    <w:nsid w:val="3102BBE2"/>
    <w:multiLevelType w:val="hybridMultilevel"/>
    <w:lvl w:ilvl="0">
      <w:lvlJc w:val="left"/>
      <w:lvlText w:val="(%1)"/>
      <w:numFmt w:val="lowerLetter"/>
      <w:start w:val="4"/>
    </w:lvl>
  </w:abstractNum>
  <w:abstractNum w:abstractNumId="146">
    <w:nsid w:val="26A02C5E"/>
    <w:multiLevelType w:val="hybridMultilevel"/>
    <w:lvl w:ilvl="0">
      <w:lvlJc w:val="left"/>
      <w:lvlText w:val="%1"/>
      <w:numFmt w:val="decimal"/>
      <w:start w:val="1"/>
    </w:lvl>
    <w:lvl w:ilvl="1">
      <w:lvlJc w:val="left"/>
      <w:lvlText w:val="(%2)"/>
      <w:numFmt w:val="lowerLetter"/>
      <w:start w:val="6"/>
    </w:lvl>
  </w:abstractNum>
  <w:abstractNum w:abstractNumId="147">
    <w:nsid w:val="541C8153"/>
    <w:multiLevelType w:val="hybridMultilevel"/>
    <w:lvl w:ilvl="0">
      <w:lvlJc w:val="left"/>
      <w:lvlText w:val="%1."/>
      <w:numFmt w:val="decimal"/>
      <w:start w:val="10"/>
    </w:lvl>
    <w:lvl w:ilvl="1">
      <w:lvlJc w:val="left"/>
      <w:lvlText w:val="(%2)"/>
      <w:numFmt w:val="lowerLetter"/>
      <w:start w:val="1"/>
    </w:lvl>
  </w:abstractNum>
  <w:abstractNum w:abstractNumId="148">
    <w:nsid w:val="67906F60"/>
    <w:multiLevelType w:val="hybridMultilevel"/>
    <w:lvl w:ilvl="0">
      <w:lvlJc w:val="left"/>
      <w:lvlText w:val="(%1)"/>
      <w:numFmt w:val="lowerRoman"/>
      <w:start w:val="2"/>
    </w:lvl>
  </w:abstractNum>
  <w:abstractNum w:abstractNumId="149">
    <w:nsid w:val="10DB9DA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50">
    <w:nsid w:val="697D2D2"/>
    <w:multiLevelType w:val="hybridMultilevel"/>
    <w:lvl w:ilvl="0">
      <w:lvlJc w:val="left"/>
      <w:lvlText w:val="(%1)"/>
      <w:numFmt w:val="lowerLetter"/>
      <w:start w:val="24"/>
    </w:lvl>
    <w:lvl w:ilvl="1">
      <w:lvlJc w:val="left"/>
      <w:lvlText w:val="(%2)"/>
      <w:numFmt w:val="lowerLetter"/>
      <w:start w:val="2"/>
    </w:lvl>
    <w:lvl w:ilvl="2">
      <w:lvlJc w:val="left"/>
      <w:lvlText w:val="%3"/>
      <w:numFmt w:val="lowerLetter"/>
      <w:start w:val="1"/>
    </w:lvl>
  </w:abstractNum>
  <w:abstractNum w:abstractNumId="151">
    <w:nsid w:val="6D68AB2"/>
    <w:multiLevelType w:val="hybridMultilevel"/>
    <w:lvl w:ilvl="0">
      <w:lvlJc w:val="left"/>
      <w:lvlText w:val="(%1)"/>
      <w:numFmt w:val="lowerLetter"/>
      <w:start w:val="3"/>
    </w:lvl>
  </w:abstractNum>
  <w:abstractNum w:abstractNumId="152">
    <w:nsid w:val="3A966CD0"/>
    <w:multiLevelType w:val="hybridMultilevel"/>
    <w:lvl w:ilvl="0">
      <w:lvlJc w:val="left"/>
      <w:lvlText w:val="%1"/>
      <w:numFmt w:val="lowerLetter"/>
      <w:start w:val="1"/>
    </w:lvl>
    <w:lvl w:ilvl="1">
      <w:lvlJc w:val="left"/>
      <w:lvlText w:val="(%2)"/>
      <w:numFmt w:val="lowerLetter"/>
      <w:start w:val="35"/>
    </w:lvl>
  </w:abstractNum>
  <w:abstractNum w:abstractNumId="153">
    <w:nsid w:val="63F37E85"/>
    <w:multiLevelType w:val="hybridMultilevel"/>
    <w:lvl w:ilvl="0">
      <w:lvlJc w:val="left"/>
      <w:lvlText w:val="(%1)"/>
      <w:numFmt w:val="lowerLetter"/>
      <w:start w:val="5"/>
    </w:lvl>
    <w:lvl w:ilvl="1">
      <w:lvlJc w:val="left"/>
      <w:lvlText w:val="%2"/>
      <w:numFmt w:val="lowerLetter"/>
      <w:start w:val="1"/>
    </w:lvl>
  </w:abstractNum>
  <w:abstractNum w:abstractNumId="154">
    <w:nsid w:val="5895F5FA"/>
    <w:multiLevelType w:val="hybridMultilevel"/>
    <w:lvl w:ilvl="0">
      <w:lvlJc w:val="left"/>
      <w:lvlText w:val="(%1)"/>
      <w:numFmt w:val="lowerLetter"/>
      <w:start w:val="6"/>
    </w:lvl>
  </w:abstractNum>
  <w:abstractNum w:abstractNumId="155">
    <w:nsid w:val="38A5D054"/>
    <w:multiLevelType w:val="hybridMultilevel"/>
    <w:lvl w:ilvl="0">
      <w:lvlJc w:val="left"/>
      <w:lvlText w:val="(%1)"/>
      <w:numFmt w:val="lowerLetter"/>
      <w:start w:val="10"/>
    </w:lvl>
  </w:abstractNum>
  <w:abstractNum w:abstractNumId="156">
    <w:nsid w:val="F3F09D8"/>
    <w:multiLevelType w:val="hybridMultilevel"/>
    <w:lvl w:ilvl="0">
      <w:lvlJc w:val="left"/>
      <w:lvlText w:val="%1."/>
      <w:numFmt w:val="decimal"/>
      <w:start w:val="12"/>
    </w:lvl>
    <w:lvl w:ilvl="1">
      <w:lvlJc w:val="left"/>
      <w:lvlText w:val="(%2)"/>
      <w:numFmt w:val="lowerRoman"/>
      <w:start w:val="1"/>
    </w:lvl>
  </w:abstractNum>
  <w:abstractNum w:abstractNumId="157">
    <w:nsid w:val="4B793735"/>
    <w:multiLevelType w:val="hybridMultilevel"/>
    <w:lvl w:ilvl="0">
      <w:lvlJc w:val="left"/>
      <w:lvlText w:val="(%1)"/>
      <w:numFmt w:val="lowerLetter"/>
      <w:start w:val="24"/>
    </w:lvl>
    <w:lvl w:ilvl="1">
      <w:lvlJc w:val="left"/>
      <w:lvlText w:val="(%2)"/>
      <w:numFmt w:val="lowerLetter"/>
      <w:start w:val="2"/>
    </w:lvl>
  </w:abstractNum>
  <w:abstractNum w:abstractNumId="158">
    <w:nsid w:val="4A10B4E8"/>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abstractNum>
  <w:abstractNum w:abstractNumId="159">
    <w:nsid w:val="43D3BCD4"/>
    <w:multiLevelType w:val="hybridMultilevel"/>
    <w:lvl w:ilvl="0">
      <w:lvlJc w:val="left"/>
      <w:lvlText w:val="%1."/>
      <w:numFmt w:val="decimal"/>
      <w:start w:val="14"/>
    </w:lvl>
    <w:lvl w:ilvl="1">
      <w:lvlJc w:val="left"/>
      <w:lvlText w:val="%2"/>
      <w:numFmt w:val="lowerLetter"/>
      <w:start w:val="1"/>
    </w:lvl>
    <w:lvl w:ilvl="2">
      <w:lvlJc w:val="left"/>
      <w:lvlText w:val="%3"/>
      <w:numFmt w:val="upperLetter"/>
      <w:start w:val="1"/>
    </w:lvl>
  </w:abstractNum>
  <w:abstractNum w:abstractNumId="160">
    <w:nsid w:val="4C2A7166"/>
    <w:multiLevelType w:val="hybridMultilevel"/>
    <w:lvl w:ilvl="0">
      <w:lvlJc w:val="left"/>
      <w:lvlText w:val="%1"/>
      <w:numFmt w:val="decimal"/>
      <w:start w:val="1"/>
    </w:lvl>
    <w:lvl w:ilvl="1">
      <w:lvlJc w:val="left"/>
      <w:lvlText w:val="(%2)"/>
      <w:numFmt w:val="lowerLetter"/>
      <w:start w:val="3"/>
    </w:lvl>
  </w:abstractNum>
  <w:abstractNum w:abstractNumId="161">
    <w:nsid w:val="2E534A82"/>
    <w:multiLevelType w:val="hybridMultilevel"/>
    <w:lvl w:ilvl="0">
      <w:lvlJc w:val="left"/>
      <w:lvlText w:val="%1."/>
      <w:numFmt w:val="decimal"/>
      <w:start w:val="15"/>
    </w:lvl>
    <w:lvl w:ilvl="1">
      <w:lvlJc w:val="left"/>
      <w:lvlText w:val="%2"/>
      <w:numFmt w:val="lowerLetter"/>
      <w:start w:val="1"/>
    </w:lvl>
  </w:abstractNum>
  <w:abstractNum w:abstractNumId="162">
    <w:nsid w:val="26F2D364"/>
    <w:multiLevelType w:val="hybridMultilevel"/>
    <w:lvl w:ilvl="0">
      <w:lvlJc w:val="left"/>
      <w:lvlText w:val="%1."/>
      <w:numFmt w:val="decimal"/>
      <w:start w:val="16"/>
    </w:lvl>
    <w:lvl w:ilvl="1">
      <w:lvlJc w:val="left"/>
      <w:lvlText w:val="(%2)"/>
      <w:numFmt w:val="lowerLetter"/>
      <w:start w:val="1"/>
    </w:lvl>
  </w:abstractNum>
  <w:abstractNum w:abstractNumId="163">
    <w:nsid w:val="71C1AF98"/>
    <w:multiLevelType w:val="hybridMultilevel"/>
    <w:lvl w:ilvl="0">
      <w:lvlJc w:val="left"/>
      <w:lvlText w:val="%1"/>
      <w:numFmt w:val="decimal"/>
      <w:start w:val="1"/>
    </w:lvl>
    <w:lvl w:ilvl="1">
      <w:lvlJc w:val="left"/>
      <w:lvlText w:val="(%2)"/>
      <w:numFmt w:val="lowerLetter"/>
      <w:start w:val="2"/>
    </w:lvl>
  </w:abstractNum>
  <w:abstractNum w:abstractNumId="164">
    <w:nsid w:val="3D00B9D9"/>
    <w:multiLevelType w:val="hybridMultilevel"/>
    <w:lvl w:ilvl="0">
      <w:lvlJc w:val="left"/>
      <w:lvlText w:val="%1."/>
      <w:numFmt w:val="decimal"/>
      <w:start w:val="19"/>
    </w:lvl>
    <w:lvl w:ilvl="1">
      <w:lvlJc w:val="left"/>
      <w:lvlText w:val="%2"/>
      <w:numFmt w:val="lowerLetter"/>
      <w:start w:val="1"/>
    </w:lvl>
  </w:abstractNum>
  <w:abstractNum w:abstractNumId="165">
    <w:nsid w:val="15BCABA8"/>
    <w:multiLevelType w:val="hybridMultilevel"/>
    <w:lvl w:ilvl="0">
      <w:lvlJc w:val="left"/>
      <w:lvlText w:val="%1"/>
      <w:numFmt w:val="decimal"/>
      <w:start w:val="1"/>
    </w:lvl>
    <w:lvl w:ilvl="1">
      <w:lvlJc w:val="left"/>
      <w:lvlText w:val="(%2)"/>
      <w:numFmt w:val="lowerLetter"/>
      <w:start w:val="2"/>
    </w:lvl>
  </w:abstractNum>
  <w:abstractNum w:abstractNumId="166">
    <w:nsid w:val="4E0B9A87"/>
    <w:multiLevelType w:val="hybridMultilevel"/>
    <w:lvl w:ilvl="0">
      <w:lvlJc w:val="left"/>
      <w:lvlText w:val="%1."/>
      <w:numFmt w:val="decimal"/>
      <w:start w:val="20"/>
    </w:lvl>
    <w:lvl w:ilvl="1">
      <w:lvlJc w:val="left"/>
      <w:lvlText w:val="(%2)"/>
      <w:numFmt w:val="lowerLetter"/>
      <w:start w:val="1"/>
    </w:lvl>
  </w:abstractNum>
  <w:abstractNum w:abstractNumId="167">
    <w:nsid w:val="434BAE75"/>
    <w:multiLevelType w:val="hybridMultilevel"/>
    <w:lvl w:ilvl="0">
      <w:lvlJc w:val="left"/>
      <w:lvlText w:val="(%1)"/>
      <w:numFmt w:val="lowerLetter"/>
      <w:start w:val="5"/>
    </w:lvl>
  </w:abstractNum>
  <w:abstractNum w:abstractNumId="168">
    <w:nsid w:val="4F38F26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0"/>
    </w:lvl>
  </w:abstractNum>
  <w:abstractNum w:abstractNumId="169">
    <w:nsid w:val="4C502870"/>
    <w:multiLevelType w:val="hybridMultilevel"/>
    <w:lvl w:ilvl="0">
      <w:lvlJc w:val="left"/>
      <w:lvlText w:val="(%1)"/>
      <w:numFmt w:val="lowerLetter"/>
      <w:start w:val="9"/>
    </w:lvl>
    <w:lvl w:ilvl="1">
      <w:lvlJc w:val="left"/>
      <w:lvlText w:val="%2."/>
      <w:numFmt w:val="decimal"/>
      <w:start w:val="20"/>
    </w:lvl>
    <w:lvl w:ilvl="2">
      <w:lvlJc w:val="left"/>
      <w:lvlText w:val="(%3)"/>
      <w:numFmt w:val="lowerLetter"/>
      <w:start w:val="11"/>
    </w:lvl>
  </w:abstractNum>
  <w:abstractNum w:abstractNumId="170">
    <w:nsid w:val="1DE8725A"/>
    <w:multiLevelType w:val="hybridMultilevel"/>
    <w:lvl w:ilvl="0">
      <w:lvlJc w:val="left"/>
      <w:lvlText w:val="%1."/>
      <w:numFmt w:val="decimal"/>
      <w:start w:val="22"/>
    </w:lvl>
    <w:lvl w:ilvl="1">
      <w:lvlJc w:val="left"/>
      <w:lvlText w:val="(%2)"/>
      <w:numFmt w:val="lowerLetter"/>
      <w:start w:val="2"/>
    </w:lvl>
  </w:abstractNum>
  <w:abstractNum w:abstractNumId="171">
    <w:nsid w:val="6A37288A"/>
    <w:multiLevelType w:val="hybridMultilevel"/>
    <w:lvl w:ilvl="0">
      <w:lvlJc w:val="left"/>
      <w:lvlText w:val="%1."/>
      <w:numFmt w:val="decimal"/>
      <w:start w:val="24"/>
    </w:lvl>
    <w:lvl w:ilvl="1">
      <w:lvlJc w:val="left"/>
      <w:lvlText w:val="(%2)"/>
      <w:numFmt w:val="lowerLetter"/>
      <w:start w:val="2"/>
    </w:lvl>
  </w:abstractNum>
  <w:abstractNum w:abstractNumId="172">
    <w:nsid w:val="8F8B73F"/>
    <w:multiLevelType w:val="hybridMultilevel"/>
    <w:lvl w:ilvl="0">
      <w:lvlJc w:val="left"/>
      <w:lvlText w:val="%1"/>
      <w:numFmt w:val="decimal"/>
      <w:start w:val="1"/>
    </w:lvl>
    <w:lvl w:ilvl="1">
      <w:lvlJc w:val="left"/>
      <w:lvlText w:val="(%2)"/>
      <w:numFmt w:val="lowerLetter"/>
      <w:start w:val="3"/>
    </w:lvl>
  </w:abstractNum>
  <w:abstractNum w:abstractNumId="173">
    <w:nsid w:val="CA6B462"/>
    <w:multiLevelType w:val="hybridMultilevel"/>
    <w:lvl w:ilvl="0">
      <w:lvlJc w:val="left"/>
      <w:lvlText w:val="%1."/>
      <w:numFmt w:val="decimal"/>
      <w:start w:val="25"/>
    </w:lvl>
    <w:lvl w:ilvl="1">
      <w:lvlJc w:val="left"/>
      <w:lvlText w:val="%2"/>
      <w:numFmt w:val="lowerLetter"/>
      <w:start w:val="1"/>
    </w:lvl>
  </w:abstractNum>
  <w:abstractNum w:abstractNumId="174">
    <w:nsid w:val="763CB680"/>
    <w:multiLevelType w:val="hybridMultilevel"/>
    <w:lvl w:ilvl="0">
      <w:lvlJc w:val="left"/>
      <w:lvlText w:val="%1"/>
      <w:numFmt w:val="decimal"/>
      <w:start w:val="1"/>
    </w:lvl>
    <w:lvl w:ilvl="1">
      <w:lvlJc w:val="left"/>
      <w:lvlText w:val="(%2)"/>
      <w:numFmt w:val="lowerLetter"/>
      <w:start w:val="2"/>
    </w:lvl>
  </w:abstractNum>
  <w:abstractNum w:abstractNumId="175">
    <w:nsid w:val="15B71329"/>
    <w:multiLevelType w:val="hybridMultilevel"/>
    <w:lvl w:ilvl="0">
      <w:lvlJc w:val="left"/>
      <w:lvlText w:val="%1."/>
      <w:numFmt w:val="decimal"/>
      <w:start w:val="26"/>
    </w:lvl>
    <w:lvl w:ilvl="1">
      <w:lvlJc w:val="left"/>
      <w:lvlText w:val="%2"/>
      <w:numFmt w:val="lowerLetter"/>
      <w:start w:val="1"/>
    </w:lvl>
  </w:abstractNum>
  <w:abstractNum w:abstractNumId="176">
    <w:nsid w:val="3DA97044"/>
    <w:multiLevelType w:val="hybridMultilevel"/>
    <w:lvl w:ilvl="0">
      <w:lvlJc w:val="left"/>
      <w:lvlText w:val="(%1)"/>
      <w:numFmt w:val="lowerLetter"/>
      <w:start w:val="2"/>
    </w:lvl>
  </w:abstractNum>
  <w:abstractNum w:abstractNumId="177">
    <w:nsid w:val="1CDCE2DE"/>
    <w:multiLevelType w:val="hybridMultilevel"/>
    <w:lvl w:ilvl="0">
      <w:lvlJc w:val="left"/>
      <w:lvlText w:val="(%1)"/>
      <w:numFmt w:val="lowerLetter"/>
      <w:start w:val="3"/>
    </w:lvl>
  </w:abstractNum>
  <w:abstractNum w:abstractNumId="178">
    <w:nsid w:val="69D3947C"/>
    <w:multiLevelType w:val="hybridMultilevel"/>
    <w:lvl w:ilvl="0">
      <w:lvlJc w:val="left"/>
      <w:lvlText w:val="%1"/>
      <w:numFmt w:val="lowerRoman"/>
      <w:start w:val="1"/>
    </w:lvl>
    <w:lvl w:ilvl="1">
      <w:lvlJc w:val="left"/>
      <w:lvlText w:val="%2."/>
      <w:numFmt w:val="decimal"/>
      <w:start w:val="27"/>
    </w:lvl>
  </w:abstractNum>
  <w:abstractNum w:abstractNumId="179">
    <w:nsid w:val="2539DFA5"/>
    <w:multiLevelType w:val="hybridMultilevel"/>
    <w:lvl w:ilvl="0">
      <w:lvlJc w:val="left"/>
      <w:lvlText w:val="(%1)"/>
      <w:numFmt w:val="lowerRoman"/>
      <w:start w:val="4"/>
    </w:lvl>
    <w:lvl w:ilvl="1">
      <w:lvlJc w:val="left"/>
      <w:lvlText w:val="%2."/>
      <w:numFmt w:val="decimal"/>
      <w:start w:val="28"/>
    </w:lvl>
  </w:abstractNum>
  <w:abstractNum w:abstractNumId="180">
    <w:nsid w:val="2DB88089"/>
    <w:multiLevelType w:val="hybridMultilevel"/>
    <w:lvl w:ilvl="0">
      <w:lvlJc w:val="left"/>
      <w:lvlText w:val="(%1)"/>
      <w:numFmt w:val="lowerLetter"/>
      <w:start w:val="1"/>
    </w:lvl>
    <w:lvl w:ilvl="1">
      <w:lvlJc w:val="left"/>
      <w:lvlText w:val="%2."/>
      <w:numFmt w:val="decimal"/>
      <w:start w:val="30"/>
    </w:lvl>
  </w:abstractNum>
  <w:abstractNum w:abstractNumId="181">
    <w:nsid w:val="706B674E"/>
    <w:multiLevelType w:val="hybridMultilevel"/>
    <w:lvl w:ilvl="0">
      <w:lvlJc w:val="left"/>
      <w:lvlText w:val="%1"/>
      <w:numFmt w:val="decimal"/>
      <w:start w:val="1"/>
    </w:lvl>
    <w:lvl w:ilvl="1">
      <w:lvlJc w:val="left"/>
      <w:lvlText w:val="(%2)"/>
      <w:numFmt w:val="lowerLetter"/>
      <w:start w:val="2"/>
    </w:lvl>
  </w:abstractNum>
  <w:abstractNum w:abstractNumId="182">
    <w:nsid w:val="2C106A57"/>
    <w:multiLevelType w:val="hybridMultilevel"/>
    <w:lvl w:ilvl="0">
      <w:lvlJc w:val="left"/>
      <w:lvlText w:val="%1."/>
      <w:numFmt w:val="decimal"/>
      <w:start w:val="34"/>
    </w:lvl>
    <w:lvl w:ilvl="1">
      <w:lvlJc w:val="left"/>
      <w:lvlText w:val="%2"/>
      <w:numFmt w:val="lowerLetter"/>
      <w:start w:val="1"/>
    </w:lvl>
  </w:abstractNum>
  <w:abstractNum w:abstractNumId="183">
    <w:nsid w:val="684EED59"/>
    <w:multiLevelType w:val="hybridMultilevel"/>
    <w:lvl w:ilvl="0">
      <w:lvlJc w:val="left"/>
      <w:lvlText w:val="%1"/>
      <w:numFmt w:val="decimal"/>
      <w:start w:val="1"/>
    </w:lvl>
    <w:lvl w:ilvl="1">
      <w:lvlJc w:val="left"/>
      <w:lvlText w:val="(%2)"/>
      <w:numFmt w:val="lowerLetter"/>
      <w:start w:val="2"/>
    </w:lvl>
  </w:abstractNum>
  <w:abstractNum w:abstractNumId="184">
    <w:nsid w:val="545EE5D3"/>
    <w:multiLevelType w:val="hybridMultilevel"/>
    <w:lvl w:ilvl="0">
      <w:lvlJc w:val="left"/>
      <w:lvlText w:val="%1."/>
      <w:numFmt w:val="decimal"/>
      <w:start w:val="35"/>
    </w:lvl>
    <w:lvl w:ilvl="1">
      <w:lvlJc w:val="left"/>
      <w:lvlText w:val="%2"/>
      <w:numFmt w:val="lowerLetter"/>
      <w:start w:val="1"/>
    </w:lvl>
  </w:abstractNum>
  <w:abstractNum w:abstractNumId="185">
    <w:nsid w:val="4A66051"/>
    <w:multiLevelType w:val="hybridMultilevel"/>
    <w:lvl w:ilvl="0">
      <w:lvlJc w:val="left"/>
      <w:lvlText w:val="%1."/>
      <w:numFmt w:val="decimal"/>
      <w:start w:val="36"/>
    </w:lvl>
  </w:abstractNum>
  <w:abstractNum w:abstractNumId="186">
    <w:nsid w:val="20F4BDAD"/>
    <w:multiLevelType w:val="hybridMultilevel"/>
    <w:lvl w:ilvl="0">
      <w:lvlJc w:val="left"/>
      <w:lvlText w:val="%1"/>
      <w:numFmt w:val="lowerLetter"/>
      <w:start w:val="1"/>
    </w:lvl>
    <w:lvl w:ilvl="1">
      <w:lvlJc w:val="left"/>
      <w:lvlText w:val="%2."/>
      <w:numFmt w:val="upperLetter"/>
      <w:start w:val="35"/>
    </w:lvl>
  </w:abstractNum>
  <w:abstractNum w:abstractNumId="187">
    <w:nsid w:val="639DEFAC"/>
    <w:multiLevelType w:val="hybridMultilevel"/>
    <w:lvl w:ilvl="0">
      <w:lvlJc w:val="left"/>
      <w:lvlText w:val="(%1)"/>
      <w:numFmt w:val="lowerLetter"/>
      <w:start w:val="1"/>
    </w:lvl>
    <w:lvl w:ilvl="1">
      <w:lvlJc w:val="left"/>
      <w:lvlText w:val="%2"/>
      <w:numFmt w:val="upperLetter"/>
      <w:start w:val="1"/>
    </w:lvl>
  </w:abstractNum>
  <w:abstractNum w:abstractNumId="188">
    <w:nsid w:val="501F9786"/>
    <w:multiLevelType w:val="hybridMultilevel"/>
    <w:lvl w:ilvl="0">
      <w:lvlJc w:val="left"/>
      <w:lvlText w:val="(%1)"/>
      <w:numFmt w:val="lowerLetter"/>
      <w:start w:val="2"/>
    </w:lvl>
  </w:abstractNum>
  <w:abstractNum w:abstractNumId="189">
    <w:nsid w:val="6B057295"/>
    <w:multiLevelType w:val="hybridMultilevel"/>
    <w:lvl w:ilvl="0">
      <w:lvlJc w:val="left"/>
      <w:lvlText w:val="%1."/>
      <w:numFmt w:val="upperLetter"/>
      <w:start w:val="61"/>
    </w:lvl>
  </w:abstractNum>
  <w:abstractNum w:abstractNumId="190">
    <w:nsid w:val="2771AC80"/>
    <w:multiLevelType w:val="hybridMultilevel"/>
    <w:lvl w:ilvl="0">
      <w:lvlJc w:val="left"/>
      <w:lvlText w:val="(%1)"/>
      <w:numFmt w:val="lowerLetter"/>
      <w:start w:val="1"/>
    </w:lvl>
  </w:abstractNum>
  <w:abstractNum w:abstractNumId="191">
    <w:nsid w:val="1C4A08EC"/>
    <w:multiLevelType w:val="hybridMultilevel"/>
    <w:lvl w:ilvl="0">
      <w:lvlJc w:val="left"/>
      <w:lvlText w:val="(%1)"/>
      <w:numFmt w:val="lowerLetter"/>
      <w:start w:val="1"/>
    </w:lvl>
    <w:lvl w:ilvl="1">
      <w:lvlJc w:val="left"/>
      <w:lvlText w:val="(%2)"/>
      <w:numFmt w:val="lowerRoman"/>
      <w:start w:val="1"/>
    </w:lvl>
  </w:abstractNum>
  <w:abstractNum w:abstractNumId="192">
    <w:nsid w:val="1958BD17"/>
    <w:multiLevelType w:val="hybridMultilevel"/>
    <w:lvl w:ilvl="0">
      <w:lvlJc w:val="left"/>
      <w:lvlText w:val="%1"/>
      <w:numFmt w:val="lowerLetter"/>
      <w:start w:val="1"/>
    </w:lvl>
    <w:lvl w:ilvl="1">
      <w:lvlJc w:val="left"/>
      <w:lvlText w:val="(%2)"/>
      <w:numFmt w:val="lowerRoman"/>
      <w:start w:val="4"/>
    </w:lvl>
  </w:abstractNum>
  <w:abstractNum w:abstractNumId="193">
    <w:nsid w:val="4E647FE4"/>
    <w:multiLevelType w:val="hybridMultilevel"/>
    <w:lvl w:ilvl="0">
      <w:lvlJc w:val="left"/>
      <w:lvlText w:val="(%1)"/>
      <w:numFmt w:val="lowerLetter"/>
      <w:start w:val="2"/>
    </w:lvl>
    <w:lvl w:ilvl="1">
      <w:lvlJc w:val="left"/>
      <w:lvlText w:val="%2"/>
      <w:numFmt w:val="lowerRoman"/>
      <w:start w:val="1"/>
    </w:lvl>
  </w:abstractNum>
  <w:abstractNum w:abstractNumId="194">
    <w:nsid w:val="E0BB885"/>
    <w:multiLevelType w:val="hybridMultilevel"/>
    <w:lvl w:ilvl="0">
      <w:lvlJc w:val="left"/>
      <w:lvlText w:val="%1."/>
      <w:numFmt w:val="upperLetter"/>
      <w:start w:val="24"/>
    </w:lvl>
  </w:abstractNum>
  <w:abstractNum w:abstractNumId="195">
    <w:nsid w:val="565976F1"/>
    <w:multiLevelType w:val="hybridMultilevel"/>
    <w:lvl w:ilvl="0">
      <w:lvlJc w:val="left"/>
      <w:lvlText w:val="(%1)"/>
      <w:numFmt w:val="decimal"/>
      <w:start w:val="1"/>
    </w:lvl>
  </w:abstractNum>
  <w:abstractNum w:abstractNumId="196">
    <w:nsid w:val="64212B8C"/>
    <w:multiLevelType w:val="hybridMultilevel"/>
    <w:lvl w:ilvl="0">
      <w:lvlJc w:val="left"/>
      <w:lvlText w:val="(%1)"/>
      <w:numFmt w:val="decimal"/>
      <w:start w:val="1"/>
    </w:lvl>
  </w:abstractNum>
  <w:abstractNum w:abstractNumId="197">
    <w:nsid w:val="5C17530C"/>
    <w:multiLevelType w:val="hybridMultilevel"/>
    <w:lvl w:ilvl="0">
      <w:lvlJc w:val="left"/>
      <w:lvlText w:val="•"/>
      <w:numFmt w:val="bullet"/>
      <w:start w:val="1"/>
    </w:lvl>
  </w:abstractNum>
  <w:abstractNum w:abstractNumId="198">
    <w:nsid w:val="19A52566"/>
    <w:multiLevelType w:val="hybridMultilevel"/>
    <w:lvl w:ilvl="0">
      <w:lvlJc w:val="left"/>
      <w:lvlText w:val="•"/>
      <w:numFmt w:val="bullet"/>
      <w:start w:val="1"/>
    </w:lvl>
  </w:abstractNum>
  <w:abstractNum w:abstractNumId="199">
    <w:nsid w:val="335A1DF1"/>
    <w:multiLevelType w:val="hybridMultilevel"/>
    <w:lvl w:ilvl="0">
      <w:lvlJc w:val="left"/>
      <w:lvlText w:val="(%1)"/>
      <w:numFmt w:val="lowerLetter"/>
      <w:start w:val="1"/>
    </w:lvl>
  </w:abstractNum>
  <w:abstractNum w:abstractNumId="200">
    <w:nsid w:val="28677B7C"/>
    <w:multiLevelType w:val="hybridMultilevel"/>
    <w:lvl w:ilvl="0">
      <w:lvlJc w:val="left"/>
      <w:lvlText w:val="(%1)"/>
      <w:numFmt w:val="lowerRoman"/>
      <w:start w:val="2"/>
    </w:lvl>
  </w:abstractNum>
  <w:abstractNum w:abstractNumId="201">
    <w:nsid w:val="378D97C0"/>
    <w:multiLevelType w:val="hybridMultilevel"/>
    <w:lvl w:ilvl="0">
      <w:lvlJc w:val="left"/>
      <w:lvlText w:val="(%1)"/>
      <w:numFmt w:val="lowerLetter"/>
      <w:start w:val="2"/>
    </w:lvl>
  </w:abstractNum>
  <w:abstractNum w:abstractNumId="202">
    <w:nsid w:val="1D91467C"/>
    <w:multiLevelType w:val="hybridMultilevel"/>
    <w:lvl w:ilvl="0">
      <w:lvlJc w:val="left"/>
      <w:lvlText w:val="(%1)"/>
      <w:numFmt w:val="lowerLetter"/>
      <w:start w:val="1"/>
    </w:lvl>
  </w:abstractNum>
  <w:abstractNum w:abstractNumId="203">
    <w:nsid w:val="316032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4">
    <w:nsid w:val="44344C2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5">
    <w:nsid w:val="13CDFCFC"/>
    <w:multiLevelType w:val="hybridMultilevel"/>
    <w:lvl w:ilvl="0">
      <w:lvlJc w:val="left"/>
      <w:lvlText w:val="(%1)"/>
      <w:numFmt w:val="decimal"/>
      <w:start w:val="3"/>
    </w:lvl>
    <w:lvl w:ilvl="1">
      <w:lvlJc w:val="left"/>
      <w:lvlText w:val="(%2)"/>
      <w:numFmt w:val="lowerLetter"/>
      <w:start w:val="4"/>
    </w:lvl>
    <w:lvl w:ilvl="2">
      <w:lvlJc w:val="left"/>
      <w:lvlText w:val="%3"/>
      <w:numFmt w:val="lowerRoman"/>
      <w:start w:val="1"/>
    </w:lvl>
  </w:abstractNum>
  <w:abstractNum w:abstractNumId="206">
    <w:nsid w:val="471745E4"/>
    <w:multiLevelType w:val="hybridMultilevel"/>
    <w:lvl w:ilvl="0">
      <w:lvlJc w:val="left"/>
      <w:lvlText w:val="(%1)"/>
      <w:numFmt w:val="lowerLetter"/>
      <w:start w:val="5"/>
    </w:lvl>
  </w:abstractNum>
  <w:abstractNum w:abstractNumId="207">
    <w:nsid w:val="1DDBC66"/>
    <w:multiLevelType w:val="hybridMultilevel"/>
    <w:lvl w:ilvl="0">
      <w:lvlJc w:val="left"/>
      <w:lvlText w:val="(%1)"/>
      <w:numFmt w:val="lowerLetter"/>
      <w:start w:val="1"/>
    </w:lvl>
  </w:abstractNum>
  <w:abstractNum w:abstractNumId="208">
    <w:nsid w:val="30AADFDA"/>
    <w:multiLevelType w:val="hybridMultilevel"/>
    <w:lvl w:ilvl="0">
      <w:lvlJc w:val="left"/>
      <w:lvlText w:val="(%1)"/>
      <w:numFmt w:val="lowerLetter"/>
      <w:start w:val="2"/>
    </w:lvl>
  </w:abstractNum>
  <w:abstractNum w:abstractNumId="209">
    <w:nsid w:val="30EADA61"/>
    <w:multiLevelType w:val="hybridMultilevel"/>
    <w:lvl w:ilvl="0">
      <w:lvlJc w:val="left"/>
      <w:lvlText w:val="(%1)"/>
      <w:numFmt w:val="lowerLetter"/>
      <w:start w:val="1"/>
    </w:lvl>
  </w:abstractNum>
  <w:abstractNum w:abstractNumId="210">
    <w:nsid w:val="27179C0B"/>
    <w:multiLevelType w:val="hybridMultilevel"/>
    <w:lvl w:ilvl="0">
      <w:lvlJc w:val="left"/>
      <w:lvlText w:val="(%1)"/>
      <w:numFmt w:val="lowerLetter"/>
      <w:start w:val="5"/>
    </w:lvl>
  </w:abstractNum>
  <w:abstractNum w:abstractNumId="211">
    <w:nsid w:val="5E636063"/>
    <w:multiLevelType w:val="hybridMultilevel"/>
    <w:lvl w:ilvl="0">
      <w:lvlJc w:val="left"/>
      <w:lvlText w:val="(%1)"/>
      <w:numFmt w:val="lowerLetter"/>
      <w:start w:val="2"/>
    </w:lvl>
  </w:abstractNum>
  <w:abstractNum w:abstractNumId="212">
    <w:nsid w:val="215641AF"/>
    <w:multiLevelType w:val="hybridMultilevel"/>
    <w:lvl w:ilvl="0">
      <w:lvlJc w:val="left"/>
      <w:lvlText w:val="%1."/>
      <w:numFmt w:val="decimal"/>
      <w:start w:val="2"/>
    </w:lvl>
    <w:lvl w:ilvl="1">
      <w:lvlJc w:val="left"/>
      <w:lvlText w:val="(%2)"/>
      <w:numFmt w:val="lowerLetter"/>
      <w:start w:val="1"/>
    </w:lvl>
  </w:abstractNum>
  <w:abstractNum w:abstractNumId="213">
    <w:nsid w:val="53280662"/>
    <w:multiLevelType w:val="hybridMultilevel"/>
    <w:lvl w:ilvl="0">
      <w:lvlJc w:val="left"/>
      <w:lvlText w:val="(%1)"/>
      <w:numFmt w:val="lowerLetter"/>
      <w:start w:val="3"/>
    </w:lvl>
  </w:abstractNum>
  <w:abstractNum w:abstractNumId="214">
    <w:nsid w:val="46B24DBC"/>
    <w:multiLevelType w:val="hybridMultilevel"/>
    <w:lvl w:ilvl="0">
      <w:lvlJc w:val="left"/>
      <w:lvlText w:val="(%1)"/>
      <w:numFmt w:val="lowerLetter"/>
      <w:start w:val="5"/>
    </w:lvl>
  </w:abstractNum>
  <w:abstractNum w:abstractNumId="215">
    <w:nsid w:val="75B52783"/>
    <w:multiLevelType w:val="hybridMultilevel"/>
    <w:lvl w:ilvl="0">
      <w:lvlJc w:val="left"/>
      <w:lvlText w:val="%1."/>
      <w:numFmt w:val="decimal"/>
      <w:start w:val="3"/>
    </w:lvl>
    <w:lvl w:ilvl="1">
      <w:lvlJc w:val="left"/>
      <w:lvlText w:val="(%2)"/>
      <w:numFmt w:val="lowerLetter"/>
      <w:start w:val="1"/>
    </w:lvl>
  </w:abstractNum>
  <w:abstractNum w:abstractNumId="216">
    <w:nsid w:val="57CE66B4"/>
    <w:multiLevelType w:val="hybridMultilevel"/>
    <w:lvl w:ilvl="0">
      <w:lvlJc w:val="left"/>
      <w:lvlText w:val="(%1)"/>
      <w:numFmt w:val="lowerLetter"/>
      <w:start w:val="3"/>
    </w:lvl>
  </w:abstractNum>
  <w:abstractNum w:abstractNumId="217">
    <w:nsid w:val="67A70B69"/>
    <w:multiLevelType w:val="hybridMultilevel"/>
    <w:lvl w:ilvl="0">
      <w:lvlJc w:val="left"/>
      <w:lvlText w:val="%1"/>
      <w:numFmt w:val="decimal"/>
      <w:start w:val="1"/>
    </w:lvl>
    <w:lvl w:ilvl="1">
      <w:lvlJc w:val="left"/>
      <w:lvlText w:val="(%2)"/>
      <w:numFmt w:val="lowerLetter"/>
      <w:start w:val="4"/>
    </w:lvl>
  </w:abstractNum>
  <w:abstractNum w:abstractNumId="218">
    <w:nsid w:val="5953172F"/>
    <w:multiLevelType w:val="hybridMultilevel"/>
    <w:lvl w:ilvl="0">
      <w:lvlJc w:val="left"/>
      <w:lvlText w:val="%1."/>
      <w:numFmt w:val="decimal"/>
      <w:start w:val="4"/>
    </w:lvl>
    <w:lvl w:ilvl="1">
      <w:lvlJc w:val="left"/>
      <w:lvlText w:val="(%2)"/>
      <w:numFmt w:val="lowerLetter"/>
      <w:start w:val="1"/>
    </w:lvl>
  </w:abstractNum>
  <w:abstractNum w:abstractNumId="219">
    <w:nsid w:val="27EDFE3A"/>
    <w:multiLevelType w:val="hybridMultilevel"/>
    <w:lvl w:ilvl="0">
      <w:lvlJc w:val="left"/>
      <w:lvlText w:val="(%1)"/>
      <w:numFmt w:val="lowerLetter"/>
      <w:start w:val="2"/>
    </w:lvl>
  </w:abstractNum>
  <w:abstractNum w:abstractNumId="220">
    <w:nsid w:val="52AC7DFF"/>
    <w:multiLevelType w:val="hybridMultilevel"/>
    <w:lvl w:ilvl="0">
      <w:lvlJc w:val="left"/>
      <w:lvlText w:val="(%1)"/>
      <w:numFmt w:val="lowerLetter"/>
      <w:start w:val="8"/>
    </w:lvl>
  </w:abstractNum>
  <w:abstractNum w:abstractNumId="221">
    <w:nsid w:val="C4C3AF"/>
    <w:multiLevelType w:val="hybridMultilevel"/>
    <w:lvl w:ilvl="0">
      <w:lvlJc w:val="left"/>
      <w:lvlText w:val="(%1)"/>
      <w:numFmt w:val="lowerLetter"/>
      <w:start w:val="15"/>
    </w:lvl>
  </w:abstractNum>
  <w:abstractNum w:abstractNumId="222">
    <w:nsid w:val="44380727"/>
    <w:multiLevelType w:val="hybridMultilevel"/>
    <w:lvl w:ilvl="0">
      <w:lvlJc w:val="left"/>
      <w:lvlText w:val="%1."/>
      <w:numFmt w:val="decimal"/>
      <w:start w:val="6"/>
    </w:lvl>
    <w:lvl w:ilvl="1">
      <w:lvlJc w:val="left"/>
      <w:lvlText w:val="(%2)"/>
      <w:numFmt w:val="lowerLetter"/>
      <w:start w:val="1"/>
    </w:lvl>
  </w:abstractNum>
  <w:abstractNum w:abstractNumId="223">
    <w:nsid w:val="6C053B16"/>
    <w:multiLevelType w:val="hybridMultilevel"/>
    <w:lvl w:ilvl="0">
      <w:lvlJc w:val="left"/>
      <w:lvlText w:val="%1"/>
      <w:numFmt w:val="lowerLetter"/>
      <w:start w:val="1"/>
    </w:lvl>
    <w:lvl w:ilvl="1">
      <w:lvlJc w:val="left"/>
      <w:lvlText w:val="(%2)"/>
      <w:numFmt w:val="lowerLetter"/>
      <w:start w:val="2"/>
    </w:lvl>
  </w:abstractNum>
  <w:abstractNum w:abstractNumId="224">
    <w:nsid w:val="4F294393"/>
    <w:multiLevelType w:val="hybridMultilevel"/>
    <w:lvl w:ilvl="0">
      <w:lvlJc w:val="left"/>
      <w:lvlText w:val="(%1)"/>
      <w:numFmt w:val="lowerLetter"/>
      <w:start w:val="9"/>
    </w:lvl>
    <w:lvl w:ilvl="1">
      <w:lvlJc w:val="left"/>
      <w:lvlText w:val="%2"/>
      <w:numFmt w:val="lowerLetter"/>
      <w:start w:val="1"/>
    </w:lvl>
  </w:abstractNum>
  <w:abstractNum w:abstractNumId="225">
    <w:nsid w:val="5243BFAC"/>
    <w:multiLevelType w:val="hybridMultilevel"/>
    <w:lvl w:ilvl="0">
      <w:lvlJc w:val="left"/>
      <w:lvlText w:val="%1"/>
      <w:numFmt w:val="decimal"/>
      <w:start w:val="1"/>
    </w:lvl>
    <w:lvl w:ilvl="1">
      <w:lvlJc w:val="left"/>
      <w:lvlText w:val="(%2)"/>
      <w:numFmt w:val="lowerLetter"/>
      <w:start w:val="4"/>
    </w:lvl>
  </w:abstractNum>
  <w:abstractNum w:abstractNumId="226">
    <w:nsid w:val="425EB207"/>
    <w:multiLevelType w:val="hybridMultilevel"/>
    <w:lvl w:ilvl="0">
      <w:lvlJc w:val="left"/>
      <w:lvlText w:val="%1."/>
      <w:numFmt w:val="decimal"/>
      <w:start w:val="8"/>
    </w:lvl>
    <w:lvl w:ilvl="1">
      <w:lvlJc w:val="left"/>
      <w:lvlText w:val="%2"/>
      <w:numFmt w:val="lowerLetter"/>
      <w:start w:val="1"/>
    </w:lvl>
  </w:abstractNum>
  <w:abstractNum w:abstractNumId="227">
    <w:nsid w:val="334A6F1F"/>
    <w:multiLevelType w:val="hybridMultilevel"/>
    <w:lvl w:ilvl="0">
      <w:lvlJc w:val="left"/>
      <w:lvlText w:val="(%1)"/>
      <w:numFmt w:val="lowerLetter"/>
      <w:start w:val="1"/>
    </w:lvl>
  </w:abstractNum>
  <w:abstractNum w:abstractNumId="228">
    <w:nsid w:val="2E5B12B8"/>
    <w:multiLevelType w:val="hybridMultilevel"/>
    <w:lvl w:ilvl="0">
      <w:lvlJc w:val="left"/>
      <w:lvlText w:val="%1."/>
      <w:numFmt w:val="decimal"/>
      <w:start w:val="9"/>
    </w:lvl>
    <w:lvl w:ilvl="1">
      <w:lvlJc w:val="left"/>
      <w:lvlText w:val="(%2)"/>
      <w:numFmt w:val="lowerLetter"/>
      <w:start w:val="1"/>
    </w:lvl>
  </w:abstractNum>
  <w:abstractNum w:abstractNumId="229">
    <w:nsid w:val="5C03D76D"/>
    <w:multiLevelType w:val="hybridMultilevel"/>
    <w:lvl w:ilvl="0">
      <w:lvlJc w:val="left"/>
      <w:lvlText w:val="(%1)"/>
      <w:numFmt w:val="lowerRoman"/>
      <w:start w:val="1"/>
    </w:lvl>
  </w:abstractNum>
  <w:abstractNum w:abstractNumId="230">
    <w:nsid w:val="66A48D11"/>
    <w:multiLevelType w:val="hybridMultilevel"/>
    <w:lvl w:ilvl="0">
      <w:lvlJc w:val="left"/>
      <w:lvlText w:val="(%1)"/>
      <w:numFmt w:val="lowerRoman"/>
      <w:start w:val="2"/>
    </w:lvl>
  </w:abstractNum>
  <w:abstractNum w:abstractNumId="231">
    <w:nsid w:val="56C28E34"/>
    <w:multiLevelType w:val="hybridMultilevel"/>
    <w:lvl w:ilvl="0">
      <w:lvlJc w:val="left"/>
      <w:lvlText w:val="%1."/>
      <w:numFmt w:val="decimal"/>
      <w:start w:val="13"/>
    </w:lvl>
  </w:abstractNum>
  <w:abstractNum w:abstractNumId="232">
    <w:nsid w:val="13916F2D"/>
    <w:multiLevelType w:val="hybridMultilevel"/>
    <w:lvl w:ilvl="0">
      <w:lvlJc w:val="left"/>
      <w:lvlText w:val="%1."/>
      <w:numFmt w:val="decimal"/>
      <w:start w:val="17"/>
    </w:lvl>
  </w:abstractNum>
  <w:abstractNum w:abstractNumId="233">
    <w:nsid w:val="435D38D"/>
    <w:multiLevelType w:val="hybridMultilevel"/>
    <w:lvl w:ilvl="0">
      <w:lvlJc w:val="left"/>
      <w:lvlText w:val="%1"/>
      <w:numFmt w:val="decimal"/>
      <w:start w:val="23"/>
    </w:lvl>
  </w:abstractNum>
  <w:abstractNum w:abstractNumId="234">
    <w:nsid w:val="822C0EF"/>
    <w:multiLevelType w:val="hybridMultilevel"/>
    <w:lvl w:ilvl="0">
      <w:lvlJc w:val="left"/>
      <w:lvlText w:val="%1."/>
      <w:numFmt w:val="decimal"/>
      <w:start w:val="20"/>
    </w:lvl>
  </w:abstractNum>
  <w:abstractNum w:abstractNumId="235">
    <w:nsid w:val="57C5BB4F"/>
    <w:multiLevelType w:val="hybridMultilevel"/>
    <w:lvl w:ilvl="0">
      <w:lvlJc w:val="left"/>
      <w:lvlText w:val="%1."/>
      <w:numFmt w:val="decimal"/>
      <w:start w:val="24"/>
    </w:lvl>
  </w:abstractNum>
  <w:abstractNum w:abstractNumId="236">
    <w:nsid w:val="1803D089"/>
    <w:multiLevelType w:val="hybridMultilevel"/>
    <w:lvl w:ilvl="0">
      <w:lvlJc w:val="left"/>
      <w:lvlText w:val="%1."/>
      <w:numFmt w:val="decimal"/>
      <w:start w:val="1"/>
    </w:lvl>
  </w:abstractNum>
  <w:abstractNum w:abstractNumId="237">
    <w:nsid w:val="4F3A06D4"/>
    <w:multiLevelType w:val="hybridMultilevel"/>
    <w:lvl w:ilvl="0">
      <w:lvlJc w:val="left"/>
      <w:lvlText w:val="%1."/>
      <w:numFmt w:val="decimal"/>
      <w:start w:val="1"/>
    </w:lvl>
  </w:abstractNum>
  <w:abstractNum w:abstractNumId="238">
    <w:nsid w:val="59A377B6"/>
    <w:multiLevelType w:val="hybridMultilevel"/>
    <w:lvl w:ilvl="0">
      <w:lvlJc w:val="left"/>
      <w:lvlText w:val="%1."/>
      <w:numFmt w:val="decimal"/>
      <w:start w:val="1"/>
    </w:lvl>
  </w:abstractNum>
  <w:abstractNum w:abstractNumId="239">
    <w:nsid w:val="48AEB063"/>
    <w:multiLevelType w:val="hybridMultilevel"/>
    <w:lvl w:ilvl="0">
      <w:lvlJc w:val="left"/>
      <w:lvlText w:val="%1."/>
      <w:numFmt w:val="decimal"/>
      <w:start w:val="1"/>
    </w:lvl>
  </w:abstractNum>
  <w:abstractNum w:abstractNumId="240">
    <w:nsid w:val="24E135"/>
    <w:multiLevelType w:val="hybridMultilevel"/>
    <w:lvl w:ilvl="0">
      <w:lvlJc w:val="left"/>
      <w:lvlText w:val="%1."/>
      <w:numFmt w:val="upperLetter"/>
      <w:start w:val="4"/>
    </w:lvl>
  </w:abstractNum>
  <w:abstractNum w:abstractNumId="241">
    <w:nsid w:val="BB13C1"/>
    <w:multiLevelType w:val="hybridMultilevel"/>
    <w:lvl w:ilvl="0">
      <w:lvlJc w:val="left"/>
      <w:lvlText w:val="%1."/>
      <w:numFmt w:val="decimal"/>
      <w:start w:val="1"/>
    </w:lvl>
  </w:abstractNum>
  <w:abstractNum w:abstractNumId="242">
    <w:nsid w:val="271210C7"/>
    <w:multiLevelType w:val="hybridMultilevel"/>
    <w:lvl w:ilvl="0">
      <w:lvlJc w:val="left"/>
      <w:lvlText w:val="%1."/>
      <w:numFmt w:val="upperLetter"/>
      <w:start w:val="5"/>
    </w:lvl>
  </w:abstractNum>
  <w:abstractNum w:abstractNumId="243">
    <w:nsid w:val="217B22E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20" Type="http://schemas.openxmlformats.org/officeDocument/2006/relationships/hyperlink" Target="http://www.sec.gov/Archives/edgar/data/1841968/000119312521284294/d118332dex103.htm" TargetMode="External"/><Relationship Id="rId21" Type="http://schemas.openxmlformats.org/officeDocument/2006/relationships/hyperlink" Target="http://www.sec.gov/Archives/edgar/data/1841968/000119312521300289/d11833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2021-10-26T16:31:10Z</dcterms:created>
  <dcterms:modified xsi:type="dcterms:W3CDTF">2021-10-26T16:31:10Z</dcterms:modified>
</cp:coreProperties>
</file>