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23, 2007</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204470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1900" w:type="dxa"/>
            <w:vAlign w:val="bottom"/>
          </w:tcPr>
          <w:p>
            <w:pPr>
              <w:jc w:val="center"/>
              <w:ind w:right="46"/>
              <w:spacing w:after="0"/>
              <w:rPr>
                <w:sz w:val="20"/>
                <w:szCs w:val="20"/>
                <w:color w:val="auto"/>
              </w:rPr>
            </w:pPr>
            <w:r>
              <w:rPr>
                <w:rFonts w:ascii="Arial" w:cs="Arial" w:eastAsia="Arial" w:hAnsi="Arial"/>
                <w:sz w:val="18"/>
                <w:szCs w:val="18"/>
                <w:b w:val="1"/>
                <w:bCs w:val="1"/>
                <w:color w:val="auto"/>
                <w:w w:val="88"/>
              </w:rPr>
              <w:t>Delaware</w:t>
            </w:r>
          </w:p>
        </w:tc>
        <w:tc>
          <w:tcPr>
            <w:tcW w:w="5340" w:type="dxa"/>
            <w:vAlign w:val="bottom"/>
            <w:gridSpan w:val="3"/>
          </w:tcPr>
          <w:p>
            <w:pPr>
              <w:jc w:val="center"/>
              <w:ind w:left="4178"/>
              <w:spacing w:after="0"/>
              <w:rPr>
                <w:sz w:val="20"/>
                <w:szCs w:val="20"/>
                <w:color w:val="auto"/>
              </w:rPr>
            </w:pPr>
            <w:r>
              <w:rPr>
                <w:rFonts w:ascii="Arial" w:cs="Arial" w:eastAsia="Arial" w:hAnsi="Arial"/>
                <w:sz w:val="18"/>
                <w:szCs w:val="18"/>
                <w:b w:val="1"/>
                <w:bCs w:val="1"/>
                <w:color w:val="auto"/>
                <w:w w:val="87"/>
              </w:rPr>
              <w:t>74-2961657</w:t>
            </w:r>
          </w:p>
        </w:tc>
      </w:tr>
      <w:tr>
        <w:trPr>
          <w:trHeight w:val="149"/>
        </w:trPr>
        <w:tc>
          <w:tcPr>
            <w:tcW w:w="190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520" w:type="dxa"/>
            <w:vAlign w:val="bottom"/>
          </w:tcPr>
          <w:p>
            <w:pPr>
              <w:jc w:val="center"/>
              <w:ind w:left="137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60"/>
        </w:trPr>
        <w:tc>
          <w:tcPr>
            <w:tcW w:w="1900" w:type="dxa"/>
            <w:vAlign w:val="bottom"/>
          </w:tcPr>
          <w:p>
            <w:pPr>
              <w:jc w:val="center"/>
              <w:ind w:right="66"/>
              <w:spacing w:after="0"/>
              <w:rPr>
                <w:sz w:val="20"/>
                <w:szCs w:val="20"/>
                <w:color w:val="auto"/>
              </w:rPr>
            </w:pPr>
            <w:r>
              <w:rPr>
                <w:rFonts w:ascii="Arial" w:cs="Arial" w:eastAsia="Arial" w:hAnsi="Arial"/>
                <w:sz w:val="14"/>
                <w:szCs w:val="14"/>
                <w:b w:val="1"/>
                <w:bCs w:val="1"/>
                <w:color w:val="auto"/>
                <w:w w:val="88"/>
              </w:rPr>
              <w:t>incorporation or organization)</w:t>
            </w:r>
          </w:p>
        </w:tc>
        <w:tc>
          <w:tcPr>
            <w:tcW w:w="8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520" w:type="dxa"/>
            <w:vAlign w:val="bottom"/>
          </w:tcPr>
          <w:p>
            <w:pPr>
              <w:jc w:val="center"/>
              <w:ind w:left="1392"/>
              <w:spacing w:after="0"/>
              <w:rPr>
                <w:sz w:val="20"/>
                <w:szCs w:val="20"/>
                <w:color w:val="auto"/>
              </w:rPr>
            </w:pPr>
            <w:r>
              <w:rPr>
                <w:rFonts w:ascii="Arial" w:cs="Arial" w:eastAsia="Arial" w:hAnsi="Arial"/>
                <w:sz w:val="14"/>
                <w:szCs w:val="14"/>
                <w:b w:val="1"/>
                <w:bCs w:val="1"/>
                <w:color w:val="auto"/>
                <w:w w:val="89"/>
              </w:rPr>
              <w:t>Identification No.)</w:t>
            </w:r>
          </w:p>
        </w:tc>
      </w:tr>
      <w:tr>
        <w:trPr>
          <w:trHeight w:val="216"/>
        </w:trPr>
        <w:tc>
          <w:tcPr>
            <w:tcW w:w="1900" w:type="dxa"/>
            <w:vAlign w:val="bottom"/>
          </w:tcPr>
          <w:p>
            <w:pPr>
              <w:spacing w:after="0"/>
              <w:rPr>
                <w:sz w:val="18"/>
                <w:szCs w:val="18"/>
                <w:color w:val="auto"/>
              </w:rPr>
            </w:pPr>
          </w:p>
        </w:tc>
        <w:tc>
          <w:tcPr>
            <w:tcW w:w="5340" w:type="dxa"/>
            <w:vAlign w:val="bottom"/>
            <w:gridSpan w:val="3"/>
          </w:tcPr>
          <w:p>
            <w:pPr>
              <w:jc w:val="center"/>
              <w:ind w:right="1592"/>
              <w:spacing w:after="0"/>
              <w:rPr>
                <w:sz w:val="20"/>
                <w:szCs w:val="20"/>
                <w:color w:val="auto"/>
              </w:rPr>
            </w:pPr>
            <w:r>
              <w:rPr>
                <w:rFonts w:ascii="Arial" w:cs="Arial" w:eastAsia="Arial" w:hAnsi="Arial"/>
                <w:sz w:val="18"/>
                <w:szCs w:val="18"/>
                <w:b w:val="1"/>
                <w:bCs w:val="1"/>
                <w:color w:val="auto"/>
                <w:w w:val="91"/>
              </w:rPr>
              <w:t>2128 W. Braker Lane, BK12</w:t>
            </w:r>
          </w:p>
        </w:tc>
      </w:tr>
      <w:tr>
        <w:trPr>
          <w:trHeight w:val="218"/>
        </w:trPr>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80" w:type="dxa"/>
            <w:vAlign w:val="bottom"/>
            <w:gridSpan w:val="2"/>
          </w:tcPr>
          <w:p>
            <w:pPr>
              <w:jc w:val="center"/>
              <w:ind w:right="2472"/>
              <w:spacing w:after="0"/>
              <w:rPr>
                <w:sz w:val="20"/>
                <w:szCs w:val="20"/>
                <w:color w:val="auto"/>
              </w:rPr>
            </w:pPr>
            <w:r>
              <w:rPr>
                <w:rFonts w:ascii="Arial" w:cs="Arial" w:eastAsia="Arial" w:hAnsi="Arial"/>
                <w:sz w:val="18"/>
                <w:szCs w:val="18"/>
                <w:b w:val="1"/>
                <w:bCs w:val="1"/>
                <w:color w:val="auto"/>
                <w:w w:val="87"/>
              </w:rPr>
              <w:t>Austin, Texas 78758</w:t>
            </w:r>
          </w:p>
        </w:tc>
      </w:tr>
      <w:tr>
        <w:trPr>
          <w:trHeight w:val="174"/>
        </w:trPr>
        <w:tc>
          <w:tcPr>
            <w:tcW w:w="1900" w:type="dxa"/>
            <w:vAlign w:val="bottom"/>
          </w:tcPr>
          <w:p>
            <w:pPr>
              <w:spacing w:after="0"/>
              <w:rPr>
                <w:sz w:val="15"/>
                <w:szCs w:val="15"/>
                <w:color w:val="auto"/>
              </w:rPr>
            </w:pPr>
          </w:p>
        </w:tc>
        <w:tc>
          <w:tcPr>
            <w:tcW w:w="5340" w:type="dxa"/>
            <w:vAlign w:val="bottom"/>
            <w:gridSpan w:val="3"/>
          </w:tcPr>
          <w:p>
            <w:pPr>
              <w:jc w:val="center"/>
              <w:ind w:right="1612"/>
              <w:spacing w:after="0"/>
              <w:rPr>
                <w:sz w:val="20"/>
                <w:szCs w:val="20"/>
                <w:color w:val="auto"/>
              </w:rPr>
            </w:pPr>
            <w:r>
              <w:rPr>
                <w:rFonts w:ascii="Arial" w:cs="Arial" w:eastAsia="Arial" w:hAnsi="Arial"/>
                <w:sz w:val="14"/>
                <w:szCs w:val="14"/>
                <w:b w:val="1"/>
                <w:bCs w:val="1"/>
                <w:color w:val="auto"/>
                <w:w w:val="86"/>
              </w:rPr>
              <w:t>(Address of principal executive offices) (Zip Code)</w:t>
            </w:r>
          </w:p>
        </w:tc>
      </w:tr>
      <w:tr>
        <w:trPr>
          <w:trHeight w:val="298"/>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359"/>
        </w:trPr>
        <w:tc>
          <w:tcPr>
            <w:tcW w:w="1900" w:type="dxa"/>
            <w:vAlign w:val="bottom"/>
          </w:tcPr>
          <w:p>
            <w:pPr>
              <w:spacing w:after="0"/>
              <w:rPr>
                <w:sz w:val="24"/>
                <w:szCs w:val="24"/>
                <w:color w:val="auto"/>
              </w:rPr>
            </w:pPr>
          </w:p>
        </w:tc>
        <w:tc>
          <w:tcPr>
            <w:tcW w:w="5340" w:type="dxa"/>
            <w:vAlign w:val="bottom"/>
            <w:gridSpan w:val="3"/>
          </w:tcPr>
          <w:p>
            <w:pPr>
              <w:jc w:val="center"/>
              <w:ind w:right="1592"/>
              <w:spacing w:after="0"/>
              <w:rPr>
                <w:sz w:val="20"/>
                <w:szCs w:val="20"/>
                <w:color w:val="auto"/>
              </w:rPr>
            </w:pPr>
            <w:r>
              <w:rPr>
                <w:rFonts w:ascii="Arial" w:cs="Arial" w:eastAsia="Arial" w:hAnsi="Arial"/>
                <w:sz w:val="18"/>
                <w:szCs w:val="18"/>
                <w:b w:val="1"/>
                <w:bCs w:val="1"/>
                <w:color w:val="auto"/>
                <w:w w:val="97"/>
              </w:rPr>
              <w:t>2000 STOCK INCENTIVE PLAN</w:t>
            </w:r>
          </w:p>
        </w:tc>
      </w:tr>
      <w:tr>
        <w:trPr>
          <w:trHeight w:val="174"/>
        </w:trPr>
        <w:tc>
          <w:tcPr>
            <w:tcW w:w="1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80" w:type="dxa"/>
            <w:vAlign w:val="bottom"/>
            <w:gridSpan w:val="2"/>
          </w:tcPr>
          <w:p>
            <w:pPr>
              <w:jc w:val="center"/>
              <w:ind w:right="2452"/>
              <w:spacing w:after="0"/>
              <w:rPr>
                <w:sz w:val="20"/>
                <w:szCs w:val="20"/>
                <w:color w:val="auto"/>
              </w:rPr>
            </w:pPr>
            <w:r>
              <w:rPr>
                <w:rFonts w:ascii="Arial" w:cs="Arial" w:eastAsia="Arial" w:hAnsi="Arial"/>
                <w:sz w:val="14"/>
                <w:szCs w:val="14"/>
                <w:b w:val="1"/>
                <w:bCs w:val="1"/>
                <w:color w:val="auto"/>
                <w:w w:val="89"/>
              </w:rPr>
              <w:t>(Full title of the Plan)</w:t>
            </w:r>
          </w:p>
        </w:tc>
      </w:tr>
      <w:tr>
        <w:trPr>
          <w:trHeight w:val="298"/>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357"/>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80" w:type="dxa"/>
            <w:vAlign w:val="bottom"/>
            <w:gridSpan w:val="2"/>
          </w:tcPr>
          <w:p>
            <w:pPr>
              <w:jc w:val="center"/>
              <w:ind w:right="2472"/>
              <w:spacing w:after="0"/>
              <w:rPr>
                <w:sz w:val="20"/>
                <w:szCs w:val="20"/>
                <w:color w:val="auto"/>
              </w:rPr>
            </w:pPr>
            <w:r>
              <w:rPr>
                <w:rFonts w:ascii="Arial" w:cs="Arial" w:eastAsia="Arial" w:hAnsi="Arial"/>
                <w:sz w:val="18"/>
                <w:szCs w:val="18"/>
                <w:b w:val="1"/>
                <w:bCs w:val="1"/>
                <w:color w:val="auto"/>
                <w:w w:val="86"/>
              </w:rPr>
              <w:t>James A. Clishem</w:t>
            </w:r>
          </w:p>
        </w:tc>
      </w:tr>
      <w:tr>
        <w:trPr>
          <w:trHeight w:val="216"/>
        </w:trPr>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80" w:type="dxa"/>
            <w:vAlign w:val="bottom"/>
            <w:gridSpan w:val="2"/>
          </w:tcPr>
          <w:p>
            <w:pPr>
              <w:jc w:val="center"/>
              <w:ind w:right="2452"/>
              <w:spacing w:after="0"/>
              <w:rPr>
                <w:sz w:val="20"/>
                <w:szCs w:val="20"/>
                <w:color w:val="auto"/>
              </w:rPr>
            </w:pPr>
            <w:r>
              <w:rPr>
                <w:rFonts w:ascii="Arial" w:cs="Arial" w:eastAsia="Arial" w:hAnsi="Arial"/>
                <w:sz w:val="18"/>
                <w:szCs w:val="18"/>
                <w:b w:val="1"/>
                <w:bCs w:val="1"/>
                <w:color w:val="auto"/>
                <w:w w:val="89"/>
              </w:rPr>
              <w:t>Chief Executive Officer</w:t>
            </w:r>
          </w:p>
        </w:tc>
      </w:tr>
      <w:tr>
        <w:trPr>
          <w:trHeight w:val="216"/>
        </w:trPr>
        <w:tc>
          <w:tcPr>
            <w:tcW w:w="1900" w:type="dxa"/>
            <w:vAlign w:val="bottom"/>
          </w:tcPr>
          <w:p>
            <w:pPr>
              <w:spacing w:after="0"/>
              <w:rPr>
                <w:sz w:val="18"/>
                <w:szCs w:val="18"/>
                <w:color w:val="auto"/>
              </w:rPr>
            </w:pPr>
          </w:p>
        </w:tc>
        <w:tc>
          <w:tcPr>
            <w:tcW w:w="5340" w:type="dxa"/>
            <w:vAlign w:val="bottom"/>
            <w:gridSpan w:val="3"/>
          </w:tcPr>
          <w:p>
            <w:pPr>
              <w:jc w:val="center"/>
              <w:ind w:right="1592"/>
              <w:spacing w:after="0"/>
              <w:rPr>
                <w:sz w:val="20"/>
                <w:szCs w:val="20"/>
                <w:color w:val="auto"/>
              </w:rPr>
            </w:pPr>
            <w:r>
              <w:rPr>
                <w:rFonts w:ascii="Arial" w:cs="Arial" w:eastAsia="Arial" w:hAnsi="Arial"/>
                <w:sz w:val="18"/>
                <w:szCs w:val="18"/>
                <w:b w:val="1"/>
                <w:bCs w:val="1"/>
                <w:color w:val="auto"/>
                <w:w w:val="91"/>
              </w:rPr>
              <w:t>2128 W. Braker Lane, BK12</w:t>
            </w:r>
          </w:p>
        </w:tc>
      </w:tr>
      <w:tr>
        <w:trPr>
          <w:trHeight w:val="216"/>
        </w:trPr>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80" w:type="dxa"/>
            <w:vAlign w:val="bottom"/>
            <w:gridSpan w:val="2"/>
          </w:tcPr>
          <w:p>
            <w:pPr>
              <w:jc w:val="center"/>
              <w:ind w:right="2472"/>
              <w:spacing w:after="0"/>
              <w:rPr>
                <w:sz w:val="20"/>
                <w:szCs w:val="20"/>
                <w:color w:val="auto"/>
              </w:rPr>
            </w:pPr>
            <w:r>
              <w:rPr>
                <w:rFonts w:ascii="Arial" w:cs="Arial" w:eastAsia="Arial" w:hAnsi="Arial"/>
                <w:sz w:val="18"/>
                <w:szCs w:val="18"/>
                <w:b w:val="1"/>
                <w:bCs w:val="1"/>
                <w:color w:val="auto"/>
                <w:w w:val="87"/>
              </w:rPr>
              <w:t>Austin, Texas 78758</w:t>
            </w:r>
          </w:p>
        </w:tc>
      </w:tr>
      <w:tr>
        <w:trPr>
          <w:trHeight w:val="218"/>
        </w:trPr>
        <w:tc>
          <w:tcPr>
            <w:tcW w:w="1900" w:type="dxa"/>
            <w:vAlign w:val="bottom"/>
          </w:tcPr>
          <w:p>
            <w:pPr>
              <w:spacing w:after="0"/>
              <w:rPr>
                <w:sz w:val="18"/>
                <w:szCs w:val="18"/>
                <w:color w:val="auto"/>
              </w:rPr>
            </w:pPr>
          </w:p>
        </w:tc>
        <w:tc>
          <w:tcPr>
            <w:tcW w:w="2820" w:type="dxa"/>
            <w:vAlign w:val="bottom"/>
            <w:gridSpan w:val="2"/>
          </w:tcPr>
          <w:p>
            <w:pPr>
              <w:jc w:val="center"/>
              <w:ind w:left="758"/>
              <w:spacing w:after="0"/>
              <w:rPr>
                <w:sz w:val="20"/>
                <w:szCs w:val="20"/>
                <w:color w:val="auto"/>
              </w:rPr>
            </w:pPr>
            <w:r>
              <w:rPr>
                <w:rFonts w:ascii="Arial" w:cs="Arial" w:eastAsia="Arial" w:hAnsi="Arial"/>
                <w:sz w:val="18"/>
                <w:szCs w:val="18"/>
                <w:b w:val="1"/>
                <w:bCs w:val="1"/>
                <w:color w:val="auto"/>
                <w:w w:val="89"/>
              </w:rPr>
              <w:t>(512) 836-6464</w:t>
            </w:r>
          </w:p>
        </w:tc>
        <w:tc>
          <w:tcPr>
            <w:tcW w:w="2520" w:type="dxa"/>
            <w:vAlign w:val="bottom"/>
          </w:tcPr>
          <w:p>
            <w:pPr>
              <w:spacing w:after="0"/>
              <w:rPr>
                <w:sz w:val="18"/>
                <w:szCs w:val="18"/>
                <w:color w:val="auto"/>
              </w:rPr>
            </w:pPr>
          </w:p>
        </w:tc>
      </w:tr>
      <w:tr>
        <w:trPr>
          <w:trHeight w:val="149"/>
        </w:trPr>
        <w:tc>
          <w:tcPr>
            <w:tcW w:w="1900" w:type="dxa"/>
            <w:vAlign w:val="bottom"/>
          </w:tcPr>
          <w:p>
            <w:pPr>
              <w:spacing w:after="0"/>
              <w:rPr>
                <w:sz w:val="12"/>
                <w:szCs w:val="12"/>
                <w:color w:val="auto"/>
              </w:rPr>
            </w:pPr>
          </w:p>
        </w:tc>
        <w:tc>
          <w:tcPr>
            <w:tcW w:w="5340" w:type="dxa"/>
            <w:vAlign w:val="bottom"/>
            <w:gridSpan w:val="3"/>
          </w:tcPr>
          <w:p>
            <w:pPr>
              <w:jc w:val="center"/>
              <w:ind w:right="1612"/>
              <w:spacing w:after="0" w:line="149" w:lineRule="exact"/>
              <w:rPr>
                <w:sz w:val="20"/>
                <w:szCs w:val="20"/>
                <w:color w:val="auto"/>
              </w:rPr>
            </w:pPr>
            <w:r>
              <w:rPr>
                <w:rFonts w:ascii="Arial" w:cs="Arial" w:eastAsia="Arial" w:hAnsi="Arial"/>
                <w:sz w:val="14"/>
                <w:szCs w:val="14"/>
                <w:b w:val="1"/>
                <w:bCs w:val="1"/>
                <w:color w:val="auto"/>
                <w:w w:val="85"/>
              </w:rPr>
              <w:t>(Name, address, including zip code, and telephone number,</w:t>
            </w:r>
          </w:p>
        </w:tc>
      </w:tr>
      <w:tr>
        <w:trPr>
          <w:trHeight w:val="174"/>
        </w:trPr>
        <w:tc>
          <w:tcPr>
            <w:tcW w:w="1900" w:type="dxa"/>
            <w:vAlign w:val="bottom"/>
          </w:tcPr>
          <w:p>
            <w:pPr>
              <w:spacing w:after="0"/>
              <w:rPr>
                <w:sz w:val="15"/>
                <w:szCs w:val="15"/>
                <w:color w:val="auto"/>
              </w:rPr>
            </w:pPr>
          </w:p>
        </w:tc>
        <w:tc>
          <w:tcPr>
            <w:tcW w:w="5340" w:type="dxa"/>
            <w:vAlign w:val="bottom"/>
            <w:gridSpan w:val="3"/>
          </w:tcPr>
          <w:p>
            <w:pPr>
              <w:jc w:val="center"/>
              <w:ind w:right="1612"/>
              <w:spacing w:after="0"/>
              <w:rPr>
                <w:sz w:val="20"/>
                <w:szCs w:val="20"/>
                <w:color w:val="auto"/>
              </w:rPr>
            </w:pPr>
            <w:r>
              <w:rPr>
                <w:rFonts w:ascii="Arial" w:cs="Arial" w:eastAsia="Arial" w:hAnsi="Arial"/>
                <w:sz w:val="14"/>
                <w:szCs w:val="14"/>
                <w:b w:val="1"/>
                <w:bCs w:val="1"/>
                <w:color w:val="auto"/>
                <w:w w:val="85"/>
              </w:rPr>
              <w:t>including area code, of agent for service)</w:t>
            </w:r>
          </w:p>
        </w:tc>
      </w:tr>
      <w:tr>
        <w:trPr>
          <w:trHeight w:val="298"/>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357"/>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80" w:type="dxa"/>
            <w:vAlign w:val="bottom"/>
            <w:gridSpan w:val="2"/>
          </w:tcPr>
          <w:p>
            <w:pPr>
              <w:jc w:val="center"/>
              <w:ind w:right="2472"/>
              <w:spacing w:after="0"/>
              <w:rPr>
                <w:sz w:val="20"/>
                <w:szCs w:val="20"/>
                <w:color w:val="auto"/>
              </w:rPr>
            </w:pPr>
            <w:r>
              <w:rPr>
                <w:rFonts w:ascii="Arial" w:cs="Arial" w:eastAsia="Arial" w:hAnsi="Arial"/>
                <w:sz w:val="18"/>
                <w:szCs w:val="18"/>
                <w:b w:val="1"/>
                <w:bCs w:val="1"/>
                <w:i w:val="1"/>
                <w:iCs w:val="1"/>
                <w:color w:val="auto"/>
                <w:w w:val="84"/>
              </w:rPr>
              <w:t>Copy to:</w:t>
            </w:r>
          </w:p>
        </w:tc>
      </w:tr>
      <w:tr>
        <w:trPr>
          <w:trHeight w:val="216"/>
        </w:trPr>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80" w:type="dxa"/>
            <w:vAlign w:val="bottom"/>
            <w:gridSpan w:val="2"/>
          </w:tcPr>
          <w:p>
            <w:pPr>
              <w:jc w:val="center"/>
              <w:ind w:right="2472"/>
              <w:spacing w:after="0"/>
              <w:rPr>
                <w:sz w:val="20"/>
                <w:szCs w:val="20"/>
                <w:color w:val="auto"/>
              </w:rPr>
            </w:pPr>
            <w:r>
              <w:rPr>
                <w:rFonts w:ascii="Arial" w:cs="Arial" w:eastAsia="Arial" w:hAnsi="Arial"/>
                <w:sz w:val="18"/>
                <w:szCs w:val="18"/>
                <w:b w:val="1"/>
                <w:bCs w:val="1"/>
                <w:color w:val="auto"/>
                <w:w w:val="89"/>
              </w:rPr>
              <w:t>J. Matthew Lyons</w:t>
            </w:r>
          </w:p>
        </w:tc>
      </w:tr>
      <w:tr>
        <w:trPr>
          <w:trHeight w:val="216"/>
        </w:trPr>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80" w:type="dxa"/>
            <w:vAlign w:val="bottom"/>
            <w:gridSpan w:val="2"/>
          </w:tcPr>
          <w:p>
            <w:pPr>
              <w:jc w:val="center"/>
              <w:ind w:right="2452"/>
              <w:spacing w:after="0"/>
              <w:rPr>
                <w:sz w:val="20"/>
                <w:szCs w:val="20"/>
                <w:color w:val="auto"/>
              </w:rPr>
            </w:pPr>
            <w:r>
              <w:rPr>
                <w:rFonts w:ascii="Arial" w:cs="Arial" w:eastAsia="Arial" w:hAnsi="Arial"/>
                <w:sz w:val="18"/>
                <w:szCs w:val="18"/>
                <w:b w:val="1"/>
                <w:bCs w:val="1"/>
                <w:color w:val="auto"/>
                <w:w w:val="92"/>
              </w:rPr>
              <w:t>Andrews Kurth LLP</w:t>
            </w:r>
          </w:p>
        </w:tc>
      </w:tr>
      <w:tr>
        <w:trPr>
          <w:trHeight w:val="216"/>
        </w:trPr>
        <w:tc>
          <w:tcPr>
            <w:tcW w:w="1900" w:type="dxa"/>
            <w:vAlign w:val="bottom"/>
          </w:tcPr>
          <w:p>
            <w:pPr>
              <w:spacing w:after="0"/>
              <w:rPr>
                <w:sz w:val="18"/>
                <w:szCs w:val="18"/>
                <w:color w:val="auto"/>
              </w:rPr>
            </w:pPr>
          </w:p>
        </w:tc>
        <w:tc>
          <w:tcPr>
            <w:tcW w:w="5340" w:type="dxa"/>
            <w:vAlign w:val="bottom"/>
            <w:gridSpan w:val="3"/>
          </w:tcPr>
          <w:p>
            <w:pPr>
              <w:jc w:val="center"/>
              <w:ind w:right="1592"/>
              <w:spacing w:after="0"/>
              <w:rPr>
                <w:sz w:val="20"/>
                <w:szCs w:val="20"/>
                <w:color w:val="auto"/>
              </w:rPr>
            </w:pPr>
            <w:r>
              <w:rPr>
                <w:rFonts w:ascii="Arial" w:cs="Arial" w:eastAsia="Arial" w:hAnsi="Arial"/>
                <w:sz w:val="18"/>
                <w:szCs w:val="18"/>
                <w:b w:val="1"/>
                <w:bCs w:val="1"/>
                <w:color w:val="auto"/>
                <w:w w:val="84"/>
              </w:rPr>
              <w:t>111 Congress Avenue, Suite 1700</w:t>
            </w:r>
          </w:p>
        </w:tc>
      </w:tr>
      <w:tr>
        <w:trPr>
          <w:trHeight w:val="216"/>
        </w:trPr>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80" w:type="dxa"/>
            <w:vAlign w:val="bottom"/>
            <w:gridSpan w:val="2"/>
          </w:tcPr>
          <w:p>
            <w:pPr>
              <w:jc w:val="center"/>
              <w:ind w:right="2472"/>
              <w:spacing w:after="0"/>
              <w:rPr>
                <w:sz w:val="20"/>
                <w:szCs w:val="20"/>
                <w:color w:val="auto"/>
              </w:rPr>
            </w:pPr>
            <w:r>
              <w:rPr>
                <w:rFonts w:ascii="Arial" w:cs="Arial" w:eastAsia="Arial" w:hAnsi="Arial"/>
                <w:sz w:val="18"/>
                <w:szCs w:val="18"/>
                <w:b w:val="1"/>
                <w:bCs w:val="1"/>
                <w:color w:val="auto"/>
                <w:w w:val="87"/>
              </w:rPr>
              <w:t>Austin, Texas 78701</w:t>
            </w:r>
          </w:p>
        </w:tc>
      </w:tr>
      <w:tr>
        <w:trPr>
          <w:trHeight w:val="228"/>
        </w:trPr>
        <w:tc>
          <w:tcPr>
            <w:tcW w:w="1900" w:type="dxa"/>
            <w:vAlign w:val="bottom"/>
          </w:tcPr>
          <w:p>
            <w:pPr>
              <w:spacing w:after="0"/>
              <w:rPr>
                <w:sz w:val="19"/>
                <w:szCs w:val="19"/>
                <w:color w:val="auto"/>
              </w:rPr>
            </w:pPr>
          </w:p>
        </w:tc>
        <w:tc>
          <w:tcPr>
            <w:tcW w:w="2820" w:type="dxa"/>
            <w:vAlign w:val="bottom"/>
            <w:gridSpan w:val="2"/>
          </w:tcPr>
          <w:p>
            <w:pPr>
              <w:jc w:val="center"/>
              <w:ind w:left="758"/>
              <w:spacing w:after="0"/>
              <w:rPr>
                <w:sz w:val="20"/>
                <w:szCs w:val="20"/>
                <w:color w:val="auto"/>
              </w:rPr>
            </w:pPr>
            <w:r>
              <w:rPr>
                <w:rFonts w:ascii="Arial" w:cs="Arial" w:eastAsia="Arial" w:hAnsi="Arial"/>
                <w:sz w:val="18"/>
                <w:szCs w:val="18"/>
                <w:b w:val="1"/>
                <w:bCs w:val="1"/>
                <w:color w:val="auto"/>
                <w:w w:val="89"/>
              </w:rPr>
              <w:t>(512) 320-9200</w:t>
            </w:r>
          </w:p>
        </w:tc>
        <w:tc>
          <w:tcPr>
            <w:tcW w:w="252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198755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tcPr>
          <w:p>
            <w:pPr>
              <w:jc w:val="center"/>
              <w:ind w:right="586"/>
              <w:spacing w:after="0"/>
              <w:rPr>
                <w:sz w:val="20"/>
                <w:szCs w:val="20"/>
                <w:color w:val="auto"/>
              </w:rPr>
            </w:pPr>
            <w:r>
              <w:rPr>
                <w:rFonts w:ascii="Arial" w:cs="Arial" w:eastAsia="Arial" w:hAnsi="Arial"/>
                <w:sz w:val="14"/>
                <w:szCs w:val="14"/>
                <w:b w:val="1"/>
                <w:bCs w:val="1"/>
                <w:color w:val="auto"/>
                <w:w w:val="83"/>
              </w:rPr>
              <w:t>Proposed</w:t>
            </w:r>
          </w:p>
        </w:tc>
        <w:tc>
          <w:tcPr>
            <w:tcW w:w="480" w:type="dxa"/>
            <w:vAlign w:val="bottom"/>
          </w:tcPr>
          <w:p>
            <w:pPr>
              <w:spacing w:after="0"/>
              <w:rPr>
                <w:sz w:val="13"/>
                <w:szCs w:val="13"/>
                <w:color w:val="auto"/>
              </w:rPr>
            </w:pPr>
          </w:p>
        </w:tc>
        <w:tc>
          <w:tcPr>
            <w:tcW w:w="1620" w:type="dxa"/>
            <w:vAlign w:val="bottom"/>
          </w:tcPr>
          <w:p>
            <w:pPr>
              <w:jc w:val="center"/>
              <w:ind w:right="606"/>
              <w:spacing w:after="0"/>
              <w:rPr>
                <w:sz w:val="20"/>
                <w:szCs w:val="20"/>
                <w:color w:val="auto"/>
              </w:rPr>
            </w:pPr>
            <w:r>
              <w:rPr>
                <w:rFonts w:ascii="Arial" w:cs="Arial" w:eastAsia="Arial" w:hAnsi="Arial"/>
                <w:sz w:val="14"/>
                <w:szCs w:val="14"/>
                <w:b w:val="1"/>
                <w:bCs w:val="1"/>
                <w:color w:val="auto"/>
                <w:w w:val="83"/>
              </w:rPr>
              <w:t>Proposed</w:t>
            </w: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60" w:type="dxa"/>
            <w:vAlign w:val="bottom"/>
          </w:tcPr>
          <w:p>
            <w:pPr>
              <w:jc w:val="right"/>
              <w:ind w:right="302"/>
              <w:spacing w:after="0" w:line="149" w:lineRule="exact"/>
              <w:rPr>
                <w:sz w:val="20"/>
                <w:szCs w:val="20"/>
                <w:color w:val="auto"/>
              </w:rPr>
            </w:pPr>
            <w:r>
              <w:rPr>
                <w:rFonts w:ascii="Arial" w:cs="Arial" w:eastAsia="Arial" w:hAnsi="Arial"/>
                <w:sz w:val="14"/>
                <w:szCs w:val="14"/>
                <w:b w:val="1"/>
                <w:bCs w:val="1"/>
                <w:color w:val="auto"/>
              </w:rPr>
              <w:t>Amount to be</w:t>
            </w:r>
          </w:p>
        </w:tc>
        <w:tc>
          <w:tcPr>
            <w:tcW w:w="2040" w:type="dxa"/>
            <w:vAlign w:val="bottom"/>
            <w:gridSpan w:val="2"/>
          </w:tcPr>
          <w:p>
            <w:pPr>
              <w:jc w:val="center"/>
              <w:ind w:right="86"/>
              <w:spacing w:after="0" w:line="149" w:lineRule="exact"/>
              <w:rPr>
                <w:sz w:val="20"/>
                <w:szCs w:val="20"/>
                <w:color w:val="auto"/>
              </w:rPr>
            </w:pPr>
            <w:r>
              <w:rPr>
                <w:rFonts w:ascii="Arial" w:cs="Arial" w:eastAsia="Arial" w:hAnsi="Arial"/>
                <w:sz w:val="14"/>
                <w:szCs w:val="14"/>
                <w:b w:val="1"/>
                <w:bCs w:val="1"/>
                <w:color w:val="auto"/>
                <w:w w:val="91"/>
              </w:rPr>
              <w:t>Maximum Offering</w:t>
            </w:r>
          </w:p>
        </w:tc>
        <w:tc>
          <w:tcPr>
            <w:tcW w:w="2100" w:type="dxa"/>
            <w:vAlign w:val="bottom"/>
            <w:gridSpan w:val="2"/>
          </w:tcPr>
          <w:p>
            <w:pPr>
              <w:jc w:val="center"/>
              <w:ind w:right="126"/>
              <w:spacing w:after="0" w:line="149" w:lineRule="exact"/>
              <w:rPr>
                <w:sz w:val="20"/>
                <w:szCs w:val="20"/>
                <w:color w:val="auto"/>
              </w:rPr>
            </w:pPr>
            <w:r>
              <w:rPr>
                <w:rFonts w:ascii="Arial" w:cs="Arial" w:eastAsia="Arial" w:hAnsi="Arial"/>
                <w:sz w:val="14"/>
                <w:szCs w:val="14"/>
                <w:b w:val="1"/>
                <w:bCs w:val="1"/>
                <w:color w:val="auto"/>
                <w:w w:val="88"/>
              </w:rPr>
              <w:t>Maximum Aggregate</w:t>
            </w:r>
          </w:p>
        </w:tc>
        <w:tc>
          <w:tcPr>
            <w:tcW w:w="440" w:type="dxa"/>
            <w:vAlign w:val="bottom"/>
          </w:tcPr>
          <w:p>
            <w:pPr>
              <w:spacing w:after="0"/>
              <w:rPr>
                <w:sz w:val="12"/>
                <w:szCs w:val="12"/>
                <w:color w:val="auto"/>
              </w:rPr>
            </w:pPr>
          </w:p>
        </w:tc>
        <w:tc>
          <w:tcPr>
            <w:tcW w:w="84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auto"/>
                <w:w w:val="94"/>
              </w:rPr>
              <w:t>Amount of</w:t>
            </w:r>
          </w:p>
        </w:tc>
      </w:tr>
      <w:tr>
        <w:trPr>
          <w:trHeight w:val="161"/>
        </w:trPr>
        <w:tc>
          <w:tcPr>
            <w:tcW w:w="20" w:type="dxa"/>
            <w:vAlign w:val="bottom"/>
          </w:tcPr>
          <w:p>
            <w:pPr>
              <w:spacing w:after="0"/>
              <w:rPr>
                <w:sz w:val="14"/>
                <w:szCs w:val="14"/>
                <w:color w:val="auto"/>
              </w:rPr>
            </w:pPr>
          </w:p>
        </w:tc>
        <w:tc>
          <w:tcPr>
            <w:tcW w:w="432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Title of Securities to be Registered</w:t>
            </w:r>
          </w:p>
        </w:tc>
        <w:tc>
          <w:tcPr>
            <w:tcW w:w="16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Registered(1)</w:t>
            </w: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586"/>
              <w:spacing w:after="0"/>
              <w:rPr>
                <w:sz w:val="20"/>
                <w:szCs w:val="20"/>
                <w:color w:val="auto"/>
              </w:rPr>
            </w:pPr>
            <w:r>
              <w:rPr>
                <w:rFonts w:ascii="Arial" w:cs="Arial" w:eastAsia="Arial" w:hAnsi="Arial"/>
                <w:sz w:val="14"/>
                <w:szCs w:val="14"/>
                <w:b w:val="1"/>
                <w:bCs w:val="1"/>
                <w:color w:val="auto"/>
                <w:w w:val="87"/>
              </w:rPr>
              <w:t>Price per Share</w:t>
            </w:r>
          </w:p>
        </w:tc>
        <w:tc>
          <w:tcPr>
            <w:tcW w:w="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626"/>
              <w:spacing w:after="0"/>
              <w:rPr>
                <w:sz w:val="20"/>
                <w:szCs w:val="20"/>
                <w:color w:val="auto"/>
              </w:rPr>
            </w:pPr>
            <w:r>
              <w:rPr>
                <w:rFonts w:ascii="Arial" w:cs="Arial" w:eastAsia="Arial" w:hAnsi="Arial"/>
                <w:sz w:val="14"/>
                <w:szCs w:val="14"/>
                <w:b w:val="1"/>
                <w:bCs w:val="1"/>
                <w:color w:val="auto"/>
                <w:w w:val="90"/>
              </w:rPr>
              <w:t>Offering Price</w:t>
            </w:r>
          </w:p>
        </w:tc>
        <w:tc>
          <w:tcPr>
            <w:tcW w:w="12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85"/>
              </w:rPr>
              <w:t>Registration Fee</w:t>
            </w:r>
          </w:p>
        </w:tc>
      </w:tr>
      <w:tr>
        <w:trPr>
          <w:trHeight w:val="201"/>
        </w:trPr>
        <w:tc>
          <w:tcPr>
            <w:tcW w:w="20" w:type="dxa"/>
            <w:vAlign w:val="bottom"/>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w w:val="99"/>
              </w:rPr>
              <w:t>2000 Stock Incentive Plan Common Stock, $0.001 par</w:t>
            </w:r>
          </w:p>
        </w:tc>
        <w:tc>
          <w:tcPr>
            <w:tcW w:w="1660" w:type="dxa"/>
            <w:vAlign w:val="bottom"/>
          </w:tcPr>
          <w:p>
            <w:pPr>
              <w:jc w:val="right"/>
              <w:ind w:right="302"/>
              <w:spacing w:after="0" w:line="201" w:lineRule="exact"/>
              <w:rPr>
                <w:sz w:val="20"/>
                <w:szCs w:val="20"/>
                <w:color w:val="auto"/>
              </w:rPr>
            </w:pPr>
            <w:r>
              <w:rPr>
                <w:rFonts w:ascii="Arial" w:cs="Arial" w:eastAsia="Arial" w:hAnsi="Arial"/>
                <w:sz w:val="18"/>
                <w:szCs w:val="18"/>
                <w:color w:val="auto"/>
              </w:rPr>
              <w:t>1,002,509</w:t>
            </w: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3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value</w:t>
            </w:r>
          </w:p>
        </w:tc>
        <w:tc>
          <w:tcPr>
            <w:tcW w:w="1660" w:type="dxa"/>
            <w:vAlign w:val="bottom"/>
            <w:tcBorders>
              <w:bottom w:val="single" w:sz="8" w:color="auto"/>
            </w:tcBorders>
          </w:tcPr>
          <w:p>
            <w:pPr>
              <w:jc w:val="right"/>
              <w:ind w:right="302"/>
              <w:spacing w:after="0"/>
              <w:rPr>
                <w:sz w:val="20"/>
                <w:szCs w:val="20"/>
                <w:color w:val="auto"/>
              </w:rPr>
            </w:pPr>
            <w:r>
              <w:rPr>
                <w:rFonts w:ascii="Arial" w:cs="Arial" w:eastAsia="Arial" w:hAnsi="Arial"/>
                <w:sz w:val="18"/>
                <w:szCs w:val="18"/>
                <w:color w:val="auto"/>
              </w:rPr>
              <w:t>shares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266"/>
              <w:spacing w:after="0"/>
              <w:rPr>
                <w:sz w:val="20"/>
                <w:szCs w:val="20"/>
                <w:color w:val="auto"/>
              </w:rPr>
            </w:pPr>
            <w:r>
              <w:rPr>
                <w:rFonts w:ascii="Arial" w:cs="Arial" w:eastAsia="Arial" w:hAnsi="Arial"/>
                <w:sz w:val="18"/>
                <w:szCs w:val="18"/>
                <w:color w:val="auto"/>
              </w:rPr>
              <w:t>1.99(2)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266"/>
              <w:spacing w:after="0"/>
              <w:rPr>
                <w:sz w:val="20"/>
                <w:szCs w:val="20"/>
                <w:color w:val="auto"/>
              </w:rPr>
            </w:pPr>
            <w:r>
              <w:rPr>
                <w:rFonts w:ascii="Arial" w:cs="Arial" w:eastAsia="Arial" w:hAnsi="Arial"/>
                <w:sz w:val="18"/>
                <w:szCs w:val="18"/>
                <w:color w:val="auto"/>
              </w:rPr>
              <w:t>1,994,993(2)</w:t>
            </w:r>
          </w:p>
        </w:tc>
        <w:tc>
          <w:tcPr>
            <w:tcW w:w="4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w:t>
            </w:r>
          </w:p>
        </w:tc>
      </w:tr>
      <w:tr>
        <w:trPr>
          <w:trHeight w:val="126"/>
        </w:trPr>
        <w:tc>
          <w:tcPr>
            <w:tcW w:w="2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76" w:lineRule="exact"/>
        <w:rPr>
          <w:sz w:val="24"/>
          <w:szCs w:val="24"/>
          <w:color w:val="auto"/>
        </w:rPr>
      </w:pPr>
    </w:p>
    <w:p>
      <w:pPr>
        <w:ind w:left="460" w:right="2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shall also cover any additional shares of Common Stock which become issuable under the 2000 Stock Incentive Plan by reason of any stock dividend, stock split, recapitalization or other similar transaction effected without the Registrant’s receipt of consideration which results in an increase in the number of the outstanding shares of Registrant’s Common Stock.</w:t>
      </w:r>
    </w:p>
    <w:p>
      <w:pPr>
        <w:ind w:left="460" w:right="60" w:hanging="452"/>
        <w:spacing w:after="0" w:line="32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solely for purposes of this offering under Rule 457(h) of the Securities Act of 1933, as amended, on the basis of the average of the high and low selling prices per share of Registrant’s Common Stock on July 17, 2007, as reported by The NASDAQ Global Market.</w:t>
      </w:r>
    </w:p>
    <w:p>
      <w:pPr>
        <w:spacing w:after="0" w:line="93" w:lineRule="exact"/>
        <w:rPr>
          <w:sz w:val="24"/>
          <w:szCs w:val="24"/>
          <w:color w:val="auto"/>
        </w:rPr>
      </w:pPr>
    </w:p>
    <w:p>
      <w:pPr>
        <w:jc w:val="both"/>
        <w:ind w:right="100"/>
        <w:spacing w:after="0" w:line="306" w:lineRule="auto"/>
        <w:rPr>
          <w:sz w:val="20"/>
          <w:szCs w:val="20"/>
          <w:color w:val="auto"/>
        </w:rPr>
      </w:pPr>
      <w:r>
        <w:rPr>
          <w:rFonts w:ascii="Arial" w:cs="Arial" w:eastAsia="Arial" w:hAnsi="Arial"/>
          <w:sz w:val="16"/>
          <w:szCs w:val="16"/>
          <w:color w:val="auto"/>
        </w:rPr>
        <w:t>Pursuant to General Instruction E to Form S-8, this Registration Statement on Form S-8 registers the offer and sale of an additional 1,002,509 shares of Common Stock of the Registrant for issuance under the 2000 Stock Incentive Plan (the “Plan”). The contents of the prior Registration Statements relating to the Plan, File Nos. 333-43248, 333-56122, 333-104725, 333-115039, 333-123587 and 333-132792 are incorporated herein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1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u w:val="single" w:color="auto"/>
          <w:color w:val="auto"/>
        </w:rPr>
        <w:t>Incorporation of Documents by Reference</w:t>
      </w:r>
      <w:r>
        <w:rPr>
          <w:rFonts w:ascii="Arial" w:cs="Arial" w:eastAsia="Arial" w:hAnsi="Arial"/>
          <w:sz w:val="15"/>
          <w:szCs w:val="15"/>
          <w:color w:val="auto"/>
        </w:rPr>
        <w:t>.</w:t>
      </w:r>
    </w:p>
    <w:p>
      <w:pPr>
        <w:spacing w:after="0" w:line="90"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Active Power, Inc. (the “Registrant”) hereby incorporates by reference into this Registration Statement the following documents previously filed with the Securities and Exchange Commission (the “Commission”):</w:t>
      </w:r>
    </w:p>
    <w:p>
      <w:pPr>
        <w:spacing w:after="0" w:line="51"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Annual Report on Form 10-K for the fiscal year ended December 31, 2006 filed with the Commission on May 14, 2007;</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Quarterly Report on Form 10-Q for the fiscal quarter ended March 31, 2007 filed with the Commission on May 15, 2007;</w:t>
      </w:r>
    </w:p>
    <w:p>
      <w:pPr>
        <w:spacing w:after="0" w:line="113"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Securities Exchange Act of 1934, as amended (the “1934 Act”) since the end of the fiscal year covered by the Registrant’s Annual Report referred to in (a) above;</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Registration Statement No. 000-30939 on Form 8-A12G filed with the Commission on June 30, 2000, in which are described the terms, rights and provisions applicable to the Registrant’s Common Stock; and</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Registration Statement No. 000-30939 on Form 8-A12G filed with the Commission on December 14, 2001, in which are described the terms, rights and provisions applicable to the Registrant’s Preferred Share Purchase Rights.</w:t>
      </w:r>
    </w:p>
    <w:p>
      <w:pPr>
        <w:spacing w:after="0" w:line="132"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All reports and definitive proxy or information statements filed pursuant to Sections 13(a), 13(c), 14 or 15(d) of the 1934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Description of Securities</w:t>
      </w:r>
      <w:r>
        <w:rPr>
          <w:rFonts w:ascii="Arial" w:cs="Arial" w:eastAsia="Arial" w:hAnsi="Arial"/>
          <w:sz w:val="16"/>
          <w:szCs w:val="16"/>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u w:val="single" w:color="auto"/>
          <w:color w:val="auto"/>
        </w:rPr>
        <w:t>Interests of Named Experts and Counsel</w:t>
      </w:r>
      <w:r>
        <w:rPr>
          <w:rFonts w:ascii="Arial" w:cs="Arial" w:eastAsia="Arial" w:hAnsi="Arial"/>
          <w:sz w:val="15"/>
          <w:szCs w:val="15"/>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Indemnification of Directors and Officers</w:t>
      </w:r>
      <w:r>
        <w:rPr>
          <w:rFonts w:ascii="Arial" w:cs="Arial" w:eastAsia="Arial" w:hAnsi="Arial"/>
          <w:sz w:val="16"/>
          <w:szCs w:val="16"/>
          <w:color w:val="auto"/>
        </w:rPr>
        <w:t>.</w:t>
      </w:r>
    </w:p>
    <w:p>
      <w:pPr>
        <w:spacing w:after="0" w:line="90"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Section 145 of the Delaware General Corporation Law (the “DGCL”) provides, in effect, that any person made a party to any action by reason of the fact that he is or was a director, officer, employee or agent of the Registrant may and, in some cases, must be indemnified by the Registrant against, in the case of a non-derivative action, judgments, fines, amounts paid in settlement and reasonable expenses (including attorneys’ fees) incurred by him as a result of such action, and in the case of a derivative action, against expenses (including attorneys’ fees), if in either type of action he acted in good faith and in a manner he reasonably believed to be in or not opposed to the best interests of the Registrant. This indemnification does not apply, in a derivative action, to matters as to which it is adjudged that the director, officer, employee or agent is liable to the Registrant, unless upon court order it is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274" w:right="259" w:bottom="1440" w:gutter="0" w:footer="0" w:header="0"/>
        </w:sectPr>
      </w:pPr>
    </w:p>
    <w:bookmarkStart w:id="2" w:name="page3"/>
    <w:bookmarkEnd w:id="2"/>
    <w:p>
      <w:pPr>
        <w:ind w:right="5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determined that, despite such adjudication of liability, but in view of all the circumstances of the case, he is fairly and reasonably entitled to indemnity for expenses, and, in a non-derivative action, to any criminal proceeding in which such person had no reasonable cause to believe his conduct was unlawful.</w:t>
      </w:r>
    </w:p>
    <w:p>
      <w:pPr>
        <w:spacing w:after="0" w:line="6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Registrant’s certificate of incorporation provides that no director shall be liable to the Registrant or its stockholders for monetary damages for breach of fiduciary duty as a director to the fullest extent permitted by the DGCL. The Registrant’s bylaws require it to indemnify its directors and executive officers to the fullest extent permitted by Delaware law. The Registrant has entered into indemnification agreements with all of its directors and executive officers and has purchased directors’ and officers’ liability insurance.</w:t>
      </w:r>
    </w:p>
    <w:p>
      <w:pPr>
        <w:spacing w:after="0" w:line="143"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Reference is made to the underwriting agreement filed as Exhibit 1.1 to Registrant’s Registration Statement No. 333-36946, pursuant to which the underwriters have agreed to indemnify the Registrant’s officers and directors against certain liabilities under the Securities Act.</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Exemption from Registration Claimed</w:t>
      </w:r>
      <w:r>
        <w:rPr>
          <w:rFonts w:ascii="Arial" w:cs="Arial" w:eastAsia="Arial" w:hAnsi="Arial"/>
          <w:sz w:val="16"/>
          <w:szCs w:val="16"/>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u w:val="single" w:color="auto"/>
          <w:color w:val="auto"/>
        </w:rPr>
        <w:t>Exhibits</w:t>
      </w:r>
      <w:r>
        <w:rPr>
          <w:rFonts w:ascii="Arial" w:cs="Arial" w:eastAsia="Arial" w:hAnsi="Arial"/>
          <w:sz w:val="16"/>
          <w:szCs w:val="16"/>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Exhibit</w:t>
      </w:r>
    </w:p>
    <w:p>
      <w:pPr>
        <w:spacing w:after="0"/>
        <w:tabs>
          <w:tab w:leader="none" w:pos="680" w:val="left"/>
        </w:tabs>
        <w:rPr>
          <w:sz w:val="20"/>
          <w:szCs w:val="20"/>
          <w:color w:val="auto"/>
        </w:rPr>
      </w:pPr>
      <w:r>
        <w:rPr>
          <w:rFonts w:ascii="Arial" w:cs="Arial" w:eastAsia="Arial" w:hAnsi="Arial"/>
          <w:sz w:val="14"/>
          <w:szCs w:val="14"/>
          <w:b w:val="1"/>
          <w:bCs w:val="1"/>
          <w:i w:val="1"/>
          <w:iCs w:val="1"/>
          <w:color w:val="auto"/>
        </w:rPr>
        <w:t>Number</w:t>
      </w:r>
      <w:r>
        <w:rPr>
          <w:sz w:val="20"/>
          <w:szCs w:val="20"/>
          <w:color w:val="auto"/>
        </w:rPr>
        <w:tab/>
      </w:r>
      <w:r>
        <w:rPr>
          <w:rFonts w:ascii="Arial" w:cs="Arial" w:eastAsia="Arial" w:hAnsi="Arial"/>
          <w:sz w:val="14"/>
          <w:szCs w:val="14"/>
          <w:b w:val="1"/>
          <w:bCs w:val="1"/>
          <w:i w:val="1"/>
          <w:i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700" w:right="80" w:hanging="604"/>
        <w:spacing w:after="0" w:line="259"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Instruments Defining Rights of Stockholders. Reference is made to Registrant’s Registration Statement No. 000-30939 on Form 8-A12G filed with the Commission on June 30, 2000 and Registration Statement No. 000-30939 on Form 8-A12G filed with the Commission on December 14, 2001 which are incorporated herein by reference pursuant to Items 3(c) and (d).</w:t>
      </w:r>
    </w:p>
    <w:p>
      <w:pPr>
        <w:spacing w:after="0" w:line="86" w:lineRule="exact"/>
        <w:rPr>
          <w:sz w:val="20"/>
          <w:szCs w:val="20"/>
          <w:color w:val="auto"/>
        </w:rPr>
      </w:pPr>
    </w:p>
    <w:p>
      <w:pPr>
        <w:ind w:left="700" w:hanging="604"/>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Opinion and Consent of Andrews Kurth LLP.</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Independent Auditors.</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Andrews Kurth LLP is contained in Exhibit 5.</w:t>
      </w:r>
    </w:p>
    <w:p>
      <w:pPr>
        <w:spacing w:after="0" w:line="117" w:lineRule="exact"/>
        <w:rPr>
          <w:sz w:val="20"/>
          <w:szCs w:val="20"/>
          <w:color w:val="auto"/>
        </w:rPr>
      </w:pPr>
    </w:p>
    <w:p>
      <w:pPr>
        <w:ind w:right="4280" w:firstLine="8"/>
        <w:spacing w:after="0" w:line="393" w:lineRule="auto"/>
        <w:tabs>
          <w:tab w:leader="none" w:pos="689" w:val="left"/>
        </w:tabs>
        <w:numPr>
          <w:ilvl w:val="0"/>
          <w:numId w:val="5"/>
        </w:numPr>
        <w:rPr>
          <w:rFonts w:ascii="Arial" w:cs="Arial" w:eastAsia="Arial" w:hAnsi="Arial"/>
          <w:sz w:val="18"/>
          <w:szCs w:val="18"/>
          <w:color w:val="auto"/>
        </w:rPr>
      </w:pPr>
      <w:r>
        <w:rPr>
          <w:rFonts w:ascii="Arial" w:cs="Arial" w:eastAsia="Arial" w:hAnsi="Arial"/>
          <w:sz w:val="18"/>
          <w:szCs w:val="18"/>
          <w:color w:val="auto"/>
        </w:rPr>
        <w:t>Power of Attorney. Reference is made to the Signature Page of this Registration Statement. 99.1* Active Power, Inc. 2000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6000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72" w:lineRule="exact"/>
        <w:rPr>
          <w:sz w:val="20"/>
          <w:szCs w:val="20"/>
          <w:color w:val="auto"/>
        </w:rPr>
      </w:pPr>
    </w:p>
    <w:p>
      <w:pPr>
        <w:ind w:left="460" w:right="1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 99.1 is incorporated herein by reference to Exhibit 99.1 to Registrant’s Registration Statement No. 333-43248 on Form S-8 filed with the SEC on August 8, 2000.</w:t>
      </w:r>
    </w:p>
    <w:p>
      <w:pPr>
        <w:spacing w:after="0" w:line="2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5"/>
          <w:szCs w:val="15"/>
          <w:u w:val="single" w:color="auto"/>
          <w:color w:val="auto"/>
        </w:rPr>
        <w:t>Undertakings</w:t>
      </w:r>
      <w:r>
        <w:rPr>
          <w:rFonts w:ascii="Arial" w:cs="Arial" w:eastAsia="Arial" w:hAnsi="Arial"/>
          <w:sz w:val="15"/>
          <w:szCs w:val="15"/>
          <w:color w:val="auto"/>
        </w:rPr>
        <w:t>.</w:t>
      </w:r>
    </w:p>
    <w:p>
      <w:pPr>
        <w:spacing w:after="0" w:line="9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 The undersigned Registrant hereby undertakes: (1) to file, during any period in which offers or sales are being made, a post-effective amendment to this Registration Statement (i) to include any prospectus required by Section 10(a)(3) of the Securities Act of 1933, as amended (the “1933 Act”), (ii)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 (iii) to include any material information with respect to the plan of distribution not previously disclosed in this Registration Statement or any material change to such information in this Registration Statement; provided, however, that clauses (1)(i) and (1)(ii) shall not apply if the information required to be included in a post-effective amendment by those clauses is contained in periodic reports filed with or furnished to the Commission by the Registrant pursuant to Section 13 or Section 15(d) of the 1934 Act that are incorporated by reference into this Registration Statement; (2) that for the purpose of determining any liability under the 1933 Act, each such post-effective amendment shall be deemed to be a new registration statement relating to the securities offered therein and the offering of such securities at that time shall be deemed to be the initial bona fide offering thereof; and (3) to remove from registration by means of a post-effective amendment any of the securities being registered which remain unsold at the termination of the Registrant’s 2000 Stock Incentive Plan.</w:t>
      </w:r>
    </w:p>
    <w:p>
      <w:pPr>
        <w:spacing w:after="0" w:line="1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 The undersigned Registrant hereby undertakes that, for purposes of determining any liability under the 1933 Act, each filing of the Registrant’s annual report pursuant to Section 13(a) or Section 15(d) of the 1934 Act that is incorporated by reference into this Registration Statement shall be deemed to be a new registration statement relating to the securities offered therein, and the offering of such securities at that time shall be deemed to be the initial bona fide offering thereof.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280" w:right="279" w:bottom="1440" w:gutter="0" w:footer="0" w:header="0"/>
        </w:sectPr>
      </w:pPr>
    </w:p>
    <w:bookmarkStart w:id="3" w:name="page4"/>
    <w:bookmarkEnd w:id="3"/>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Insofar as indemnification for liabilities arising under the 1933 Act may be permitted to directors, officers, or controlling persons of the Registrant pursuant to the indemnification provisions summarized in Item 6 or otherwise, the Registrant has been advised that, in the opinion of the Commission, such indemnification is against public policy as expressed in the 1933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1933 Act and will be governed by the final adjudication of such issue.</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40"/>
          </w:cols>
          <w:pgMar w:left="240" w:top="280"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Austin, state of Texas on this 23rd day of July, 2007.</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hereby severally constitutes and appoints, James A. Clishem and John K. Penver, and each or any of them, his true and lawful attorney-in-fact and agent, each with the power of substitution and resubstitution, for him in any and all capacities, to sign any and all amendments to this registration statement and to file the same, with exhibits thereto and other documents in connection therewith, with the Securities and Exchange Commission, hereby ratifying and confirming all that each said attorney-in-fact and agent, or his substitute or substitutes, may lawfully do or cause to be done by virtue hereof.</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report has been signed below by the following persons on behalf of the registrant in the capacities set forth below on July 23, 2007.</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Signature</w:t>
            </w:r>
          </w:p>
        </w:tc>
        <w:tc>
          <w:tcPr>
            <w:tcW w:w="228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322"/>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A. Clishem</w:t>
            </w:r>
          </w:p>
        </w:tc>
        <w:tc>
          <w:tcPr>
            <w:tcW w:w="22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President and Chief Executive Officer, Director</w:t>
            </w:r>
          </w:p>
        </w:tc>
      </w:tr>
      <w:tr>
        <w:trPr>
          <w:trHeight w:val="218"/>
        </w:trPr>
        <w:tc>
          <w:tcPr>
            <w:tcW w:w="4580" w:type="dxa"/>
            <w:vAlign w:val="bottom"/>
            <w:gridSpan w:val="2"/>
          </w:tcPr>
          <w:p>
            <w:pPr>
              <w:spacing w:after="0"/>
              <w:rPr>
                <w:sz w:val="20"/>
                <w:szCs w:val="20"/>
                <w:color w:val="auto"/>
              </w:rPr>
            </w:pPr>
            <w:r>
              <w:rPr>
                <w:rFonts w:ascii="Arial" w:cs="Arial" w:eastAsia="Arial" w:hAnsi="Arial"/>
                <w:sz w:val="18"/>
                <w:szCs w:val="18"/>
                <w:color w:val="auto"/>
              </w:rPr>
              <w:t>James A. Clishem</w:t>
            </w:r>
          </w:p>
        </w:tc>
        <w:tc>
          <w:tcPr>
            <w:tcW w:w="2280" w:type="dxa"/>
            <w:vAlign w:val="bottom"/>
          </w:tcPr>
          <w:p>
            <w:pPr>
              <w:spacing w:after="0"/>
              <w:rPr>
                <w:sz w:val="18"/>
                <w:szCs w:val="18"/>
                <w:color w:val="auto"/>
              </w:rPr>
            </w:pPr>
          </w:p>
        </w:tc>
        <w:tc>
          <w:tcPr>
            <w:tcW w:w="4560" w:type="dxa"/>
            <w:vAlign w:val="bottom"/>
          </w:tcPr>
          <w:p>
            <w:pPr>
              <w:jc w:val="center"/>
              <w:spacing w:after="0" w:line="202" w:lineRule="exact"/>
              <w:rPr>
                <w:sz w:val="20"/>
                <w:szCs w:val="20"/>
                <w:color w:val="auto"/>
              </w:rPr>
            </w:pPr>
            <w:r>
              <w:rPr>
                <w:rFonts w:ascii="Arial" w:cs="Arial" w:eastAsia="Arial" w:hAnsi="Arial"/>
                <w:sz w:val="18"/>
                <w:szCs w:val="18"/>
                <w:color w:val="auto"/>
                <w:w w:val="91"/>
              </w:rPr>
              <w:t>(principal executive officer)</w:t>
            </w:r>
          </w:p>
        </w:tc>
      </w:tr>
      <w:tr>
        <w:trPr>
          <w:trHeight w:val="329"/>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K. Penver</w:t>
            </w:r>
          </w:p>
        </w:tc>
        <w:tc>
          <w:tcPr>
            <w:tcW w:w="22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Vice President and Chief Financial Officer (principal financial</w:t>
            </w:r>
          </w:p>
        </w:tc>
      </w:tr>
      <w:tr>
        <w:trPr>
          <w:trHeight w:val="218"/>
        </w:trPr>
        <w:tc>
          <w:tcPr>
            <w:tcW w:w="4580" w:type="dxa"/>
            <w:vAlign w:val="bottom"/>
            <w:gridSpan w:val="2"/>
          </w:tcPr>
          <w:p>
            <w:pPr>
              <w:spacing w:after="0"/>
              <w:rPr>
                <w:sz w:val="20"/>
                <w:szCs w:val="20"/>
                <w:color w:val="auto"/>
              </w:rPr>
            </w:pPr>
            <w:r>
              <w:rPr>
                <w:rFonts w:ascii="Arial" w:cs="Arial" w:eastAsia="Arial" w:hAnsi="Arial"/>
                <w:sz w:val="18"/>
                <w:szCs w:val="18"/>
                <w:color w:val="auto"/>
              </w:rPr>
              <w:t>John K. Penver</w:t>
            </w:r>
          </w:p>
        </w:tc>
        <w:tc>
          <w:tcPr>
            <w:tcW w:w="2280" w:type="dxa"/>
            <w:vAlign w:val="bottom"/>
          </w:tcPr>
          <w:p>
            <w:pPr>
              <w:spacing w:after="0"/>
              <w:rPr>
                <w:sz w:val="18"/>
                <w:szCs w:val="18"/>
                <w:color w:val="auto"/>
              </w:rPr>
            </w:pPr>
          </w:p>
        </w:tc>
        <w:tc>
          <w:tcPr>
            <w:tcW w:w="4560" w:type="dxa"/>
            <w:vAlign w:val="bottom"/>
          </w:tcPr>
          <w:p>
            <w:pPr>
              <w:jc w:val="center"/>
              <w:spacing w:after="0" w:line="202" w:lineRule="exact"/>
              <w:rPr>
                <w:sz w:val="20"/>
                <w:szCs w:val="20"/>
                <w:color w:val="auto"/>
              </w:rPr>
            </w:pPr>
            <w:r>
              <w:rPr>
                <w:rFonts w:ascii="Arial" w:cs="Arial" w:eastAsia="Arial" w:hAnsi="Arial"/>
                <w:sz w:val="18"/>
                <w:szCs w:val="18"/>
                <w:color w:val="auto"/>
                <w:w w:val="90"/>
              </w:rPr>
              <w:t>and accounting officer)</w:t>
            </w:r>
          </w:p>
        </w:tc>
      </w:tr>
      <w:tr>
        <w:trPr>
          <w:trHeight w:val="31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Chairman of the Board, Director</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Benjamin L. Scott</w:t>
            </w:r>
          </w:p>
        </w:tc>
        <w:tc>
          <w:tcPr>
            <w:tcW w:w="228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330"/>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Ake Almgren</w:t>
            </w:r>
          </w:p>
        </w:tc>
        <w:tc>
          <w:tcPr>
            <w:tcW w:w="22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7"/>
        </w:trPr>
        <w:tc>
          <w:tcPr>
            <w:tcW w:w="4580" w:type="dxa"/>
            <w:vAlign w:val="bottom"/>
            <w:gridSpan w:val="2"/>
          </w:tcPr>
          <w:p>
            <w:pPr>
              <w:spacing w:after="0"/>
              <w:rPr>
                <w:sz w:val="20"/>
                <w:szCs w:val="20"/>
                <w:color w:val="auto"/>
              </w:rPr>
            </w:pPr>
            <w:r>
              <w:rPr>
                <w:rFonts w:ascii="Arial" w:cs="Arial" w:eastAsia="Arial" w:hAnsi="Arial"/>
                <w:sz w:val="18"/>
                <w:szCs w:val="18"/>
                <w:color w:val="auto"/>
              </w:rPr>
              <w:t>Ake Almgren</w:t>
            </w:r>
          </w:p>
        </w:tc>
        <w:tc>
          <w:tcPr>
            <w:tcW w:w="228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330"/>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E. Anderson</w:t>
            </w:r>
          </w:p>
        </w:tc>
        <w:tc>
          <w:tcPr>
            <w:tcW w:w="22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7"/>
        </w:trPr>
        <w:tc>
          <w:tcPr>
            <w:tcW w:w="4580" w:type="dxa"/>
            <w:vAlign w:val="bottom"/>
            <w:gridSpan w:val="2"/>
          </w:tcPr>
          <w:p>
            <w:pPr>
              <w:spacing w:after="0"/>
              <w:rPr>
                <w:sz w:val="20"/>
                <w:szCs w:val="20"/>
                <w:color w:val="auto"/>
              </w:rPr>
            </w:pPr>
            <w:r>
              <w:rPr>
                <w:rFonts w:ascii="Arial" w:cs="Arial" w:eastAsia="Arial" w:hAnsi="Arial"/>
                <w:sz w:val="18"/>
                <w:szCs w:val="18"/>
                <w:color w:val="auto"/>
              </w:rPr>
              <w:t>Richard E. Anderson</w:t>
            </w:r>
          </w:p>
        </w:tc>
        <w:tc>
          <w:tcPr>
            <w:tcW w:w="228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330"/>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Rodney S. Bond</w:t>
            </w:r>
          </w:p>
        </w:tc>
        <w:tc>
          <w:tcPr>
            <w:tcW w:w="22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7"/>
        </w:trPr>
        <w:tc>
          <w:tcPr>
            <w:tcW w:w="4580" w:type="dxa"/>
            <w:vAlign w:val="bottom"/>
            <w:gridSpan w:val="2"/>
          </w:tcPr>
          <w:p>
            <w:pPr>
              <w:spacing w:after="0"/>
              <w:rPr>
                <w:sz w:val="20"/>
                <w:szCs w:val="20"/>
                <w:color w:val="auto"/>
              </w:rPr>
            </w:pPr>
            <w:r>
              <w:rPr>
                <w:rFonts w:ascii="Arial" w:cs="Arial" w:eastAsia="Arial" w:hAnsi="Arial"/>
                <w:sz w:val="18"/>
                <w:szCs w:val="18"/>
                <w:color w:val="auto"/>
              </w:rPr>
              <w:t>Rodney S. Bond</w:t>
            </w:r>
          </w:p>
        </w:tc>
        <w:tc>
          <w:tcPr>
            <w:tcW w:w="228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318"/>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Brad Boston</w:t>
            </w:r>
          </w:p>
        </w:tc>
        <w:tc>
          <w:tcPr>
            <w:tcW w:w="228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330"/>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Jan H. Lindelow</w:t>
            </w:r>
          </w:p>
        </w:tc>
        <w:tc>
          <w:tcPr>
            <w:tcW w:w="22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7"/>
        </w:trPr>
        <w:tc>
          <w:tcPr>
            <w:tcW w:w="4580" w:type="dxa"/>
            <w:vAlign w:val="bottom"/>
            <w:gridSpan w:val="2"/>
          </w:tcPr>
          <w:p>
            <w:pPr>
              <w:spacing w:after="0"/>
              <w:rPr>
                <w:sz w:val="20"/>
                <w:szCs w:val="20"/>
                <w:color w:val="auto"/>
              </w:rPr>
            </w:pPr>
            <w:r>
              <w:rPr>
                <w:rFonts w:ascii="Arial" w:cs="Arial" w:eastAsia="Arial" w:hAnsi="Arial"/>
                <w:sz w:val="18"/>
                <w:szCs w:val="18"/>
                <w:color w:val="auto"/>
              </w:rPr>
              <w:t>Jan H. Lindelow</w:t>
            </w:r>
          </w:p>
        </w:tc>
        <w:tc>
          <w:tcPr>
            <w:tcW w:w="228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37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840" w:type="dxa"/>
            <w:vAlign w:val="bottom"/>
            <w:gridSpan w:val="2"/>
          </w:tcPr>
          <w:p>
            <w:pPr>
              <w:ind w:left="100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420"/>
          </w:cols>
          <w:pgMar w:left="240" w:top="274"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p>
    <w:p>
      <w:pPr>
        <w:sectPr>
          <w:pgSz w:w="11900" w:h="16838" w:orient="portrait"/>
          <w:cols w:equalWidth="0" w:num="1">
            <w:col w:w="9019"/>
          </w:cols>
          <w:pgMar w:left="1440" w:top="280"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S-8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SECURITIES ACT OF 1933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ectPr>
          <w:pgSz w:w="11900" w:h="16838" w:orient="portrait"/>
          <w:cols w:equalWidth="0" w:num="1">
            <w:col w:w="9019"/>
          </w:cols>
          <w:pgMar w:left="1440" w:top="280" w:right="1440" w:bottom="1440" w:gutter="0" w:footer="0" w:header="0"/>
          <w:type w:val="continuous"/>
        </w:sectPr>
      </w:pPr>
    </w:p>
    <w:bookmarkStart w:id="6" w:name="page7"/>
    <w:bookmarkEnd w:id="6"/>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Exhibit</w:t>
      </w:r>
    </w:p>
    <w:p>
      <w:pPr>
        <w:spacing w:after="0"/>
        <w:tabs>
          <w:tab w:leader="none" w:pos="680" w:val="left"/>
        </w:tabs>
        <w:rPr>
          <w:sz w:val="20"/>
          <w:szCs w:val="20"/>
          <w:color w:val="auto"/>
        </w:rPr>
      </w:pPr>
      <w:r>
        <w:rPr>
          <w:rFonts w:ascii="Arial" w:cs="Arial" w:eastAsia="Arial" w:hAnsi="Arial"/>
          <w:sz w:val="14"/>
          <w:szCs w:val="14"/>
          <w:b w:val="1"/>
          <w:bCs w:val="1"/>
          <w:i w:val="1"/>
          <w:iCs w:val="1"/>
          <w:color w:val="auto"/>
        </w:rPr>
        <w:t>Number</w:t>
      </w:r>
      <w:r>
        <w:rPr>
          <w:sz w:val="20"/>
          <w:szCs w:val="20"/>
          <w:color w:val="auto"/>
        </w:rPr>
        <w:tab/>
      </w:r>
      <w:r>
        <w:rPr>
          <w:rFonts w:ascii="Arial" w:cs="Arial" w:eastAsia="Arial" w:hAnsi="Arial"/>
          <w:sz w:val="14"/>
          <w:szCs w:val="14"/>
          <w:b w:val="1"/>
          <w:bCs w:val="1"/>
          <w:i w:val="1"/>
          <w:i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both"/>
        <w:ind w:left="700" w:hanging="604"/>
        <w:spacing w:after="0" w:line="259"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Instruments Defining Rights of Stockholders. Reference is made to Registrant’s Registration Statement No. 000-30939 on Form 8-A12G filed with the SEC June 30, 2000 and Registration Statement No. 000-30939 on Form 8-A12G filed with the SEC December 14, 2001 which are incorporated herein by reference pursuant to Items 3(c) and (d).</w:t>
      </w:r>
    </w:p>
    <w:p>
      <w:pPr>
        <w:spacing w:after="0" w:line="86" w:lineRule="exact"/>
        <w:rPr>
          <w:sz w:val="20"/>
          <w:szCs w:val="20"/>
          <w:color w:val="auto"/>
        </w:rPr>
      </w:pPr>
    </w:p>
    <w:p>
      <w:pPr>
        <w:ind w:left="700" w:hanging="60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Opinion and Consent of Andrews Kurth LLP</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Independent Auditors.</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Andrews Kurth LLP is contained in Exhibit 5.</w:t>
      </w:r>
    </w:p>
    <w:p>
      <w:pPr>
        <w:spacing w:after="0" w:line="117" w:lineRule="exact"/>
        <w:rPr>
          <w:sz w:val="20"/>
          <w:szCs w:val="20"/>
          <w:color w:val="auto"/>
        </w:rPr>
      </w:pPr>
    </w:p>
    <w:p>
      <w:pPr>
        <w:ind w:right="4200" w:firstLine="8"/>
        <w:spacing w:after="0" w:line="393" w:lineRule="auto"/>
        <w:tabs>
          <w:tab w:leader="none" w:pos="689" w:val="left"/>
        </w:tabs>
        <w:numPr>
          <w:ilvl w:val="0"/>
          <w:numId w:val="9"/>
        </w:numPr>
        <w:rPr>
          <w:rFonts w:ascii="Arial" w:cs="Arial" w:eastAsia="Arial" w:hAnsi="Arial"/>
          <w:sz w:val="18"/>
          <w:szCs w:val="18"/>
          <w:color w:val="auto"/>
        </w:rPr>
      </w:pPr>
      <w:r>
        <w:rPr>
          <w:rFonts w:ascii="Arial" w:cs="Arial" w:eastAsia="Arial" w:hAnsi="Arial"/>
          <w:sz w:val="18"/>
          <w:szCs w:val="18"/>
          <w:color w:val="auto"/>
        </w:rPr>
        <w:t>Power of Attorney. Reference is made to the Signature Page of this Registration Statement. 99.1* Active Power, Inc. 2000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6000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72" w:lineRule="exact"/>
        <w:rPr>
          <w:sz w:val="20"/>
          <w:szCs w:val="20"/>
          <w:color w:val="auto"/>
        </w:rPr>
      </w:pPr>
    </w:p>
    <w:p>
      <w:pPr>
        <w:ind w:left="460" w:right="8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 99.1 is incorporated herein by reference to Exhibit 99.1 to Registrant’s Registration Statement No. 333-43248 on Form S-8 filed with the SEC on August 8, 2000.</w:t>
      </w:r>
    </w:p>
    <w:p>
      <w:pPr>
        <w:sectPr>
          <w:pgSz w:w="11900" w:h="16838" w:orient="portrait"/>
          <w:cols w:equalWidth="0" w:num="1">
            <w:col w:w="11300"/>
          </w:cols>
          <w:pgMar w:left="240" w:top="274" w:right="3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OPINION AND CONSENT OF ANDREWS KURTH LLP</w:t>
      </w:r>
    </w:p>
    <w:p>
      <w:pPr>
        <w:spacing w:after="0" w:line="1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July 23,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2128 W. Braker, B12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TX 78758</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Active Power, Inc.- Registration Statement on Form S-8 for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Offering of an Aggregate of 1,002,509 Shares of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acted as counsel to Active Power, Inc., a Delaware corporation (the “Company”), in connection with the registration on Form S-8 (the “Registration Statement”) under the Securities Act of 1933, as amended, of an additional 1,002,509 shares of Common Stock (the “Shares”) under the Company’s 2000 Stock Incentive Plan (the “Plan”).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being furnished in accordance with the requirements of Item 8 of Form S-8 and Item 601(b)(5)(i) of Regulation S-K.</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In connection with this opinion, we have examined originals or copies, certified or otherwise identified to our satisfaction, of (i) the Amended and Restated Certificate of Incorporation of the Company on file with the Secretary of State of the State of Delaware (the “Certificate of Incorporation”), (ii) the Amended and Restated Bylaws of the Company as in effect on the date hereof and at the time of the adoption of the resolutions by the Board of Directors approving the issuance of the Shares, as certified to us by a Company officer, (iii) certain resolutions of the Board of Directors of the Company, as certified to us by a Company officer,</w:t>
      </w:r>
    </w:p>
    <w:p>
      <w:pPr>
        <w:spacing w:after="0" w:line="3" w:lineRule="exact"/>
        <w:rPr>
          <w:sz w:val="20"/>
          <w:szCs w:val="20"/>
          <w:color w:val="auto"/>
        </w:rPr>
      </w:pPr>
    </w:p>
    <w:p>
      <w:pPr>
        <w:ind w:right="120" w:firstLine="8"/>
        <w:spacing w:after="0" w:line="254" w:lineRule="auto"/>
        <w:tabs>
          <w:tab w:leader="none" w:pos="29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specimen certificate representing the Common Stock, and (v) such other documents and records as we have deemed necessary and relevant for purposes hereof. Based on such review, we are of the opinion that, if, as and when the Shares have been issued and sold (and the consideration therefor received) pursuant to the provisions of option agreements duly authorized under the Plan and in accordance with the Registration Statement, such Shares will be duly authorized, legally issued, fully paid and nonassessable.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filing of this opinion letter as Exhibit 5 to the Registration Statement.</w:t>
      </w:r>
    </w:p>
    <w:p>
      <w:pPr>
        <w:spacing w:after="0" w:line="171"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color w:val="auto"/>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the Plan or the Shares.</w:t>
      </w:r>
    </w:p>
    <w:p>
      <w:pPr>
        <w:spacing w:after="0" w:line="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ANDREWS KURTH LLP</w:t>
      </w:r>
    </w:p>
    <w:p>
      <w:pPr>
        <w:sectPr>
          <w:pgSz w:w="11900" w:h="16838" w:orient="portrait"/>
          <w:cols w:equalWidth="0" w:num="1">
            <w:col w:w="11420"/>
          </w:cols>
          <w:pgMar w:left="240" w:top="12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2000 Stock Incentive Plan of Active Power, Inc. of our reports dated May 10, 2007, with respect to the financial statements of Active Power, Inc., Active Power, Inc.’s management’s assessment of the effectiveness of internal control over financial reporting, and the effectiveness of internal control over financial reporting of Active Power, Inc. included in the Annual Report on Form 10-K for the year ended December 31, 2006.</w:t>
      </w:r>
    </w:p>
    <w:p>
      <w:pPr>
        <w:spacing w:after="0" w:line="14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20, 2007</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4"/>
      <w:numFmt w:val="bullet"/>
      <w:start w:val="1"/>
    </w:lvl>
  </w:abstractNum>
  <w:abstractNum w:abstractNumId="3">
    <w:nsid w:val="79E2A9E3"/>
    <w:multiLevelType w:val="hybridMultilevel"/>
    <w:lvl w:ilvl="0">
      <w:lvlJc w:val="left"/>
      <w:lvlText w:val="5"/>
      <w:numFmt w:val="bullet"/>
      <w:start w:val="1"/>
    </w:lvl>
  </w:abstractNum>
  <w:abstractNum w:abstractNumId="4">
    <w:nsid w:val="7545E146"/>
    <w:multiLevelType w:val="hybridMultilevel"/>
    <w:lvl w:ilvl="0">
      <w:lvlJc w:val="left"/>
      <w:lvlText w:val="%1"/>
      <w:numFmt w:val="decimal"/>
      <w:start w:val="24"/>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5"/>
      <w:numFmt w:val="bullet"/>
      <w:start w:val="1"/>
    </w:lvl>
  </w:abstractNum>
  <w:abstractNum w:abstractNumId="8">
    <w:nsid w:val="4DB127F8"/>
    <w:multiLevelType w:val="hybridMultilevel"/>
    <w:lvl w:ilvl="0">
      <w:lvlJc w:val="left"/>
      <w:lvlText w:val="%1"/>
      <w:numFmt w:val="decimal"/>
      <w:start w:val="24"/>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2019-12-14T18:14:31Z</dcterms:created>
  <dcterms:modified xsi:type="dcterms:W3CDTF">2019-12-14T18:14:31Z</dcterms:modified>
</cp:coreProperties>
</file>