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6, 2025</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40" w:orient="portrait"/>
          <w:cols w:equalWidth="0" w:num="1">
            <w:col w:w="10580"/>
          </w:cols>
          <w:pgMar w:left="660" w:top="1387" w:right="660" w:bottom="1440" w:gutter="0" w:footer="0" w:header="0"/>
        </w:sectPr>
      </w:pPr>
    </w:p>
    <w:p>
      <w:pPr>
        <w:spacing w:after="0" w:line="17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001-40937</w:t>
      </w:r>
    </w:p>
    <w:p>
      <w:pPr>
        <w:spacing w:after="0" w:line="24"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(Commission</w:t>
      </w:r>
    </w:p>
    <w:p>
      <w:pPr>
        <w:spacing w:after="0" w:line="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87-2908160</w:t>
      </w:r>
    </w:p>
    <w:p>
      <w:pPr>
        <w:spacing w:after="0" w:line="24"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(IRS Employer</w:t>
      </w:r>
    </w:p>
    <w:p>
      <w:pPr>
        <w:spacing w:after="0" w:line="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54" w:lineRule="exact"/>
        <w:rPr>
          <w:sz w:val="24"/>
          <w:szCs w:val="24"/>
          <w:color w:val="auto"/>
        </w:rPr>
      </w:pPr>
    </w:p>
    <w:p>
      <w:pPr>
        <w:sectPr>
          <w:pgSz w:w="11900" w:h="16840" w:orient="portrait"/>
          <w:cols w:equalWidth="0" w:num="3">
            <w:col w:w="4880" w:space="720"/>
            <w:col w:w="2040" w:space="720"/>
            <w:col w:w="2220"/>
          </w:cols>
          <w:pgMar w:left="660" w:top="1387" w:right="66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2699 Howell Street, Suite 1000, Dallas, Texas 75204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(214) 865-7998</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40" w:orient="portrait"/>
          <w:cols w:equalWidth="0" w:num="1">
            <w:col w:w="10580"/>
          </w:cols>
          <w:pgMar w:left="660" w:top="1387" w:right="660"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190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334"/>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9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Trading</w:t>
            </w:r>
          </w:p>
        </w:tc>
        <w:tc>
          <w:tcPr>
            <w:tcW w:w="336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Name of each exchange on which</w:t>
            </w:r>
          </w:p>
        </w:tc>
      </w:tr>
      <w:tr>
        <w:trPr>
          <w:trHeight w:val="178"/>
        </w:trPr>
        <w:tc>
          <w:tcPr>
            <w:tcW w:w="20" w:type="dxa"/>
            <w:vAlign w:val="bottom"/>
          </w:tcPr>
          <w:p>
            <w:pPr>
              <w:spacing w:after="0"/>
              <w:rPr>
                <w:sz w:val="15"/>
                <w:szCs w:val="15"/>
                <w:color w:val="auto"/>
              </w:rPr>
            </w:pPr>
          </w:p>
        </w:tc>
        <w:tc>
          <w:tcPr>
            <w:tcW w:w="53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color w:val="auto"/>
              </w:rPr>
              <w:t>Title of Each Class</w:t>
            </w:r>
          </w:p>
        </w:tc>
        <w:tc>
          <w:tcPr>
            <w:tcW w:w="19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color w:val="auto"/>
              </w:rPr>
              <w:t>Symbol</w:t>
            </w:r>
          </w:p>
        </w:tc>
        <w:tc>
          <w:tcPr>
            <w:tcW w:w="33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registered</w:t>
            </w:r>
          </w:p>
        </w:tc>
      </w:tr>
      <w:tr>
        <w:trPr>
          <w:trHeight w:val="144"/>
        </w:trPr>
        <w:tc>
          <w:tcPr>
            <w:tcW w:w="20" w:type="dxa"/>
            <w:vAlign w:val="bottom"/>
          </w:tcPr>
          <w:p>
            <w:pPr>
              <w:spacing w:after="0"/>
              <w:rPr>
                <w:sz w:val="12"/>
                <w:szCs w:val="12"/>
                <w:color w:val="auto"/>
              </w:rPr>
            </w:pPr>
          </w:p>
        </w:tc>
        <w:tc>
          <w:tcPr>
            <w:tcW w:w="530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900" w:type="dxa"/>
            <w:vAlign w:val="bottom"/>
          </w:tcPr>
          <w:p>
            <w:pPr>
              <w:jc w:val="center"/>
              <w:ind w:left="268"/>
              <w:spacing w:after="0" w:line="145" w:lineRule="exact"/>
              <w:rPr>
                <w:sz w:val="20"/>
                <w:szCs w:val="20"/>
                <w:color w:val="auto"/>
              </w:rPr>
            </w:pPr>
            <w:r>
              <w:rPr>
                <w:rFonts w:ascii="Times New Roman" w:cs="Times New Roman" w:eastAsia="Times New Roman" w:hAnsi="Times New Roman"/>
                <w:sz w:val="14"/>
                <w:szCs w:val="14"/>
                <w:b w:val="1"/>
                <w:bCs w:val="1"/>
                <w:color w:val="auto"/>
              </w:rPr>
              <w:t>PX</w:t>
            </w:r>
          </w:p>
        </w:tc>
        <w:tc>
          <w:tcPr>
            <w:tcW w:w="3360" w:type="dxa"/>
            <w:vAlign w:val="bottom"/>
          </w:tcPr>
          <w:p>
            <w:pPr>
              <w:jc w:val="center"/>
              <w:ind w:right="268"/>
              <w:spacing w:after="0" w:line="145" w:lineRule="exact"/>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1"/>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36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NYSE Texas, Inc.</w:t>
            </w:r>
          </w:p>
        </w:tc>
      </w:tr>
    </w:tbl>
    <w:p>
      <w:pPr>
        <w:spacing w:after="0" w:line="311" w:lineRule="exact"/>
        <w:rPr>
          <w:sz w:val="24"/>
          <w:szCs w:val="24"/>
          <w:color w:val="auto"/>
        </w:rPr>
      </w:pPr>
    </w:p>
    <w:p>
      <w:pPr>
        <w:ind w:right="260"/>
        <w:spacing w:after="0" w:line="260"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79" w:lineRule="exact"/>
        <w:rPr>
          <w:sz w:val="24"/>
          <w:szCs w:val="24"/>
          <w:color w:val="auto"/>
        </w:rPr>
      </w:pPr>
    </w:p>
    <w:p>
      <w:pPr>
        <w:ind w:right="540"/>
        <w:spacing w:after="0" w:line="28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693420</wp:posOffset>
            </wp:positionV>
            <wp:extent cx="674179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387" w:right="660" w:bottom="1440" w:gutter="0" w:footer="0" w:header="0"/>
          <w:type w:val="continuous"/>
        </w:sectPr>
      </w:pPr>
    </w:p>
    <w:bookmarkStart w:id="1" w:name="page2"/>
    <w:bookmarkEnd w:id="1"/>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19" w:lineRule="exact"/>
        <w:rPr>
          <w:sz w:val="20"/>
          <w:szCs w:val="20"/>
          <w:color w:val="auto"/>
        </w:rPr>
      </w:pPr>
    </w:p>
    <w:p>
      <w:pPr>
        <w:ind w:right="160" w:firstLine="789"/>
        <w:spacing w:after="0" w:line="289" w:lineRule="auto"/>
        <w:rPr>
          <w:sz w:val="20"/>
          <w:szCs w:val="20"/>
          <w:color w:val="auto"/>
        </w:rPr>
      </w:pPr>
      <w:r>
        <w:rPr>
          <w:rFonts w:ascii="Times New Roman" w:cs="Times New Roman" w:eastAsia="Times New Roman" w:hAnsi="Times New Roman"/>
          <w:sz w:val="14"/>
          <w:szCs w:val="14"/>
          <w:color w:val="auto"/>
        </w:rPr>
        <w:t>On November 6, 2025, P10, Inc. (the “Company”) issued a press release announcing its financial results for the third quarter ended September 30, 2025. A copy of the press release is attached hereto as Exhibit 99.1 and is incorporated herein by reference.</w:t>
      </w:r>
    </w:p>
    <w:p>
      <w:pPr>
        <w:spacing w:after="0" w:line="157" w:lineRule="exact"/>
        <w:rPr>
          <w:sz w:val="20"/>
          <w:szCs w:val="20"/>
          <w:color w:val="auto"/>
        </w:rPr>
      </w:pPr>
    </w:p>
    <w:p>
      <w:pPr>
        <w:jc w:val="both"/>
        <w:ind w:right="200" w:firstLine="789"/>
        <w:spacing w:after="0" w:line="269" w:lineRule="auto"/>
        <w:rPr>
          <w:sz w:val="20"/>
          <w:szCs w:val="20"/>
          <w:color w:val="auto"/>
        </w:rPr>
      </w:pPr>
      <w:r>
        <w:rPr>
          <w:rFonts w:ascii="Times New Roman" w:cs="Times New Roman" w:eastAsia="Times New Roman" w:hAnsi="Times New Roman"/>
          <w:sz w:val="14"/>
          <w:szCs w:val="14"/>
          <w:color w:val="212529"/>
        </w:rPr>
        <w:t>The information disclosed under this Item 2</w:t>
      </w:r>
      <w:r>
        <w:rPr>
          <w:rFonts w:ascii="Times New Roman" w:cs="Times New Roman" w:eastAsia="Times New Roman" w:hAnsi="Times New Roman"/>
          <w:sz w:val="14"/>
          <w:szCs w:val="14"/>
          <w:color w:val="000000"/>
        </w:rPr>
        <w:t>.02, including Exhibit 99.1,</w:t>
      </w:r>
      <w:r>
        <w:rPr>
          <w:rFonts w:ascii="Times New Roman" w:cs="Times New Roman" w:eastAsia="Times New Roman" w:hAnsi="Times New Roman"/>
          <w:sz w:val="14"/>
          <w:szCs w:val="14"/>
          <w:color w:val="212529"/>
        </w:rPr>
        <w:t xml:space="preserve"> is being furnished and shall not be deemed “filed” for purposes of Section 18 of the </w:t>
      </w:r>
      <w:r>
        <w:rPr>
          <w:rFonts w:ascii="Times New Roman" w:cs="Times New Roman" w:eastAsia="Times New Roman" w:hAnsi="Times New Roman"/>
          <w:sz w:val="14"/>
          <w:szCs w:val="14"/>
          <w:color w:val="000000"/>
        </w:rPr>
        <w:t>Securities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Exchange Act of 1934, as amended (the “Exchange Act”) </w:t>
      </w:r>
      <w:r>
        <w:rPr>
          <w:rFonts w:ascii="Times New Roman" w:cs="Times New Roman" w:eastAsia="Times New Roman" w:hAnsi="Times New Roman"/>
          <w:sz w:val="14"/>
          <w:szCs w:val="14"/>
          <w:color w:val="212529"/>
        </w:rPr>
        <w:t>or otherwise subject to the liability of that section, and shall not be deemed incorporated by reference into any Company</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filing made under the Securities Act of 1933, as amended (the “Securities Act”), or under the Exchange Act, except as expressly set forth by specific reference in such filing.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ind w:right="540" w:firstLine="789"/>
        <w:spacing w:after="0" w:line="289" w:lineRule="auto"/>
        <w:rPr>
          <w:sz w:val="20"/>
          <w:szCs w:val="20"/>
          <w:color w:val="auto"/>
        </w:rPr>
      </w:pPr>
      <w:r>
        <w:rPr>
          <w:rFonts w:ascii="Times New Roman" w:cs="Times New Roman" w:eastAsia="Times New Roman" w:hAnsi="Times New Roman"/>
          <w:sz w:val="14"/>
          <w:szCs w:val="14"/>
          <w:color w:val="212529"/>
        </w:rPr>
        <w:t>On November 6, 2025, the Company posted an earnings presentation to its website. A copy of the earnings presentation is attached hereto as Exhibit 99.2 and is incorporated herein by reference.</w:t>
      </w:r>
    </w:p>
    <w:p>
      <w:pPr>
        <w:spacing w:after="0" w:line="157" w:lineRule="exact"/>
        <w:rPr>
          <w:sz w:val="20"/>
          <w:szCs w:val="20"/>
          <w:color w:val="auto"/>
        </w:rPr>
      </w:pPr>
    </w:p>
    <w:p>
      <w:pPr>
        <w:ind w:right="200" w:firstLine="789"/>
        <w:spacing w:after="0" w:line="269" w:lineRule="auto"/>
        <w:rPr>
          <w:sz w:val="20"/>
          <w:szCs w:val="20"/>
          <w:color w:val="auto"/>
        </w:rPr>
      </w:pPr>
      <w:r>
        <w:rPr>
          <w:rFonts w:ascii="Times New Roman" w:cs="Times New Roman" w:eastAsia="Times New Roman" w:hAnsi="Times New Roman"/>
          <w:sz w:val="14"/>
          <w:szCs w:val="14"/>
          <w:color w:val="212529"/>
        </w:rPr>
        <w:t>The information disclosed under this Item 7.01, including Exhibit 99.2, is being furnished and shall not be deemed “filed” for purposes of Section 18 of the Exchange Act or otherwise subject to the liability of that section, and shall not be deemed incorporated by reference into any Company filing made under the Securities Act or under the Exchange Act, except as expressly set forth by specific reference in such filing.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944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Description</w:t>
            </w:r>
          </w:p>
        </w:tc>
      </w:tr>
      <w:tr>
        <w:trPr>
          <w:trHeight w:val="156"/>
        </w:trPr>
        <w:tc>
          <w:tcPr>
            <w:tcW w:w="260" w:type="dxa"/>
            <w:vAlign w:val="bottom"/>
          </w:tcPr>
          <w:p>
            <w:pPr>
              <w:spacing w:after="0" w:line="156" w:lineRule="exact"/>
              <w:rPr>
                <w:rFonts w:ascii="Times New Roman" w:cs="Times New Roman" w:eastAsia="Times New Roman" w:hAnsi="Times New Roman"/>
                <w:sz w:val="14"/>
                <w:szCs w:val="14"/>
                <w:color w:val="0000FF"/>
                <w:w w:val="97"/>
              </w:rPr>
            </w:pPr>
            <w:hyperlink w:anchor="page1">
              <w:r>
                <w:rPr>
                  <w:rFonts w:ascii="Times New Roman" w:cs="Times New Roman" w:eastAsia="Times New Roman" w:hAnsi="Times New Roman"/>
                  <w:sz w:val="14"/>
                  <w:szCs w:val="14"/>
                  <w:color w:val="0000FF"/>
                  <w:w w:val="97"/>
                </w:rPr>
                <w:t>99.1</w:t>
              </w:r>
            </w:hyperlink>
          </w:p>
        </w:tc>
        <w:tc>
          <w:tcPr>
            <w:tcW w:w="880" w:type="dxa"/>
            <w:vAlign w:val="bottom"/>
          </w:tcPr>
          <w:p>
            <w:pPr>
              <w:spacing w:after="0"/>
              <w:rPr>
                <w:sz w:val="13"/>
                <w:szCs w:val="13"/>
                <w:color w:val="auto"/>
              </w:rPr>
            </w:pPr>
          </w:p>
        </w:tc>
        <w:tc>
          <w:tcPr>
            <w:tcW w:w="9440" w:type="dxa"/>
            <w:vAlign w:val="bottom"/>
            <w:gridSpan w:val="4"/>
          </w:tcPr>
          <w:p>
            <w:pPr>
              <w:ind w:left="440"/>
              <w:spacing w:after="0" w:line="15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Press Release of P10, Inc. dated November 6, 2025</w:t>
              </w:r>
            </w:hyperlink>
          </w:p>
        </w:tc>
      </w:tr>
      <w:tr>
        <w:trPr>
          <w:trHeight w:val="147"/>
        </w:trPr>
        <w:tc>
          <w:tcPr>
            <w:tcW w:w="260" w:type="dxa"/>
            <w:vAlign w:val="bottom"/>
            <w:tcBorders>
              <w:top w:val="single" w:sz="8" w:color="0000EE"/>
            </w:tcBorders>
          </w:tcPr>
          <w:p>
            <w:pPr>
              <w:spacing w:after="0" w:line="147" w:lineRule="exact"/>
              <w:rPr>
                <w:rFonts w:ascii="Times New Roman" w:cs="Times New Roman" w:eastAsia="Times New Roman" w:hAnsi="Times New Roman"/>
                <w:sz w:val="14"/>
                <w:szCs w:val="14"/>
                <w:color w:val="0000FF"/>
                <w:w w:val="97"/>
              </w:rPr>
            </w:pPr>
            <w:hyperlink w:anchor="page1">
              <w:r>
                <w:rPr>
                  <w:rFonts w:ascii="Times New Roman" w:cs="Times New Roman" w:eastAsia="Times New Roman" w:hAnsi="Times New Roman"/>
                  <w:sz w:val="14"/>
                  <w:szCs w:val="14"/>
                  <w:color w:val="0000FF"/>
                  <w:w w:val="97"/>
                </w:rPr>
                <w:t>99.2</w:t>
              </w:r>
            </w:hyperlink>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tcBorders>
              <w:top w:val="single" w:sz="8" w:color="0000EE"/>
            </w:tcBorders>
          </w:tcPr>
          <w:p>
            <w:pPr>
              <w:spacing w:after="0" w:line="147"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Third Quarter 2025 Earnings Presentation, dated</w:t>
              </w:r>
            </w:hyperlink>
          </w:p>
        </w:tc>
        <w:tc>
          <w:tcPr>
            <w:tcW w:w="6020" w:type="dxa"/>
            <w:vAlign w:val="bottom"/>
            <w:gridSpan w:val="2"/>
          </w:tcPr>
          <w:p>
            <w:pPr>
              <w:spacing w:after="0" w:line="147"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November 6, 2025</w:t>
              </w:r>
            </w:hyperlink>
          </w:p>
        </w:tc>
      </w:tr>
      <w:tr>
        <w:trPr>
          <w:trHeight w:val="180"/>
        </w:trPr>
        <w:tc>
          <w:tcPr>
            <w:tcW w:w="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104</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c>
          <w:tcPr>
            <w:tcW w:w="5080" w:type="dxa"/>
            <w:vAlign w:val="bottom"/>
          </w:tcPr>
          <w:p>
            <w:pPr>
              <w:spacing w:after="0"/>
              <w:rPr>
                <w:sz w:val="15"/>
                <w:szCs w:val="15"/>
                <w:color w:val="auto"/>
              </w:rPr>
            </w:pPr>
          </w:p>
        </w:tc>
      </w:tr>
      <w:tr>
        <w:trPr>
          <w:trHeight w:val="1322"/>
        </w:trPr>
        <w:tc>
          <w:tcPr>
            <w:tcW w:w="2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9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50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674179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 w:name="page3"/>
    <w:bookmarkEnd w:id="2"/>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P10, INC.</w:t>
            </w:r>
          </w:p>
        </w:tc>
      </w:tr>
      <w:tr>
        <w:trPr>
          <w:trHeight w:val="323"/>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6, 2025</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 Amanda Coussens</w:t>
            </w:r>
          </w:p>
        </w:tc>
      </w:tr>
      <w:tr>
        <w:trPr>
          <w:trHeight w:val="146"/>
        </w:trPr>
        <w:tc>
          <w:tcPr>
            <w:tcW w:w="5460" w:type="dxa"/>
            <w:vAlign w:val="bottom"/>
          </w:tcPr>
          <w:p>
            <w:pPr>
              <w:spacing w:after="0"/>
              <w:rPr>
                <w:sz w:val="12"/>
                <w:szCs w:val="12"/>
                <w:color w:val="auto"/>
              </w:rPr>
            </w:pPr>
          </w:p>
        </w:tc>
        <w:tc>
          <w:tcPr>
            <w:tcW w:w="51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Amanda Coussens</w:t>
            </w:r>
          </w:p>
        </w:tc>
      </w:tr>
      <w:tr>
        <w:trPr>
          <w:trHeight w:val="189"/>
        </w:trPr>
        <w:tc>
          <w:tcPr>
            <w:tcW w:w="546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323"/>
        </w:trPr>
        <w:tc>
          <w:tcPr>
            <w:tcW w:w="5460" w:type="dxa"/>
            <w:vAlign w:val="bottom"/>
            <w:tcBorders>
              <w:bottom w:val="single" w:sz="8" w:color="EEEEEE"/>
            </w:tcBorders>
          </w:tcPr>
          <w:p>
            <w:pPr>
              <w:spacing w:after="0"/>
              <w:rPr>
                <w:sz w:val="24"/>
                <w:szCs w:val="24"/>
                <w:color w:val="auto"/>
              </w:rPr>
            </w:pPr>
          </w:p>
        </w:tc>
        <w:tc>
          <w:tcPr>
            <w:tcW w:w="5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674179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1575435</wp:posOffset>
            </wp:positionH>
            <wp:positionV relativeFrom="page">
              <wp:posOffset>721995</wp:posOffset>
            </wp:positionV>
            <wp:extent cx="945515" cy="444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45515" cy="44450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2F2F45"/>
        </w:rPr>
        <w:t>P10 Reports Third Quarter 2025 Earnings Results</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2F2F45"/>
        </w:rPr>
        <w:t>Organic Fundraising and Deployments of $ 915 million in Gross New Fee-Paying AUM</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2F2F45"/>
        </w:rPr>
        <w:t>Fee-Paying AUM has increased 17% year over year</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2F2F45"/>
        </w:rPr>
        <w:t>Annual Guidance Increased</w:t>
      </w:r>
    </w:p>
    <w:p>
      <w:pPr>
        <w:spacing w:after="0" w:line="215" w:lineRule="exact"/>
        <w:rPr>
          <w:sz w:val="20"/>
          <w:szCs w:val="20"/>
          <w:color w:val="auto"/>
        </w:rPr>
      </w:pPr>
    </w:p>
    <w:p>
      <w:pPr>
        <w:ind w:left="1040" w:right="680"/>
        <w:spacing w:after="0" w:line="259" w:lineRule="auto"/>
        <w:rPr>
          <w:sz w:val="20"/>
          <w:szCs w:val="20"/>
          <w:color w:val="auto"/>
        </w:rPr>
      </w:pPr>
      <w:r>
        <w:rPr>
          <w:rFonts w:ascii="Arial" w:cs="Arial" w:eastAsia="Arial" w:hAnsi="Arial"/>
          <w:sz w:val="18"/>
          <w:szCs w:val="18"/>
          <w:color w:val="2F2F45"/>
        </w:rPr>
        <w:t xml:space="preserve">DALLAS, November 6, 2025 (GLOBE NEWSWIRE) - </w:t>
      </w:r>
      <w:r>
        <w:rPr>
          <w:rFonts w:ascii="Arial" w:cs="Arial" w:eastAsia="Arial" w:hAnsi="Arial"/>
          <w:sz w:val="18"/>
          <w:szCs w:val="18"/>
          <w:color w:val="000000"/>
        </w:rPr>
        <w:t>P10, Inc.</w:t>
      </w:r>
      <w:r>
        <w:rPr>
          <w:rFonts w:ascii="Arial" w:cs="Arial" w:eastAsia="Arial" w:hAnsi="Arial"/>
          <w:sz w:val="18"/>
          <w:szCs w:val="18"/>
          <w:color w:val="2F2F45"/>
        </w:rPr>
        <w:t xml:space="preserve"> (NYSE: PX) (the “Company”), a leading private markets solutions provider, today reported financial results for the third quarter ended September 30, 2025.</w:t>
      </w:r>
    </w:p>
    <w:p>
      <w:pPr>
        <w:spacing w:after="0" w:line="17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Third Quarter 2025 Financial Highlights</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Revenue: $75.9 million, a 2% increase year over year.</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Fee-Related Revenue: $75.9 million, a 4% increase year over year.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Fee-Paying Assets Under Management: $29.1 billion, a 17% increase year over year.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GAAP Net Income: $3.0 million compared to $1.3 million in the prior year.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Fee-Related Earnings: $36.0 million, a 3% increase year over year.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Adjusted Net Income: $28.6 million compared to $30.8 million in the prior year.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Fully Diluted GAAP EPS: $0.02 compared to $0.01 in the prior year.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F2F45"/>
        </w:rPr>
        <w:t>•</w:t>
      </w:r>
      <w:r>
        <w:rPr>
          <w:rFonts w:ascii="Arial" w:cs="Arial" w:eastAsia="Arial" w:hAnsi="Arial"/>
          <w:sz w:val="17"/>
          <w:szCs w:val="17"/>
          <w:color w:val="2F2F45"/>
        </w:rPr>
        <w:t>Fully Diluted ANI per share: $0.24 compared to $0.26 in the prior year.</w:t>
      </w:r>
    </w:p>
    <w:p>
      <w:pPr>
        <w:spacing w:after="0" w:line="210" w:lineRule="exact"/>
        <w:rPr>
          <w:sz w:val="20"/>
          <w:szCs w:val="20"/>
          <w:color w:val="auto"/>
        </w:rPr>
      </w:pPr>
    </w:p>
    <w:p>
      <w:pPr>
        <w:ind w:left="1040" w:right="1200"/>
        <w:spacing w:after="0" w:line="274" w:lineRule="auto"/>
        <w:rPr>
          <w:sz w:val="20"/>
          <w:szCs w:val="20"/>
          <w:color w:val="auto"/>
        </w:rPr>
      </w:pPr>
      <w:r>
        <w:rPr>
          <w:rFonts w:ascii="Arial" w:cs="Arial" w:eastAsia="Arial" w:hAnsi="Arial"/>
          <w:sz w:val="18"/>
          <w:szCs w:val="18"/>
          <w:color w:val="2F2F45"/>
        </w:rPr>
        <w:t xml:space="preserve">A presentation of the quarterly financials may be accessed </w:t>
      </w:r>
      <w:r>
        <w:rPr>
          <w:rFonts w:ascii="Verdana" w:cs="Verdana" w:eastAsia="Verdana" w:hAnsi="Verdana"/>
          <w:sz w:val="14"/>
          <w:szCs w:val="14"/>
          <w:color w:val="000000"/>
        </w:rPr>
        <w:t>here</w:t>
      </w:r>
      <w:r>
        <w:rPr>
          <w:rFonts w:ascii="Arial" w:cs="Arial" w:eastAsia="Arial" w:hAnsi="Arial"/>
          <w:sz w:val="18"/>
          <w:szCs w:val="18"/>
          <w:color w:val="2F2F45"/>
        </w:rPr>
        <w:t xml:space="preserve"> and is available on the Company’s website.</w:t>
      </w:r>
    </w:p>
    <w:p>
      <w:pPr>
        <w:spacing w:after="0" w:line="161" w:lineRule="exact"/>
        <w:rPr>
          <w:sz w:val="20"/>
          <w:szCs w:val="20"/>
          <w:color w:val="auto"/>
        </w:rPr>
      </w:pPr>
    </w:p>
    <w:p>
      <w:pPr>
        <w:ind w:left="1040" w:right="780"/>
        <w:spacing w:after="0" w:line="252" w:lineRule="auto"/>
        <w:rPr>
          <w:sz w:val="20"/>
          <w:szCs w:val="20"/>
          <w:color w:val="auto"/>
        </w:rPr>
      </w:pPr>
      <w:r>
        <w:rPr>
          <w:rFonts w:ascii="Arial" w:cs="Arial" w:eastAsia="Arial" w:hAnsi="Arial"/>
          <w:sz w:val="18"/>
          <w:szCs w:val="18"/>
          <w:color w:val="2F2F45"/>
        </w:rPr>
        <w:t>“P10’s third quarter results highlight the strength of our diversified platform and the solid fundamentals of the middle and lower middle markets, which remain our core investment focus,” said Luke Sarsfield, P10 Chairman and Chief Executive Officer. “We have exceeded our 2025 organic gross fundraising guidance of $4 billion and now expect to close the year closer to $5 billion raised.”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-104140</wp:posOffset>
            </wp:positionV>
            <wp:extent cx="2462530" cy="2272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2530" cy="2272030"/>
                    </a:xfrm>
                    <a:prstGeom prst="rect">
                      <a:avLst/>
                    </a:prstGeom>
                    <a:noFill/>
                  </pic:spPr>
                </pic:pic>
              </a:graphicData>
            </a:graphic>
          </wp:anchor>
        </w:drawing>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Stock Repurchase Program</w:t>
      </w:r>
    </w:p>
    <w:p>
      <w:pPr>
        <w:spacing w:after="0" w:line="217" w:lineRule="exact"/>
        <w:rPr>
          <w:sz w:val="20"/>
          <w:szCs w:val="20"/>
          <w:color w:val="auto"/>
        </w:rPr>
      </w:pPr>
    </w:p>
    <w:p>
      <w:pPr>
        <w:ind w:left="1040" w:right="700"/>
        <w:spacing w:after="0" w:line="259" w:lineRule="auto"/>
        <w:rPr>
          <w:sz w:val="20"/>
          <w:szCs w:val="20"/>
          <w:color w:val="auto"/>
        </w:rPr>
      </w:pPr>
      <w:r>
        <w:rPr>
          <w:rFonts w:ascii="Arial" w:cs="Arial" w:eastAsia="Arial" w:hAnsi="Arial"/>
          <w:sz w:val="18"/>
          <w:szCs w:val="18"/>
          <w:color w:val="2F2F45"/>
        </w:rPr>
        <w:t>In the third quarter, the Company repurchased 110,032 shares at an average price of $11.34 per share. The repurchase activity left approximately $26 million available under the share repurchase authorization at the end of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1409700</wp:posOffset>
            </wp:positionV>
            <wp:extent cx="579628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6280" cy="3937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1575435</wp:posOffset>
            </wp:positionH>
            <wp:positionV relativeFrom="page">
              <wp:posOffset>531495</wp:posOffset>
            </wp:positionV>
            <wp:extent cx="945515" cy="444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45515" cy="44450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Declaration of Dividend</w:t>
      </w:r>
    </w:p>
    <w:p>
      <w:pPr>
        <w:spacing w:after="0" w:line="217" w:lineRule="exact"/>
        <w:rPr>
          <w:sz w:val="20"/>
          <w:szCs w:val="20"/>
          <w:color w:val="auto"/>
        </w:rPr>
      </w:pPr>
    </w:p>
    <w:p>
      <w:pPr>
        <w:jc w:val="both"/>
        <w:ind w:left="1040" w:right="920"/>
        <w:spacing w:after="0" w:line="259" w:lineRule="auto"/>
        <w:rPr>
          <w:sz w:val="20"/>
          <w:szCs w:val="20"/>
          <w:color w:val="auto"/>
        </w:rPr>
      </w:pPr>
      <w:r>
        <w:rPr>
          <w:rFonts w:ascii="Arial" w:cs="Arial" w:eastAsia="Arial" w:hAnsi="Arial"/>
          <w:sz w:val="18"/>
          <w:szCs w:val="18"/>
          <w:color w:val="2F2F45"/>
        </w:rPr>
        <w:t>The Board of Directors of the Company has declared a quarterly cash dividend of $ 0.0375 per share on Class A and Class B common stock, payable on December 19, 2025, to the holders of record as of the close of business on November 28, 2025.</w:t>
      </w:r>
    </w:p>
    <w:p>
      <w:pPr>
        <w:spacing w:after="0" w:line="17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Conference Call Details</w:t>
      </w:r>
    </w:p>
    <w:p>
      <w:pPr>
        <w:spacing w:after="0" w:line="217" w:lineRule="exact"/>
        <w:rPr>
          <w:sz w:val="20"/>
          <w:szCs w:val="20"/>
          <w:color w:val="auto"/>
        </w:rPr>
      </w:pPr>
    </w:p>
    <w:p>
      <w:pPr>
        <w:ind w:left="1040" w:right="740"/>
        <w:spacing w:after="0" w:line="274" w:lineRule="auto"/>
        <w:rPr>
          <w:sz w:val="20"/>
          <w:szCs w:val="20"/>
          <w:color w:val="auto"/>
        </w:rPr>
      </w:pPr>
      <w:r>
        <w:rPr>
          <w:rFonts w:ascii="Arial" w:cs="Arial" w:eastAsia="Arial" w:hAnsi="Arial"/>
          <w:sz w:val="18"/>
          <w:szCs w:val="18"/>
          <w:color w:val="2F2F45"/>
        </w:rPr>
        <w:t>The Company will host a conference call at 8:30 a.m. Eastern Time on Thursday, November 6, 2025. All participants must register prior to joining the event.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F2F45"/>
        </w:rPr>
        <w:t>•</w:t>
      </w:r>
      <w:r>
        <w:rPr>
          <w:rFonts w:ascii="Arial" w:cs="Arial" w:eastAsia="Arial" w:hAnsi="Arial"/>
          <w:sz w:val="18"/>
          <w:szCs w:val="18"/>
          <w:color w:val="2F2F45"/>
        </w:rPr>
        <w:t>To join and view the live webcast, please register</w:t>
      </w:r>
      <w:r>
        <w:rPr>
          <w:rFonts w:ascii="Times New Roman" w:cs="Times New Roman" w:eastAsia="Times New Roman" w:hAnsi="Times New Roman"/>
          <w:sz w:val="18"/>
          <w:szCs w:val="18"/>
          <w:color w:val="2F2F45"/>
        </w:rPr>
        <w:t xml:space="preserve"> </w:t>
      </w:r>
      <w:r>
        <w:rPr>
          <w:rFonts w:ascii="Arial" w:cs="Arial" w:eastAsia="Arial" w:hAnsi="Arial"/>
          <w:sz w:val="18"/>
          <w:szCs w:val="18"/>
          <w:color w:val="000000"/>
        </w:rPr>
        <w:t>here</w:t>
      </w:r>
      <w:r>
        <w:rPr>
          <w:rFonts w:ascii="Arial" w:cs="Arial" w:eastAsia="Arial" w:hAnsi="Arial"/>
          <w:sz w:val="18"/>
          <w:szCs w:val="18"/>
          <w:color w:val="2F2F45"/>
        </w:rPr>
        <w:t>.</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F2F45"/>
        </w:rPr>
        <w:t>•</w:t>
      </w:r>
      <w:r>
        <w:rPr>
          <w:rFonts w:ascii="Arial" w:cs="Arial" w:eastAsia="Arial" w:hAnsi="Arial"/>
          <w:sz w:val="18"/>
          <w:szCs w:val="18"/>
          <w:color w:val="2F2F45"/>
        </w:rPr>
        <w:t>To join by telephone, please register</w:t>
      </w:r>
      <w:r>
        <w:rPr>
          <w:rFonts w:ascii="Times New Roman" w:cs="Times New Roman" w:eastAsia="Times New Roman" w:hAnsi="Times New Roman"/>
          <w:sz w:val="18"/>
          <w:szCs w:val="18"/>
          <w:color w:val="2F2F45"/>
        </w:rPr>
        <w:t xml:space="preserve"> </w:t>
      </w:r>
      <w:r>
        <w:rPr>
          <w:rFonts w:ascii="Arial" w:cs="Arial" w:eastAsia="Arial" w:hAnsi="Arial"/>
          <w:sz w:val="18"/>
          <w:szCs w:val="18"/>
          <w:color w:val="000000"/>
        </w:rPr>
        <w:t>here</w:t>
      </w:r>
      <w:r>
        <w:rPr>
          <w:rFonts w:ascii="Arial" w:cs="Arial" w:eastAsia="Arial" w:hAnsi="Arial"/>
          <w:sz w:val="18"/>
          <w:szCs w:val="18"/>
          <w:color w:val="2F2F45"/>
        </w:rPr>
        <w:t>.</w:t>
      </w:r>
    </w:p>
    <w:p>
      <w:pPr>
        <w:spacing w:after="0" w:line="198" w:lineRule="exact"/>
        <w:rPr>
          <w:sz w:val="20"/>
          <w:szCs w:val="20"/>
          <w:color w:val="auto"/>
        </w:rPr>
      </w:pPr>
    </w:p>
    <w:p>
      <w:pPr>
        <w:ind w:left="1040" w:right="1040"/>
        <w:spacing w:after="0" w:line="274" w:lineRule="auto"/>
        <w:rPr>
          <w:sz w:val="20"/>
          <w:szCs w:val="20"/>
          <w:color w:val="auto"/>
        </w:rPr>
      </w:pPr>
      <w:r>
        <w:rPr>
          <w:rFonts w:ascii="Arial" w:cs="Arial" w:eastAsia="Arial" w:hAnsi="Arial"/>
          <w:sz w:val="18"/>
          <w:szCs w:val="18"/>
          <w:color w:val="2F2F45"/>
        </w:rPr>
        <w:t xml:space="preserve">For those unable to participate in the live event, a replay will be made available on P10’s investor relations page at </w:t>
      </w:r>
      <w:r>
        <w:rPr>
          <w:rFonts w:ascii="Verdana" w:cs="Verdana" w:eastAsia="Verdana" w:hAnsi="Verdana"/>
          <w:sz w:val="14"/>
          <w:szCs w:val="14"/>
          <w:color w:val="000000"/>
        </w:rPr>
        <w:t>ir.p10alts.com</w:t>
      </w:r>
      <w:r>
        <w:rPr>
          <w:rFonts w:ascii="Arial" w:cs="Arial" w:eastAsia="Arial" w:hAnsi="Arial"/>
          <w:sz w:val="18"/>
          <w:szCs w:val="18"/>
          <w:color w:val="2F2F45"/>
        </w:rPr>
        <w:t>.</w:t>
      </w:r>
    </w:p>
    <w:p>
      <w:pPr>
        <w:spacing w:after="0" w:line="15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About P10</w:t>
      </w:r>
    </w:p>
    <w:p>
      <w:pPr>
        <w:spacing w:after="0" w:line="217" w:lineRule="exact"/>
        <w:rPr>
          <w:sz w:val="20"/>
          <w:szCs w:val="20"/>
          <w:color w:val="auto"/>
        </w:rPr>
      </w:pPr>
    </w:p>
    <w:p>
      <w:pPr>
        <w:ind w:left="1040" w:right="660"/>
        <w:spacing w:after="0" w:line="270" w:lineRule="auto"/>
        <w:rPr>
          <w:sz w:val="20"/>
          <w:szCs w:val="20"/>
          <w:color w:val="auto"/>
        </w:rPr>
      </w:pPr>
      <w:r>
        <w:rPr>
          <w:rFonts w:ascii="Arial" w:cs="Arial" w:eastAsia="Arial" w:hAnsi="Arial"/>
          <w:sz w:val="17"/>
          <w:szCs w:val="17"/>
          <w:color w:val="302C45"/>
        </w:rPr>
        <w:t xml:space="preserve">P10 (NYSE: PX) is a leading private markets solutions provider with over $ 40 billion in assets under management as of September 30, 2025. P10 invests across Private Equity, Private Credit, and Venture Capital in access-constrained strategies, with a focus on the middle and lower-middle market. P10’s products have a global investor base and aim to deliver compelling risk-adjusted returns. For additional information, please visit </w:t>
      </w:r>
      <w:r>
        <w:rPr>
          <w:rFonts w:ascii="Verdana" w:cs="Verdana" w:eastAsia="Verdana" w:hAnsi="Verdana"/>
          <w:sz w:val="13"/>
          <w:szCs w:val="13"/>
          <w:color w:val="000000"/>
        </w:rPr>
        <w:t>www.p10alts.com</w:t>
      </w:r>
      <w:r>
        <w:rPr>
          <w:rFonts w:ascii="Arial" w:cs="Arial" w:eastAsia="Arial" w:hAnsi="Arial"/>
          <w:sz w:val="17"/>
          <w:szCs w:val="17"/>
          <w:color w:val="302C45"/>
        </w:rPr>
        <w:t>.</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Forward-Looking Statements</w:t>
      </w:r>
    </w:p>
    <w:p>
      <w:pPr>
        <w:spacing w:after="0" w:line="95" w:lineRule="exact"/>
        <w:rPr>
          <w:sz w:val="20"/>
          <w:szCs w:val="20"/>
          <w:color w:val="auto"/>
        </w:rPr>
      </w:pPr>
    </w:p>
    <w:p>
      <w:pPr>
        <w:ind w:left="1040" w:right="760"/>
        <w:spacing w:after="0" w:line="246" w:lineRule="auto"/>
        <w:rPr>
          <w:sz w:val="20"/>
          <w:szCs w:val="20"/>
          <w:color w:val="auto"/>
        </w:rPr>
      </w:pPr>
      <w:r>
        <w:rPr>
          <w:rFonts w:ascii="Arial" w:cs="Arial" w:eastAsia="Arial" w:hAnsi="Arial"/>
          <w:sz w:val="18"/>
          <w:szCs w:val="18"/>
          <w:color w:val="302C45"/>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 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716280</wp:posOffset>
            </wp:positionV>
            <wp:extent cx="579628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6280" cy="3937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1575435</wp:posOffset>
            </wp:positionH>
            <wp:positionV relativeFrom="page">
              <wp:posOffset>531495</wp:posOffset>
            </wp:positionV>
            <wp:extent cx="945515" cy="444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45515" cy="4445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40" w:right="740"/>
        <w:spacing w:after="0" w:line="247" w:lineRule="auto"/>
        <w:rPr>
          <w:sz w:val="20"/>
          <w:szCs w:val="20"/>
          <w:color w:val="auto"/>
        </w:rPr>
      </w:pPr>
      <w:r>
        <w:rPr>
          <w:rFonts w:ascii="Arial" w:cs="Arial" w:eastAsia="Arial" w:hAnsi="Arial"/>
          <w:sz w:val="18"/>
          <w:szCs w:val="18"/>
          <w:color w:val="302C45"/>
        </w:rPr>
        <w:t>agreements; our ability to make acquisitions and successfully integrate the businesses we acquire;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10 -K for the year ended December 31, 2024, filed with the U.S. Securities and Exchange Commission (“SEC”) on February 28, 2025,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4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Use of Non-GAAP Financial Measures by P10</w:t>
      </w:r>
    </w:p>
    <w:p>
      <w:pPr>
        <w:spacing w:after="0" w:line="95" w:lineRule="exact"/>
        <w:rPr>
          <w:sz w:val="20"/>
          <w:szCs w:val="20"/>
          <w:color w:val="auto"/>
        </w:rPr>
      </w:pPr>
    </w:p>
    <w:p>
      <w:pPr>
        <w:ind w:left="1040" w:right="660"/>
        <w:spacing w:after="0" w:line="246" w:lineRule="auto"/>
        <w:rPr>
          <w:sz w:val="20"/>
          <w:szCs w:val="20"/>
          <w:color w:val="auto"/>
        </w:rPr>
      </w:pPr>
      <w:r>
        <w:rPr>
          <w:rFonts w:ascii="Arial" w:cs="Arial" w:eastAsia="Arial" w:hAnsi="Arial"/>
          <w:sz w:val="18"/>
          <w:szCs w:val="18"/>
          <w:color w:val="302C45"/>
        </w:rPr>
        <w:t>The non-GAAP financial measures contained in this press release (including, without limitation, Fee-Related Revenue (“FRR”), Fee-Related Earnings (“FRE”), Fee-Related Earnings Margin, Adjusted Net Income (“ANI”), Fully Diluted ANI per share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press release.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4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Key Financial &amp; Operating Metrics</w:t>
      </w:r>
    </w:p>
    <w:p>
      <w:pPr>
        <w:spacing w:after="0" w:line="95" w:lineRule="exact"/>
        <w:rPr>
          <w:sz w:val="20"/>
          <w:szCs w:val="20"/>
          <w:color w:val="auto"/>
        </w:rPr>
      </w:pPr>
    </w:p>
    <w:p>
      <w:pPr>
        <w:ind w:left="1040" w:right="880"/>
        <w:spacing w:after="0" w:line="252" w:lineRule="auto"/>
        <w:rPr>
          <w:sz w:val="20"/>
          <w:szCs w:val="20"/>
          <w:color w:val="auto"/>
        </w:rPr>
      </w:pPr>
      <w:r>
        <w:rPr>
          <w:rFonts w:ascii="Arial" w:cs="Arial" w:eastAsia="Arial" w:hAnsi="Arial"/>
          <w:sz w:val="18"/>
          <w:szCs w:val="18"/>
          <w:color w:val="302C45"/>
        </w:rPr>
        <w:t>Fee -paying assets under management reflect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6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P10 Investor Contact:</w:t>
      </w:r>
    </w:p>
    <w:p>
      <w:pPr>
        <w:spacing w:after="0" w:line="27" w:lineRule="exact"/>
        <w:rPr>
          <w:sz w:val="20"/>
          <w:szCs w:val="20"/>
          <w:color w:val="auto"/>
        </w:rPr>
      </w:pPr>
    </w:p>
    <w:p>
      <w:pPr>
        <w:ind w:left="1040"/>
        <w:spacing w:after="0"/>
        <w:rPr>
          <w:sz w:val="20"/>
          <w:szCs w:val="20"/>
          <w:color w:val="auto"/>
        </w:rPr>
      </w:pPr>
      <w:r>
        <w:rPr>
          <w:rFonts w:ascii="Verdana" w:cs="Verdana" w:eastAsia="Verdana" w:hAnsi="Verdana"/>
          <w:sz w:val="14"/>
          <w:szCs w:val="14"/>
          <w:color w:val="A86629"/>
        </w:rPr>
        <w:t>info@p10alts.com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832485</wp:posOffset>
            </wp:positionV>
            <wp:extent cx="579628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6280" cy="3937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1575435</wp:posOffset>
            </wp:positionH>
            <wp:positionV relativeFrom="page">
              <wp:posOffset>531495</wp:posOffset>
            </wp:positionV>
            <wp:extent cx="945515" cy="444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45515" cy="44450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F2F45"/>
        </w:rPr>
        <w:t>P10 Media Contact:</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8"/>
          <w:szCs w:val="18"/>
          <w:color w:val="2F2F45"/>
        </w:rPr>
        <w:t>Josh Clarkson</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8"/>
          <w:szCs w:val="18"/>
          <w:color w:val="2F2F45"/>
        </w:rPr>
        <w:t>Taylor Donahue</w:t>
      </w:r>
    </w:p>
    <w:p>
      <w:pPr>
        <w:spacing w:after="0" w:line="9" w:lineRule="exact"/>
        <w:rPr>
          <w:sz w:val="20"/>
          <w:szCs w:val="20"/>
          <w:color w:val="auto"/>
        </w:rPr>
      </w:pPr>
    </w:p>
    <w:p>
      <w:pPr>
        <w:ind w:left="1040"/>
        <w:spacing w:after="0"/>
        <w:rPr>
          <w:sz w:val="20"/>
          <w:szCs w:val="20"/>
          <w:color w:val="auto"/>
        </w:rPr>
      </w:pPr>
      <w:r>
        <w:rPr>
          <w:rFonts w:ascii="Verdana" w:cs="Verdana" w:eastAsia="Verdana" w:hAnsi="Verdana"/>
          <w:sz w:val="14"/>
          <w:szCs w:val="14"/>
          <w:color w:val="A86629"/>
        </w:rPr>
        <w:t>pro-p10@prosek.com</w:t>
      </w:r>
    </w:p>
    <w:p>
      <w:pPr>
        <w:spacing w:after="0" w:line="200" w:lineRule="exact"/>
        <w:rPr>
          <w:sz w:val="20"/>
          <w:szCs w:val="20"/>
          <w:color w:val="auto"/>
        </w:rPr>
      </w:pPr>
    </w:p>
    <w:p>
      <w:pPr>
        <w:spacing w:after="0" w:line="3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2F2F45"/>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144145</wp:posOffset>
            </wp:positionV>
            <wp:extent cx="4649470" cy="2384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49470" cy="238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40" w:right="700" w:firstLine="1"/>
        <w:spacing w:after="0" w:line="270" w:lineRule="auto"/>
        <w:tabs>
          <w:tab w:leader="none" w:pos="1223" w:val="left"/>
        </w:tabs>
        <w:numPr>
          <w:ilvl w:val="0"/>
          <w:numId w:val="1"/>
        </w:numPr>
        <w:rPr>
          <w:rFonts w:ascii="Arial" w:cs="Arial" w:eastAsia="Arial" w:hAnsi="Arial"/>
          <w:sz w:val="12"/>
          <w:szCs w:val="12"/>
          <w:color w:val="302C45"/>
        </w:rPr>
      </w:pPr>
      <w:r>
        <w:rPr>
          <w:rFonts w:ascii="Arial" w:cs="Arial" w:eastAsia="Arial" w:hAnsi="Arial"/>
          <w:sz w:val="12"/>
          <w:szCs w:val="12"/>
          <w:color w:val="302C45"/>
        </w:rPr>
        <w:t>Fully Diluted ANI EPS calculations include the total of all shares of common stock, stock options under the treasury stock method, restricted stock awards, and the redeemable non-controlling interests of P10 Intermediate converted to Class A stock as of each period presented.</w:t>
      </w:r>
    </w:p>
    <w:p>
      <w:pPr>
        <w:spacing w:after="0" w:line="200" w:lineRule="exact"/>
        <w:rPr>
          <w:sz w:val="20"/>
          <w:szCs w:val="20"/>
          <w:color w:val="auto"/>
        </w:rPr>
      </w:pPr>
    </w:p>
    <w:p>
      <w:pPr>
        <w:spacing w:after="0" w:line="24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2F2F45"/>
        </w:rPr>
        <w:t>Notes to Reconciliation of Non-GAAP Financial Measures</w:t>
      </w:r>
    </w:p>
    <w:p>
      <w:pPr>
        <w:spacing w:after="0" w:line="273" w:lineRule="exact"/>
        <w:rPr>
          <w:sz w:val="20"/>
          <w:szCs w:val="20"/>
          <w:color w:val="auto"/>
        </w:rPr>
      </w:pPr>
    </w:p>
    <w:p>
      <w:pPr>
        <w:ind w:left="1040" w:right="720"/>
        <w:spacing w:after="0" w:line="249" w:lineRule="auto"/>
        <w:rPr>
          <w:sz w:val="20"/>
          <w:szCs w:val="20"/>
          <w:color w:val="auto"/>
        </w:rPr>
      </w:pPr>
      <w:r>
        <w:rPr>
          <w:rFonts w:ascii="Arial" w:cs="Arial" w:eastAsia="Arial" w:hAnsi="Arial"/>
          <w:sz w:val="18"/>
          <w:szCs w:val="18"/>
          <w:color w:val="auto"/>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2" w:lineRule="exact"/>
        <w:rPr>
          <w:sz w:val="20"/>
          <w:szCs w:val="20"/>
          <w:color w:val="auto"/>
        </w:rPr>
      </w:pPr>
    </w:p>
    <w:p>
      <w:pPr>
        <w:ind w:left="1040" w:right="660"/>
        <w:spacing w:after="0" w:line="254" w:lineRule="auto"/>
        <w:rPr>
          <w:sz w:val="20"/>
          <w:szCs w:val="20"/>
          <w:color w:val="auto"/>
        </w:rPr>
      </w:pPr>
      <w:r>
        <w:rPr>
          <w:rFonts w:ascii="Arial" w:cs="Arial" w:eastAsia="Arial" w:hAnsi="Arial"/>
          <w:sz w:val="18"/>
          <w:szCs w:val="18"/>
          <w:color w:val="auto"/>
        </w:rPr>
        <w:t>We use Adjusted Net Income, or ANI, Fee-Related Revenue, Fee-Related Earnings and Fee-Related Earnings Margin to provide additional measures of profitability. We use the measures to assess our performance relative to our intended strategies, expected patterns of profitability, and budgets,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820420</wp:posOffset>
            </wp:positionV>
            <wp:extent cx="579628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6280" cy="3937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1575435</wp:posOffset>
            </wp:positionH>
            <wp:positionV relativeFrom="page">
              <wp:posOffset>531495</wp:posOffset>
            </wp:positionV>
            <wp:extent cx="945515" cy="444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45515" cy="4445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40" w:right="740"/>
        <w:spacing w:after="0" w:line="252" w:lineRule="auto"/>
        <w:rPr>
          <w:sz w:val="20"/>
          <w:szCs w:val="20"/>
          <w:color w:val="auto"/>
        </w:rPr>
      </w:pPr>
      <w:r>
        <w:rPr>
          <w:rFonts w:ascii="Arial" w:cs="Arial" w:eastAsia="Arial" w:hAnsi="Arial"/>
          <w:sz w:val="18"/>
          <w:szCs w:val="18"/>
          <w:color w:val="auto"/>
        </w:rPr>
        <w:t>use the results of that assessment to adjust our future activities to the extent we deem necessary. ANI reflects an estimate of our cash flows generated by our core operations. ANI is calculated as Fee-Related Earnings, plus Non-Fee Related Income, less strategic alliance noncontrolling interests expense, less actual cash paid for interest and federal and state income taxes.</w:t>
      </w:r>
    </w:p>
    <w:p>
      <w:pPr>
        <w:spacing w:after="0" w:line="147" w:lineRule="exact"/>
        <w:rPr>
          <w:sz w:val="20"/>
          <w:szCs w:val="20"/>
          <w:color w:val="auto"/>
        </w:rPr>
      </w:pPr>
    </w:p>
    <w:p>
      <w:pPr>
        <w:ind w:left="1040" w:right="1160"/>
        <w:spacing w:after="0" w:line="274" w:lineRule="auto"/>
        <w:rPr>
          <w:sz w:val="20"/>
          <w:szCs w:val="20"/>
          <w:color w:val="auto"/>
        </w:rPr>
      </w:pPr>
      <w:r>
        <w:rPr>
          <w:rFonts w:ascii="Arial" w:cs="Arial" w:eastAsia="Arial" w:hAnsi="Arial"/>
          <w:sz w:val="18"/>
          <w:szCs w:val="18"/>
          <w:color w:val="auto"/>
        </w:rPr>
        <w:t>In order to compute Fee-Related Earnings, we adjust our GAAP Net Income for certain items, including:</w:t>
      </w:r>
    </w:p>
    <w:p>
      <w:pPr>
        <w:spacing w:after="0" w:line="126" w:lineRule="exact"/>
        <w:rPr>
          <w:sz w:val="20"/>
          <w:szCs w:val="20"/>
          <w:color w:val="auto"/>
        </w:rPr>
      </w:pPr>
    </w:p>
    <w:p>
      <w:pPr>
        <w:ind w:left="1300" w:right="760"/>
        <w:spacing w:after="0" w:line="250"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Expenses that typically do not require us to pay them in cash in the current period (such</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as depreciation, amortization and stock-based compensation); </w:t>
      </w:r>
      <w:r>
        <w:rPr>
          <w:rFonts w:ascii="Times New Roman" w:cs="Times New Roman" w:eastAsia="Times New Roman" w:hAnsi="Times New Roman"/>
          <w:sz w:val="18"/>
          <w:szCs w:val="18"/>
          <w:color w:val="auto"/>
        </w:rPr>
        <w:t>•</w:t>
      </w:r>
      <w:r>
        <w:rPr>
          <w:rFonts w:ascii="Arial" w:cs="Arial" w:eastAsia="Arial" w:hAnsi="Arial"/>
          <w:sz w:val="18"/>
          <w:szCs w:val="18"/>
          <w:color w:val="auto"/>
        </w:rPr>
        <w:t>Earn out related compensation;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The cost of financing our business;</w:t>
      </w:r>
    </w:p>
    <w:p>
      <w:pPr>
        <w:spacing w:after="0" w:line="3" w:lineRule="exact"/>
        <w:rPr>
          <w:sz w:val="20"/>
          <w:szCs w:val="20"/>
          <w:color w:val="auto"/>
        </w:rPr>
      </w:pPr>
    </w:p>
    <w:p>
      <w:pPr>
        <w:ind w:left="1300" w:right="1500"/>
        <w:spacing w:after="0" w:line="243"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One-time expenses related to restructuring of the management team including</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placement/search fees;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Expenses related to one-time technical accounting matters;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Acquisition-related expenses which reflect the actual costs incurred during the period for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acquisition of new businesses, which primarily consists of fees for professional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services including legal, accounting, and advisory, as well as bonuses paid to employees</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directly related to the acquisition;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The effects of income taxes; and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Non-Fee Related Income.</w:t>
      </w:r>
    </w:p>
    <w:p>
      <w:pPr>
        <w:spacing w:after="0" w:line="3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Fee-Related Revenue is calculated as Total Revenues less Non-Fee Related Revenue.</w:t>
      </w:r>
    </w:p>
    <w:p>
      <w:pPr>
        <w:spacing w:after="0" w:line="182" w:lineRule="exact"/>
        <w:rPr>
          <w:sz w:val="20"/>
          <w:szCs w:val="20"/>
          <w:color w:val="auto"/>
        </w:rPr>
      </w:pPr>
    </w:p>
    <w:p>
      <w:pPr>
        <w:ind w:left="1040" w:right="860"/>
        <w:spacing w:after="0" w:line="305" w:lineRule="auto"/>
        <w:rPr>
          <w:sz w:val="20"/>
          <w:szCs w:val="20"/>
          <w:color w:val="auto"/>
        </w:rPr>
      </w:pPr>
      <w:r>
        <w:rPr>
          <w:rFonts w:ascii="Arial" w:cs="Arial" w:eastAsia="Arial" w:hAnsi="Arial"/>
          <w:sz w:val="17"/>
          <w:szCs w:val="17"/>
          <w:color w:val="auto"/>
        </w:rPr>
        <w:t>Fee-Related Earnings is a non- GAAP performance measure used to monitor our baseline earnings less any incentive fee revenue and excluding any incentive fee-related expenses.</w:t>
      </w:r>
    </w:p>
    <w:p>
      <w:pPr>
        <w:spacing w:after="0" w:line="103" w:lineRule="exact"/>
        <w:rPr>
          <w:sz w:val="20"/>
          <w:szCs w:val="20"/>
          <w:color w:val="auto"/>
        </w:rPr>
      </w:pPr>
    </w:p>
    <w:p>
      <w:pPr>
        <w:ind w:left="1040" w:right="740"/>
        <w:spacing w:after="0" w:line="274" w:lineRule="auto"/>
        <w:rPr>
          <w:sz w:val="20"/>
          <w:szCs w:val="20"/>
          <w:color w:val="auto"/>
        </w:rPr>
      </w:pPr>
      <w:r>
        <w:rPr>
          <w:rFonts w:ascii="Arial" w:cs="Arial" w:eastAsia="Arial" w:hAnsi="Arial"/>
          <w:sz w:val="18"/>
          <w:szCs w:val="18"/>
          <w:color w:val="auto"/>
        </w:rPr>
        <w:t>Fee-Related Earnings Margin is calculated as Fee-Related Earnings divided by Fee-Related Revenue.</w:t>
      </w:r>
    </w:p>
    <w:p>
      <w:pPr>
        <w:spacing w:after="0" w:line="127" w:lineRule="exact"/>
        <w:rPr>
          <w:sz w:val="20"/>
          <w:szCs w:val="20"/>
          <w:color w:val="auto"/>
        </w:rPr>
      </w:pPr>
    </w:p>
    <w:p>
      <w:pPr>
        <w:ind w:left="1040" w:right="1100"/>
        <w:spacing w:after="0" w:line="274" w:lineRule="auto"/>
        <w:rPr>
          <w:sz w:val="20"/>
          <w:szCs w:val="20"/>
          <w:color w:val="auto"/>
        </w:rPr>
      </w:pPr>
      <w:r>
        <w:rPr>
          <w:rFonts w:ascii="Arial" w:cs="Arial" w:eastAsia="Arial" w:hAnsi="Arial"/>
          <w:sz w:val="18"/>
          <w:szCs w:val="18"/>
          <w:color w:val="auto"/>
        </w:rPr>
        <w:t>Adjusted Net Income reflects net cash paid for federal and state income taxes and 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808355</wp:posOffset>
            </wp:positionV>
            <wp:extent cx="579628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6280" cy="3937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29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5610" cy="552958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01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5610" cy="55016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01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5610" cy="55016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487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85610" cy="54876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01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85610" cy="55016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15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85610" cy="551561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15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85610" cy="551561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15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5610" cy="551561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01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85610" cy="55016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15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5610" cy="551561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15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5610" cy="551561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5501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5610" cy="55016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418465</wp:posOffset>
            </wp:positionH>
            <wp:positionV relativeFrom="page">
              <wp:posOffset>361950</wp:posOffset>
            </wp:positionV>
            <wp:extent cx="6772910" cy="5220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772910" cy="52209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6" w:name="page47"/>
    <w:bookmarkEnd w:id="4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2025-11-06T06:00:39Z</dcterms:created>
  <dcterms:modified xsi:type="dcterms:W3CDTF">2025-11-06T06:00:39Z</dcterms:modified>
</cp:coreProperties>
</file>