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5519420</wp:posOffset>
            </wp:positionH>
            <wp:positionV relativeFrom="paragraph">
              <wp:posOffset>80010</wp:posOffset>
            </wp:positionV>
            <wp:extent cx="17494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19" w:lineRule="exact"/>
        <w:rPr>
          <w:sz w:val="24"/>
          <w:szCs w:val="24"/>
          <w:color w:val="auto"/>
        </w:rPr>
      </w:pPr>
    </w:p>
    <w:p>
      <w:pPr>
        <w:ind w:left="8700"/>
        <w:spacing w:after="0"/>
        <w:rPr>
          <w:sz w:val="20"/>
          <w:szCs w:val="20"/>
          <w:color w:val="auto"/>
        </w:rPr>
      </w:pPr>
      <w:r>
        <w:rPr>
          <w:rFonts w:ascii="Arial" w:cs="Arial" w:eastAsia="Arial" w:hAnsi="Arial"/>
          <w:sz w:val="18"/>
          <w:szCs w:val="18"/>
          <w:color w:val="auto"/>
        </w:rPr>
        <w:t>OMB Number: 3235-0145</w:t>
      </w:r>
    </w:p>
    <w:p>
      <w:pPr>
        <w:spacing w:after="0" w:line="15" w:lineRule="exact"/>
        <w:rPr>
          <w:sz w:val="24"/>
          <w:szCs w:val="24"/>
          <w:color w:val="auto"/>
        </w:rPr>
      </w:pPr>
    </w:p>
    <w:p>
      <w:pPr>
        <w:ind w:left="8700"/>
        <w:spacing w:after="0"/>
        <w:rPr>
          <w:sz w:val="20"/>
          <w:szCs w:val="20"/>
          <w:color w:val="auto"/>
        </w:rPr>
      </w:pPr>
      <w:r>
        <w:rPr>
          <w:rFonts w:ascii="Arial" w:cs="Arial" w:eastAsia="Arial" w:hAnsi="Arial"/>
          <w:sz w:val="18"/>
          <w:szCs w:val="18"/>
          <w:color w:val="auto"/>
        </w:rPr>
        <w:t>Expires: December 31, 2005</w:t>
      </w:r>
    </w:p>
    <w:p>
      <w:pPr>
        <w:spacing w:after="0" w:line="9" w:lineRule="exact"/>
        <w:rPr>
          <w:sz w:val="24"/>
          <w:szCs w:val="24"/>
          <w:color w:val="auto"/>
        </w:rPr>
      </w:pPr>
    </w:p>
    <w:p>
      <w:pPr>
        <w:ind w:left="8700"/>
        <w:spacing w:after="0"/>
        <w:rPr>
          <w:sz w:val="20"/>
          <w:szCs w:val="20"/>
          <w:color w:val="auto"/>
        </w:rPr>
      </w:pPr>
      <w:r>
        <w:rPr>
          <w:rFonts w:ascii="Arial" w:cs="Arial" w:eastAsia="Arial" w:hAnsi="Arial"/>
          <w:sz w:val="18"/>
          <w:szCs w:val="18"/>
          <w:color w:val="auto"/>
        </w:rPr>
        <w:t>Estimated average burden</w:t>
      </w:r>
    </w:p>
    <w:p>
      <w:pPr>
        <w:spacing w:after="0" w:line="9" w:lineRule="exact"/>
        <w:rPr>
          <w:sz w:val="24"/>
          <w:szCs w:val="24"/>
          <w:color w:val="auto"/>
        </w:rPr>
      </w:pPr>
    </w:p>
    <w:p>
      <w:pPr>
        <w:ind w:left="8700"/>
        <w:spacing w:after="0"/>
        <w:rPr>
          <w:sz w:val="20"/>
          <w:szCs w:val="20"/>
          <w:color w:val="auto"/>
        </w:rPr>
      </w:pPr>
      <w:r>
        <w:rPr>
          <w:rFonts w:ascii="Arial" w:cs="Arial" w:eastAsia="Arial" w:hAnsi="Arial"/>
          <w:sz w:val="18"/>
          <w:szCs w:val="18"/>
          <w:color w:val="auto"/>
        </w:rPr>
        <w:t>hours per response…………11</w:t>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1"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SCHEDULE 13G</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w:t>
      </w:r>
      <w:r>
        <w:rPr>
          <w:rFonts w:ascii="Arial" w:cs="Arial" w:eastAsia="Arial" w:hAnsi="Arial"/>
          <w:sz w:val="22"/>
          <w:szCs w:val="22"/>
          <w:b w:val="1"/>
          <w:bCs w:val="1"/>
          <w:u w:val="single" w:color="auto"/>
          <w:color w:val="auto"/>
        </w:rPr>
        <w:t>X</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88"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39"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39" w:lineRule="exact"/>
        <w:rPr>
          <w:sz w:val="24"/>
          <w:szCs w:val="24"/>
          <w:color w:val="auto"/>
        </w:rPr>
      </w:pPr>
    </w:p>
    <w:p>
      <w:pPr>
        <w:ind w:left="5180"/>
        <w:spacing w:after="0"/>
        <w:rPr>
          <w:sz w:val="20"/>
          <w:szCs w:val="20"/>
          <w:color w:val="auto"/>
        </w:rPr>
      </w:pPr>
      <w:r>
        <w:rPr>
          <w:rFonts w:ascii="Arial" w:cs="Arial" w:eastAsia="Arial" w:hAnsi="Arial"/>
          <w:sz w:val="22"/>
          <w:szCs w:val="22"/>
          <w:color w:val="auto"/>
        </w:rPr>
        <w:t>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139"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December 31,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13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139" w:lineRule="exact"/>
        <w:rPr>
          <w:sz w:val="24"/>
          <w:szCs w:val="24"/>
          <w:color w:val="auto"/>
        </w:rPr>
      </w:pPr>
    </w:p>
    <w:p>
      <w:pPr>
        <w:jc w:val="both"/>
        <w:ind w:right="9720" w:firstLine="8"/>
        <w:spacing w:after="0" w:line="454" w:lineRule="auto"/>
        <w:tabs>
          <w:tab w:leader="none" w:pos="40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 [ ] Rule 13d-1(d)</w:t>
      </w:r>
    </w:p>
    <w:p>
      <w:pPr>
        <w:spacing w:after="0" w:line="3" w:lineRule="exact"/>
        <w:rPr>
          <w:sz w:val="24"/>
          <w:szCs w:val="24"/>
          <w:color w:val="auto"/>
        </w:rPr>
      </w:pPr>
    </w:p>
    <w:p>
      <w:pPr>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CUSIP No. 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1300" w:hanging="725"/>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8"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I.R.S. Identification Nos. of above persons (entities only).</w:t>
      </w:r>
    </w:p>
    <w:p>
      <w:pPr>
        <w:spacing w:after="0" w:line="121" w:lineRule="exact"/>
        <w:rPr>
          <w:sz w:val="24"/>
          <w:szCs w:val="24"/>
          <w:color w:val="auto"/>
        </w:rPr>
      </w:pPr>
    </w:p>
    <w:p>
      <w:pPr>
        <w:ind w:left="1940"/>
        <w:spacing w:after="0"/>
        <w:rPr>
          <w:sz w:val="20"/>
          <w:szCs w:val="20"/>
          <w:color w:val="auto"/>
        </w:rPr>
      </w:pPr>
      <w:r>
        <w:rPr>
          <w:rFonts w:ascii="Arial" w:cs="Arial" w:eastAsia="Arial" w:hAnsi="Arial"/>
          <w:sz w:val="22"/>
          <w:szCs w:val="22"/>
          <w:color w:val="auto"/>
        </w:rPr>
        <w:t>Dimensional Fund Advisors Inc. (Tax ID: 22-2370029)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1300" w:hanging="725"/>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138" w:lineRule="exact"/>
        <w:rPr>
          <w:rFonts w:ascii="Arial" w:cs="Arial" w:eastAsia="Arial" w:hAnsi="Arial"/>
          <w:sz w:val="22"/>
          <w:szCs w:val="22"/>
          <w:color w:val="auto"/>
        </w:rPr>
      </w:pPr>
    </w:p>
    <w:p>
      <w:pPr>
        <w:spacing w:after="0"/>
        <w:tabs>
          <w:tab w:leader="none" w:pos="0" w:val="left"/>
        </w:tabs>
        <w:numPr>
          <w:ilvl w:val="1"/>
          <w:numId w:val="3"/>
        </w:numPr>
        <w:rPr>
          <w:rFonts w:ascii="Arial" w:cs="Arial" w:eastAsia="Arial" w:hAnsi="Arial"/>
          <w:sz w:val="22"/>
          <w:szCs w:val="22"/>
          <w:color w:val="auto"/>
        </w:rPr>
      </w:pPr>
    </w:p>
    <w:p>
      <w:pPr>
        <w:spacing w:after="0" w:line="138" w:lineRule="exact"/>
        <w:rPr>
          <w:rFonts w:ascii="Arial" w:cs="Arial" w:eastAsia="Arial" w:hAnsi="Arial"/>
          <w:sz w:val="22"/>
          <w:szCs w:val="22"/>
          <w:color w:val="auto"/>
        </w:rPr>
      </w:pPr>
    </w:p>
    <w:p>
      <w:pPr>
        <w:ind w:left="1940" w:hanging="635"/>
        <w:spacing w:after="0"/>
        <w:tabs>
          <w:tab w:leader="none" w:pos="1940" w:val="left"/>
        </w:tabs>
        <w:numPr>
          <w:ilvl w:val="1"/>
          <w:numId w:val="3"/>
        </w:numPr>
        <w:rPr>
          <w:rFonts w:ascii="Arial" w:cs="Arial" w:eastAsia="Arial" w:hAnsi="Arial"/>
          <w:sz w:val="22"/>
          <w:szCs w:val="22"/>
          <w:color w:val="auto"/>
        </w:rPr>
      </w:pPr>
      <w:r>
        <w:rPr>
          <w:rFonts w:ascii="Arial" w:cs="Arial" w:eastAsia="Arial" w:hAnsi="Arial"/>
          <w:sz w:val="22"/>
          <w:szCs w:val="22"/>
          <w:color w:val="auto"/>
        </w:rPr>
        <w:t>X</w:t>
      </w:r>
    </w:p>
    <w:p>
      <w:pPr>
        <w:spacing w:after="0" w:line="200" w:lineRule="exact"/>
        <w:rPr>
          <w:rFonts w:ascii="Arial" w:cs="Arial" w:eastAsia="Arial" w:hAnsi="Arial"/>
          <w:sz w:val="22"/>
          <w:szCs w:val="22"/>
          <w:color w:val="auto"/>
        </w:rPr>
      </w:pPr>
    </w:p>
    <w:p>
      <w:pPr>
        <w:spacing w:after="0" w:line="316" w:lineRule="exact"/>
        <w:rPr>
          <w:rFonts w:ascii="Arial" w:cs="Arial" w:eastAsia="Arial" w:hAnsi="Arial"/>
          <w:sz w:val="22"/>
          <w:szCs w:val="22"/>
          <w:color w:val="auto"/>
        </w:rPr>
      </w:pPr>
    </w:p>
    <w:p>
      <w:pPr>
        <w:ind w:left="1300" w:hanging="725"/>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spacing w:after="0" w:line="316" w:lineRule="exact"/>
        <w:rPr>
          <w:rFonts w:ascii="Arial" w:cs="Arial" w:eastAsia="Arial" w:hAnsi="Arial"/>
          <w:sz w:val="22"/>
          <w:szCs w:val="22"/>
          <w:color w:val="auto"/>
        </w:rPr>
      </w:pPr>
    </w:p>
    <w:p>
      <w:pPr>
        <w:ind w:left="1300" w:hanging="725"/>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19" w:lineRule="exact"/>
        <w:rPr>
          <w:sz w:val="24"/>
          <w:szCs w:val="24"/>
          <w:color w:val="auto"/>
        </w:rPr>
      </w:pPr>
    </w:p>
    <w:p>
      <w:pPr>
        <w:ind w:left="1940"/>
        <w:spacing w:after="0"/>
        <w:rPr>
          <w:sz w:val="20"/>
          <w:szCs w:val="20"/>
          <w:color w:val="auto"/>
        </w:rPr>
      </w:pPr>
      <w:r>
        <w:rPr>
          <w:rFonts w:ascii="Arial" w:cs="Arial" w:eastAsia="Arial" w:hAnsi="Arial"/>
          <w:sz w:val="22"/>
          <w:szCs w:val="22"/>
          <w:color w:val="auto"/>
        </w:rPr>
        <w:t>Delaware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239" w:right="299" w:bottom="250" w:gutter="0" w:footer="0" w:header="0"/>
        </w:sectPr>
      </w:pPr>
    </w:p>
    <w:bookmarkStart w:id="1" w:name="page2"/>
    <w:bookmarkEnd w:id="1"/>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36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22"/>
                <w:szCs w:val="22"/>
                <w:color w:val="auto"/>
              </w:rPr>
              <w:t>5.</w:t>
            </w:r>
          </w:p>
        </w:tc>
        <w:tc>
          <w:tcPr>
            <w:tcW w:w="946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60" w:type="dxa"/>
            <w:vAlign w:val="bottom"/>
          </w:tcPr>
          <w:p>
            <w:pPr>
              <w:ind w:left="820"/>
              <w:spacing w:after="0"/>
              <w:rPr>
                <w:sz w:val="20"/>
                <w:szCs w:val="20"/>
                <w:color w:val="auto"/>
              </w:rPr>
            </w:pPr>
            <w:r>
              <w:rPr>
                <w:rFonts w:ascii="Arial" w:cs="Arial" w:eastAsia="Arial" w:hAnsi="Arial"/>
                <w:sz w:val="22"/>
                <w:szCs w:val="22"/>
                <w:color w:val="auto"/>
              </w:rPr>
              <w:t>2,425,578 **see Note 1**</w:t>
            </w:r>
          </w:p>
        </w:tc>
        <w:tc>
          <w:tcPr>
            <w:tcW w:w="0" w:type="dxa"/>
            <w:vAlign w:val="bottom"/>
          </w:tcPr>
          <w:p>
            <w:pPr>
              <w:spacing w:after="0"/>
              <w:rPr>
                <w:sz w:val="1"/>
                <w:szCs w:val="1"/>
                <w:color w:val="auto"/>
              </w:rPr>
            </w:pPr>
          </w:p>
        </w:tc>
      </w:tr>
      <w:tr>
        <w:trPr>
          <w:trHeight w:val="247"/>
        </w:trPr>
        <w:tc>
          <w:tcPr>
            <w:tcW w:w="136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3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22"/>
                <w:szCs w:val="22"/>
                <w:color w:val="auto"/>
              </w:rPr>
              <w:t>6.</w:t>
            </w:r>
          </w:p>
        </w:tc>
        <w:tc>
          <w:tcPr>
            <w:tcW w:w="946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Beneficially</w:t>
            </w:r>
          </w:p>
        </w:tc>
        <w:tc>
          <w:tcPr>
            <w:tcW w:w="620" w:type="dxa"/>
            <w:vAlign w:val="bottom"/>
            <w:gridSpan w:val="2"/>
            <w:vMerge w:val="continue"/>
          </w:tcPr>
          <w:p>
            <w:pPr>
              <w:spacing w:after="0"/>
              <w:rPr>
                <w:sz w:val="21"/>
                <w:szCs w:val="21"/>
                <w:color w:val="auto"/>
              </w:rPr>
            </w:pPr>
          </w:p>
        </w:tc>
        <w:tc>
          <w:tcPr>
            <w:tcW w:w="9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Owned by</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60" w:type="dxa"/>
            <w:vAlign w:val="bottom"/>
            <w:vMerge w:val="restart"/>
          </w:tcPr>
          <w:p>
            <w:pPr>
              <w:ind w:left="8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6"/>
        </w:trPr>
        <w:tc>
          <w:tcPr>
            <w:tcW w:w="1360" w:type="dxa"/>
            <w:vAlign w:val="bottom"/>
            <w:vMerge w:val="restart"/>
          </w:tcPr>
          <w:p>
            <w:pPr>
              <w:spacing w:after="0" w:line="243" w:lineRule="exact"/>
              <w:rPr>
                <w:sz w:val="20"/>
                <w:szCs w:val="20"/>
                <w:color w:val="auto"/>
              </w:rPr>
            </w:pPr>
            <w:r>
              <w:rPr>
                <w:rFonts w:ascii="Arial" w:cs="Arial" w:eastAsia="Arial" w:hAnsi="Arial"/>
                <w:sz w:val="22"/>
                <w:szCs w:val="22"/>
                <w:color w:val="auto"/>
              </w:rPr>
              <w:t>Each</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3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6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3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1360" w:type="dxa"/>
            <w:vAlign w:val="bottom"/>
          </w:tcPr>
          <w:p>
            <w:pPr>
              <w:spacing w:after="0"/>
              <w:rPr>
                <w:sz w:val="20"/>
                <w:szCs w:val="20"/>
                <w:color w:val="auto"/>
              </w:rPr>
            </w:pPr>
            <w:r>
              <w:rPr>
                <w:rFonts w:ascii="Arial" w:cs="Arial" w:eastAsia="Arial" w:hAnsi="Arial"/>
                <w:sz w:val="22"/>
                <w:szCs w:val="22"/>
                <w:color w:val="auto"/>
              </w:rPr>
              <w:t>Person With</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22"/>
                <w:szCs w:val="22"/>
                <w:color w:val="auto"/>
              </w:rPr>
              <w:t>7.</w:t>
            </w:r>
          </w:p>
        </w:tc>
        <w:tc>
          <w:tcPr>
            <w:tcW w:w="9460" w:type="dxa"/>
            <w:vAlign w:val="bottom"/>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9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2,425,578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170180</wp:posOffset>
            </wp:positionV>
            <wp:extent cx="6217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1728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800" w:right="7060" w:hanging="1144"/>
        <w:spacing w:after="0" w:line="392" w:lineRule="auto"/>
        <w:tabs>
          <w:tab w:leader="none" w:pos="2125" w:val="left"/>
        </w:tabs>
        <w:numPr>
          <w:ilvl w:val="1"/>
          <w:numId w:val="4"/>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335" w:lineRule="exact"/>
        <w:rPr>
          <w:rFonts w:ascii="Arial" w:cs="Arial" w:eastAsia="Arial" w:hAnsi="Arial"/>
          <w:sz w:val="22"/>
          <w:szCs w:val="22"/>
          <w:color w:val="auto"/>
        </w:rPr>
      </w:pPr>
    </w:p>
    <w:p>
      <w:pPr>
        <w:ind w:left="1760" w:right="4360" w:hanging="1185"/>
        <w:spacing w:after="0" w:line="392" w:lineRule="auto"/>
        <w:tabs>
          <w:tab w:leader="none" w:pos="1314" w:val="left"/>
        </w:tabs>
        <w:numPr>
          <w:ilvl w:val="0"/>
          <w:numId w:val="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2,425,578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-681990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15" w:lineRule="exact"/>
        <w:rPr>
          <w:sz w:val="20"/>
          <w:szCs w:val="20"/>
          <w:color w:val="auto"/>
        </w:rPr>
      </w:pPr>
    </w:p>
    <w:p>
      <w:pPr>
        <w:ind w:left="1760" w:right="2620" w:hanging="1239"/>
        <w:spacing w:after="0" w:line="392" w:lineRule="auto"/>
        <w:tabs>
          <w:tab w:leader="none" w:pos="1314"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 N/A</w:t>
      </w:r>
    </w:p>
    <w:p>
      <w:pPr>
        <w:spacing w:after="0" w:line="335" w:lineRule="exact"/>
        <w:rPr>
          <w:rFonts w:ascii="Arial" w:cs="Arial" w:eastAsia="Arial" w:hAnsi="Arial"/>
          <w:sz w:val="22"/>
          <w:szCs w:val="22"/>
          <w:color w:val="auto"/>
        </w:rPr>
      </w:pPr>
    </w:p>
    <w:p>
      <w:pPr>
        <w:ind w:left="1300" w:hanging="775"/>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19"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5.77%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300" w:hanging="779"/>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138"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13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Name of Issuer</w:t>
      </w:r>
    </w:p>
    <w:p>
      <w:pPr>
        <w:spacing w:after="0" w:line="139"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ACTIVE POWER INC</w:t>
      </w:r>
    </w:p>
    <w:p>
      <w:pPr>
        <w:spacing w:after="0" w:line="13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Address of Issuer’s Principal Executive Offices</w:t>
      </w:r>
    </w:p>
    <w:p>
      <w:pPr>
        <w:spacing w:after="0" w:line="287"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2128 W Braker Ln B12, Austin, TX 78758-4028</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13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Name of Person Filing</w:t>
      </w:r>
    </w:p>
    <w:p>
      <w:pPr>
        <w:spacing w:after="0" w:line="139"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Dimensional Fund Advisors Inc.</w:t>
      </w:r>
    </w:p>
    <w:p>
      <w:pPr>
        <w:spacing w:after="0" w:line="139" w:lineRule="exact"/>
        <w:rPr>
          <w:sz w:val="20"/>
          <w:szCs w:val="20"/>
          <w:color w:val="auto"/>
        </w:rPr>
      </w:pPr>
    </w:p>
    <w:p>
      <w:pPr>
        <w:ind w:left="2320" w:right="4080" w:hanging="1015"/>
        <w:spacing w:after="0" w:line="430" w:lineRule="auto"/>
        <w:tabs>
          <w:tab w:leader="none" w:pos="1753"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1299 Ocean Avenue, 11th Floor, Santa Monica, CA 90401</w:t>
      </w:r>
    </w:p>
    <w:p>
      <w:pPr>
        <w:ind w:left="1760" w:hanging="455"/>
        <w:spacing w:after="0"/>
        <w:tabs>
          <w:tab w:leader="none" w:pos="1760" w:val="left"/>
        </w:tabs>
        <w:numPr>
          <w:ilvl w:val="0"/>
          <w:numId w:val="8"/>
        </w:numPr>
        <w:rPr>
          <w:rFonts w:ascii="Arial" w:cs="Arial" w:eastAsia="Arial" w:hAnsi="Arial"/>
          <w:sz w:val="22"/>
          <w:szCs w:val="22"/>
          <w:color w:val="auto"/>
        </w:rPr>
      </w:pPr>
      <w:r>
        <w:rPr>
          <w:rFonts w:ascii="Arial" w:cs="Arial" w:eastAsia="Arial" w:hAnsi="Arial"/>
          <w:sz w:val="22"/>
          <w:szCs w:val="22"/>
          <w:color w:val="auto"/>
        </w:rPr>
        <w:t>Citizenship</w:t>
      </w:r>
    </w:p>
    <w:p>
      <w:pPr>
        <w:spacing w:after="0" w:line="200" w:lineRule="exact"/>
        <w:rPr>
          <w:sz w:val="20"/>
          <w:szCs w:val="20"/>
          <w:color w:val="auto"/>
        </w:rPr>
      </w:pPr>
    </w:p>
    <w:p>
      <w:pPr>
        <w:spacing w:after="0" w:line="330" w:lineRule="exact"/>
        <w:rPr>
          <w:sz w:val="20"/>
          <w:szCs w:val="20"/>
          <w:color w:val="auto"/>
        </w:rPr>
      </w:pPr>
    </w:p>
    <w:p>
      <w:pPr>
        <w:ind w:left="2320" w:right="7400" w:hanging="1015"/>
        <w:spacing w:after="0" w:line="430" w:lineRule="auto"/>
        <w:tabs>
          <w:tab w:leader="none" w:pos="1753" w:val="left"/>
        </w:tabs>
        <w:numPr>
          <w:ilvl w:val="0"/>
          <w:numId w:val="9"/>
        </w:numPr>
        <w:rPr>
          <w:rFonts w:ascii="Arial" w:cs="Arial" w:eastAsia="Arial" w:hAnsi="Arial"/>
          <w:sz w:val="19"/>
          <w:szCs w:val="19"/>
          <w:color w:val="auto"/>
        </w:rPr>
      </w:pPr>
      <w:r>
        <w:rPr>
          <w:rFonts w:ascii="Arial" w:cs="Arial" w:eastAsia="Arial" w:hAnsi="Arial"/>
          <w:sz w:val="19"/>
          <w:szCs w:val="19"/>
          <w:color w:val="auto"/>
        </w:rPr>
        <w:t>Title of Class of Securities Common Stock</w:t>
      </w:r>
    </w:p>
    <w:p>
      <w:pPr>
        <w:ind w:left="2320" w:right="8060" w:hanging="1015"/>
        <w:spacing w:after="0" w:line="491" w:lineRule="auto"/>
        <w:tabs>
          <w:tab w:leader="none" w:pos="1753"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00504W100</w:t>
      </w:r>
    </w:p>
    <w:p>
      <w:pPr>
        <w:spacing w:after="0" w:line="3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If this statement is filed pursuant to §§240.13d-1(b) or 240.13d-2(b) or (c), check whether the person filing is a:</w:t>
      </w:r>
    </w:p>
    <w:p>
      <w:pPr>
        <w:sectPr>
          <w:pgSz w:w="11900" w:h="16872" w:orient="portrait"/>
          <w:cols w:equalWidth="0" w:num="1">
            <w:col w:w="11440"/>
          </w:cols>
          <w:pgMar w:left="240" w:top="118" w:right="219" w:bottom="0" w:gutter="0" w:footer="0" w:header="0"/>
        </w:sectPr>
      </w:pPr>
    </w:p>
    <w:bookmarkStart w:id="2" w:name="page3"/>
    <w:bookmarkEnd w:id="2"/>
    <w:tbl>
      <w:tblPr>
        <w:tblLayout w:type="fixed"/>
        <w:tblInd w:w="1300" w:type="dxa"/>
        <w:tblCellMar>
          <w:top w:w="0" w:type="dxa"/>
          <w:left w:w="0" w:type="dxa"/>
          <w:bottom w:w="0" w:type="dxa"/>
          <w:right w:w="0" w:type="dxa"/>
        </w:tblCellMar>
      </w:tblPr>
      <w:tr>
        <w:trPr>
          <w:trHeight w:val="275"/>
        </w:trPr>
        <w:tc>
          <w:tcPr>
            <w:tcW w:w="360" w:type="dxa"/>
            <w:vAlign w:val="bottom"/>
          </w:tcPr>
          <w:p>
            <w:pPr>
              <w:spacing w:after="0"/>
              <w:rPr>
                <w:sz w:val="20"/>
                <w:szCs w:val="20"/>
                <w:color w:val="auto"/>
              </w:rPr>
            </w:pPr>
            <w:r>
              <w:rPr>
                <w:rFonts w:ascii="Arial" w:cs="Arial" w:eastAsia="Arial" w:hAnsi="Arial"/>
                <w:sz w:val="22"/>
                <w:szCs w:val="22"/>
                <w:color w:val="auto"/>
              </w:rPr>
              <w:t>(a)</w:t>
            </w:r>
          </w:p>
        </w:tc>
        <w:tc>
          <w:tcPr>
            <w:tcW w:w="240" w:type="dxa"/>
            <w:vAlign w:val="bottom"/>
          </w:tcPr>
          <w:p>
            <w:pPr>
              <w:ind w:left="100"/>
              <w:spacing w:after="0"/>
              <w:rPr>
                <w:sz w:val="20"/>
                <w:szCs w:val="20"/>
                <w:color w:val="auto"/>
              </w:rPr>
            </w:pPr>
            <w:r>
              <w:rPr>
                <w:rFonts w:ascii="Arial" w:cs="Arial" w:eastAsia="Arial" w:hAnsi="Arial"/>
                <w:sz w:val="22"/>
                <w:szCs w:val="22"/>
                <w:color w:val="auto"/>
              </w:rPr>
              <w:t>[</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200" w:type="dxa"/>
            <w:vAlign w:val="bottom"/>
          </w:tcPr>
          <w:p>
            <w:pPr>
              <w:ind w:left="140"/>
              <w:spacing w:after="0"/>
              <w:rPr>
                <w:sz w:val="20"/>
                <w:szCs w:val="20"/>
                <w:color w:val="auto"/>
              </w:rPr>
            </w:pPr>
            <w:r>
              <w:rPr>
                <w:rFonts w:ascii="Arial" w:cs="Arial" w:eastAsia="Arial" w:hAnsi="Arial"/>
                <w:sz w:val="22"/>
                <w:szCs w:val="22"/>
                <w:color w:val="auto"/>
              </w:rPr>
              <w:t>Broker or dealer registered under section 15 of the Act (15 U.S.C. 78o).</w:t>
            </w:r>
          </w:p>
        </w:tc>
      </w:tr>
      <w:tr>
        <w:trPr>
          <w:trHeight w:val="392"/>
        </w:trPr>
        <w:tc>
          <w:tcPr>
            <w:tcW w:w="360" w:type="dxa"/>
            <w:vAlign w:val="bottom"/>
          </w:tcPr>
          <w:p>
            <w:pPr>
              <w:spacing w:after="0"/>
              <w:rPr>
                <w:sz w:val="20"/>
                <w:szCs w:val="20"/>
                <w:color w:val="auto"/>
              </w:rPr>
            </w:pPr>
            <w:r>
              <w:rPr>
                <w:rFonts w:ascii="Arial" w:cs="Arial" w:eastAsia="Arial" w:hAnsi="Arial"/>
                <w:sz w:val="22"/>
                <w:szCs w:val="22"/>
                <w:color w:val="auto"/>
              </w:rPr>
              <w:t>(b)</w:t>
            </w:r>
          </w:p>
        </w:tc>
        <w:tc>
          <w:tcPr>
            <w:tcW w:w="240" w:type="dxa"/>
            <w:vAlign w:val="bottom"/>
          </w:tcPr>
          <w:p>
            <w:pPr>
              <w:ind w:left="100"/>
              <w:spacing w:after="0"/>
              <w:rPr>
                <w:sz w:val="20"/>
                <w:szCs w:val="20"/>
                <w:color w:val="auto"/>
              </w:rPr>
            </w:pPr>
            <w:r>
              <w:rPr>
                <w:rFonts w:ascii="Arial" w:cs="Arial" w:eastAsia="Arial" w:hAnsi="Arial"/>
                <w:sz w:val="22"/>
                <w:szCs w:val="22"/>
                <w:color w:val="auto"/>
              </w:rPr>
              <w:t>[</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200" w:type="dxa"/>
            <w:vAlign w:val="bottom"/>
          </w:tcPr>
          <w:p>
            <w:pPr>
              <w:ind w:left="140"/>
              <w:spacing w:after="0"/>
              <w:rPr>
                <w:sz w:val="20"/>
                <w:szCs w:val="20"/>
                <w:color w:val="auto"/>
              </w:rPr>
            </w:pPr>
            <w:r>
              <w:rPr>
                <w:rFonts w:ascii="Arial" w:cs="Arial" w:eastAsia="Arial" w:hAnsi="Arial"/>
                <w:sz w:val="22"/>
                <w:szCs w:val="22"/>
                <w:color w:val="auto"/>
              </w:rPr>
              <w:t>Bank as defined in section 3(a)(6) of the Act (15 U.S.C. 78c).</w:t>
            </w:r>
          </w:p>
        </w:tc>
      </w:tr>
      <w:tr>
        <w:trPr>
          <w:trHeight w:val="392"/>
        </w:trPr>
        <w:tc>
          <w:tcPr>
            <w:tcW w:w="360" w:type="dxa"/>
            <w:vAlign w:val="bottom"/>
          </w:tcPr>
          <w:p>
            <w:pPr>
              <w:spacing w:after="0"/>
              <w:rPr>
                <w:sz w:val="20"/>
                <w:szCs w:val="20"/>
                <w:color w:val="auto"/>
              </w:rPr>
            </w:pPr>
            <w:r>
              <w:rPr>
                <w:rFonts w:ascii="Arial" w:cs="Arial" w:eastAsia="Arial" w:hAnsi="Arial"/>
                <w:sz w:val="22"/>
                <w:szCs w:val="22"/>
                <w:color w:val="auto"/>
              </w:rPr>
              <w:t>(c)</w:t>
            </w:r>
          </w:p>
        </w:tc>
        <w:tc>
          <w:tcPr>
            <w:tcW w:w="240" w:type="dxa"/>
            <w:vAlign w:val="bottom"/>
          </w:tcPr>
          <w:p>
            <w:pPr>
              <w:ind w:left="100"/>
              <w:spacing w:after="0"/>
              <w:rPr>
                <w:sz w:val="20"/>
                <w:szCs w:val="20"/>
                <w:color w:val="auto"/>
              </w:rPr>
            </w:pPr>
            <w:r>
              <w:rPr>
                <w:rFonts w:ascii="Arial" w:cs="Arial" w:eastAsia="Arial" w:hAnsi="Arial"/>
                <w:sz w:val="22"/>
                <w:szCs w:val="22"/>
                <w:color w:val="auto"/>
              </w:rPr>
              <w:t>[</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200" w:type="dxa"/>
            <w:vAlign w:val="bottom"/>
          </w:tcPr>
          <w:p>
            <w:pPr>
              <w:ind w:left="14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360"/>
        </w:trPr>
        <w:tc>
          <w:tcPr>
            <w:tcW w:w="360" w:type="dxa"/>
            <w:vAlign w:val="bottom"/>
          </w:tcPr>
          <w:p>
            <w:pPr>
              <w:spacing w:after="0"/>
              <w:rPr>
                <w:sz w:val="20"/>
                <w:szCs w:val="20"/>
                <w:color w:val="auto"/>
              </w:rPr>
            </w:pPr>
            <w:r>
              <w:rPr>
                <w:rFonts w:ascii="Arial" w:cs="Arial" w:eastAsia="Arial" w:hAnsi="Arial"/>
                <w:sz w:val="22"/>
                <w:szCs w:val="22"/>
                <w:color w:val="auto"/>
              </w:rPr>
              <w:t>(d)</w:t>
            </w:r>
          </w:p>
        </w:tc>
        <w:tc>
          <w:tcPr>
            <w:tcW w:w="240" w:type="dxa"/>
            <w:vAlign w:val="bottom"/>
          </w:tcPr>
          <w:p>
            <w:pPr>
              <w:ind w:left="100"/>
              <w:spacing w:after="0"/>
              <w:rPr>
                <w:sz w:val="20"/>
                <w:szCs w:val="20"/>
                <w:color w:val="auto"/>
              </w:rPr>
            </w:pPr>
            <w:r>
              <w:rPr>
                <w:rFonts w:ascii="Arial" w:cs="Arial" w:eastAsia="Arial" w:hAnsi="Arial"/>
                <w:sz w:val="22"/>
                <w:szCs w:val="22"/>
                <w:color w:val="auto"/>
              </w:rPr>
              <w:t>[</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200" w:type="dxa"/>
            <w:vAlign w:val="bottom"/>
          </w:tcPr>
          <w:p>
            <w:pPr>
              <w:ind w:left="140"/>
              <w:spacing w:after="0"/>
              <w:rPr>
                <w:sz w:val="20"/>
                <w:szCs w:val="20"/>
                <w:color w:val="auto"/>
              </w:rPr>
            </w:pPr>
            <w:r>
              <w:rPr>
                <w:rFonts w:ascii="Arial" w:cs="Arial" w:eastAsia="Arial" w:hAnsi="Arial"/>
                <w:sz w:val="22"/>
                <w:szCs w:val="22"/>
                <w:color w:val="auto"/>
                <w:w w:val="89"/>
              </w:rPr>
              <w:t>Investment company registered under section 8 of the Investment Company Act of 1940 (15 U.S.C 80a-</w:t>
            </w:r>
          </w:p>
        </w:tc>
      </w:tr>
      <w:tr>
        <w:trPr>
          <w:trHeight w:val="275"/>
        </w:trPr>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0" w:type="dxa"/>
            <w:vAlign w:val="bottom"/>
          </w:tcPr>
          <w:p>
            <w:pPr>
              <w:ind w:left="140"/>
              <w:spacing w:after="0"/>
              <w:rPr>
                <w:sz w:val="20"/>
                <w:szCs w:val="20"/>
                <w:color w:val="auto"/>
              </w:rPr>
            </w:pPr>
            <w:r>
              <w:rPr>
                <w:rFonts w:ascii="Arial" w:cs="Arial" w:eastAsia="Arial" w:hAnsi="Arial"/>
                <w:sz w:val="22"/>
                <w:szCs w:val="22"/>
                <w:color w:val="auto"/>
              </w:rPr>
              <w:t>8).</w:t>
            </w:r>
          </w:p>
        </w:tc>
      </w:tr>
      <w:tr>
        <w:trPr>
          <w:trHeight w:val="392"/>
        </w:trPr>
        <w:tc>
          <w:tcPr>
            <w:tcW w:w="360" w:type="dxa"/>
            <w:vAlign w:val="bottom"/>
          </w:tcPr>
          <w:p>
            <w:pPr>
              <w:spacing w:after="0"/>
              <w:rPr>
                <w:sz w:val="20"/>
                <w:szCs w:val="20"/>
                <w:color w:val="auto"/>
              </w:rPr>
            </w:pPr>
            <w:r>
              <w:rPr>
                <w:rFonts w:ascii="Arial" w:cs="Arial" w:eastAsia="Arial" w:hAnsi="Arial"/>
                <w:sz w:val="22"/>
                <w:szCs w:val="22"/>
                <w:color w:val="auto"/>
              </w:rPr>
              <w:t>(e)</w:t>
            </w:r>
          </w:p>
        </w:tc>
        <w:tc>
          <w:tcPr>
            <w:tcW w:w="520" w:type="dxa"/>
            <w:vAlign w:val="bottom"/>
            <w:gridSpan w:val="2"/>
          </w:tcPr>
          <w:p>
            <w:pPr>
              <w:ind w:left="100"/>
              <w:spacing w:after="0"/>
              <w:rPr>
                <w:sz w:val="20"/>
                <w:szCs w:val="20"/>
                <w:color w:val="auto"/>
              </w:rPr>
            </w:pPr>
            <w:r>
              <w:rPr>
                <w:rFonts w:ascii="Arial" w:cs="Arial" w:eastAsia="Arial" w:hAnsi="Arial"/>
                <w:sz w:val="22"/>
                <w:szCs w:val="22"/>
                <w:color w:val="auto"/>
              </w:rPr>
              <w:t>[X]</w:t>
            </w:r>
          </w:p>
        </w:tc>
        <w:tc>
          <w:tcPr>
            <w:tcW w:w="9200" w:type="dxa"/>
            <w:vAlign w:val="bottom"/>
          </w:tcPr>
          <w:p>
            <w:pPr>
              <w:ind w:left="140"/>
              <w:spacing w:after="0"/>
              <w:rPr>
                <w:sz w:val="20"/>
                <w:szCs w:val="20"/>
                <w:color w:val="auto"/>
              </w:rPr>
            </w:pPr>
            <w:r>
              <w:rPr>
                <w:rFonts w:ascii="Arial" w:cs="Arial" w:eastAsia="Arial" w:hAnsi="Arial"/>
                <w:sz w:val="22"/>
                <w:szCs w:val="22"/>
                <w:color w:val="auto"/>
              </w:rPr>
              <w:t>An investment adviser in accordance with §240.13d-1(b)(1)(ii)(E);</w:t>
            </w:r>
          </w:p>
        </w:tc>
      </w:tr>
      <w:tr>
        <w:trPr>
          <w:trHeight w:val="392"/>
        </w:trPr>
        <w:tc>
          <w:tcPr>
            <w:tcW w:w="360" w:type="dxa"/>
            <w:vAlign w:val="bottom"/>
          </w:tcPr>
          <w:p>
            <w:pPr>
              <w:spacing w:after="0"/>
              <w:rPr>
                <w:sz w:val="20"/>
                <w:szCs w:val="20"/>
                <w:color w:val="auto"/>
              </w:rPr>
            </w:pPr>
            <w:r>
              <w:rPr>
                <w:rFonts w:ascii="Arial" w:cs="Arial" w:eastAsia="Arial" w:hAnsi="Arial"/>
                <w:sz w:val="22"/>
                <w:szCs w:val="22"/>
                <w:color w:val="auto"/>
              </w:rPr>
              <w:t>(f)</w:t>
            </w:r>
          </w:p>
        </w:tc>
        <w:tc>
          <w:tcPr>
            <w:tcW w:w="240" w:type="dxa"/>
            <w:vAlign w:val="bottom"/>
          </w:tcPr>
          <w:p>
            <w:pPr>
              <w:ind w:left="100"/>
              <w:spacing w:after="0"/>
              <w:rPr>
                <w:sz w:val="20"/>
                <w:szCs w:val="20"/>
                <w:color w:val="auto"/>
              </w:rPr>
            </w:pPr>
            <w:r>
              <w:rPr>
                <w:rFonts w:ascii="Arial" w:cs="Arial" w:eastAsia="Arial" w:hAnsi="Arial"/>
                <w:sz w:val="22"/>
                <w:szCs w:val="22"/>
                <w:color w:val="auto"/>
              </w:rPr>
              <w:t>[</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200" w:type="dxa"/>
            <w:vAlign w:val="bottom"/>
          </w:tcPr>
          <w:p>
            <w:pPr>
              <w:ind w:left="140"/>
              <w:spacing w:after="0"/>
              <w:rPr>
                <w:sz w:val="20"/>
                <w:szCs w:val="20"/>
                <w:color w:val="auto"/>
              </w:rPr>
            </w:pPr>
            <w:r>
              <w:rPr>
                <w:rFonts w:ascii="Arial" w:cs="Arial" w:eastAsia="Arial" w:hAnsi="Arial"/>
                <w:sz w:val="22"/>
                <w:szCs w:val="22"/>
                <w:color w:val="auto"/>
              </w:rPr>
              <w:t>An employee benefit plan or endowment fund in accordance with §240.13d-1(b)(1)(ii)(F);</w:t>
            </w:r>
          </w:p>
        </w:tc>
      </w:tr>
      <w:tr>
        <w:trPr>
          <w:trHeight w:val="392"/>
        </w:trPr>
        <w:tc>
          <w:tcPr>
            <w:tcW w:w="360" w:type="dxa"/>
            <w:vAlign w:val="bottom"/>
          </w:tcPr>
          <w:p>
            <w:pPr>
              <w:spacing w:after="0"/>
              <w:rPr>
                <w:sz w:val="20"/>
                <w:szCs w:val="20"/>
                <w:color w:val="auto"/>
              </w:rPr>
            </w:pPr>
            <w:r>
              <w:rPr>
                <w:rFonts w:ascii="Arial" w:cs="Arial" w:eastAsia="Arial" w:hAnsi="Arial"/>
                <w:sz w:val="22"/>
                <w:szCs w:val="22"/>
                <w:color w:val="auto"/>
              </w:rPr>
              <w:t>(g)</w:t>
            </w:r>
          </w:p>
        </w:tc>
        <w:tc>
          <w:tcPr>
            <w:tcW w:w="240" w:type="dxa"/>
            <w:vAlign w:val="bottom"/>
          </w:tcPr>
          <w:p>
            <w:pPr>
              <w:ind w:left="100"/>
              <w:spacing w:after="0"/>
              <w:rPr>
                <w:sz w:val="20"/>
                <w:szCs w:val="20"/>
                <w:color w:val="auto"/>
              </w:rPr>
            </w:pPr>
            <w:r>
              <w:rPr>
                <w:rFonts w:ascii="Arial" w:cs="Arial" w:eastAsia="Arial" w:hAnsi="Arial"/>
                <w:sz w:val="22"/>
                <w:szCs w:val="22"/>
                <w:color w:val="auto"/>
              </w:rPr>
              <w:t>[</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200" w:type="dxa"/>
            <w:vAlign w:val="bottom"/>
          </w:tcPr>
          <w:p>
            <w:pPr>
              <w:ind w:left="140"/>
              <w:spacing w:after="0"/>
              <w:rPr>
                <w:sz w:val="20"/>
                <w:szCs w:val="20"/>
                <w:color w:val="auto"/>
              </w:rPr>
            </w:pPr>
            <w:r>
              <w:rPr>
                <w:rFonts w:ascii="Arial" w:cs="Arial" w:eastAsia="Arial" w:hAnsi="Arial"/>
                <w:sz w:val="22"/>
                <w:szCs w:val="22"/>
                <w:color w:val="auto"/>
              </w:rPr>
              <w:t>A parent holding company or control person in accordance with § 240.13d-1(b)(1)(ii)(G);</w:t>
            </w:r>
          </w:p>
        </w:tc>
      </w:tr>
      <w:tr>
        <w:trPr>
          <w:trHeight w:val="392"/>
        </w:trPr>
        <w:tc>
          <w:tcPr>
            <w:tcW w:w="360" w:type="dxa"/>
            <w:vAlign w:val="bottom"/>
          </w:tcPr>
          <w:p>
            <w:pPr>
              <w:spacing w:after="0"/>
              <w:rPr>
                <w:sz w:val="20"/>
                <w:szCs w:val="20"/>
                <w:color w:val="auto"/>
              </w:rPr>
            </w:pPr>
            <w:r>
              <w:rPr>
                <w:rFonts w:ascii="Arial" w:cs="Arial" w:eastAsia="Arial" w:hAnsi="Arial"/>
                <w:sz w:val="22"/>
                <w:szCs w:val="22"/>
                <w:color w:val="auto"/>
              </w:rPr>
              <w:t>(h)</w:t>
            </w:r>
          </w:p>
        </w:tc>
        <w:tc>
          <w:tcPr>
            <w:tcW w:w="240" w:type="dxa"/>
            <w:vAlign w:val="bottom"/>
          </w:tcPr>
          <w:p>
            <w:pPr>
              <w:ind w:left="100"/>
              <w:spacing w:after="0"/>
              <w:rPr>
                <w:sz w:val="20"/>
                <w:szCs w:val="20"/>
                <w:color w:val="auto"/>
              </w:rPr>
            </w:pPr>
            <w:r>
              <w:rPr>
                <w:rFonts w:ascii="Arial" w:cs="Arial" w:eastAsia="Arial" w:hAnsi="Arial"/>
                <w:sz w:val="22"/>
                <w:szCs w:val="22"/>
                <w:color w:val="auto"/>
              </w:rPr>
              <w:t>[</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200" w:type="dxa"/>
            <w:vAlign w:val="bottom"/>
          </w:tcPr>
          <w:p>
            <w:pPr>
              <w:ind w:left="140"/>
              <w:spacing w:after="0"/>
              <w:rPr>
                <w:sz w:val="20"/>
                <w:szCs w:val="20"/>
                <w:color w:val="auto"/>
              </w:rPr>
            </w:pPr>
            <w:r>
              <w:rPr>
                <w:rFonts w:ascii="Arial" w:cs="Arial" w:eastAsia="Arial" w:hAnsi="Arial"/>
                <w:sz w:val="22"/>
                <w:szCs w:val="22"/>
                <w:color w:val="auto"/>
                <w:w w:val="88"/>
              </w:rPr>
              <w:t>A savings associations as defined in Section 3(b) of the Federal Deposit Insurance Act (12 U.S.C. 1813);</w:t>
            </w:r>
          </w:p>
        </w:tc>
      </w:tr>
      <w:tr>
        <w:trPr>
          <w:trHeight w:val="360"/>
        </w:trPr>
        <w:tc>
          <w:tcPr>
            <w:tcW w:w="360" w:type="dxa"/>
            <w:vAlign w:val="bottom"/>
          </w:tcPr>
          <w:p>
            <w:pPr>
              <w:spacing w:after="0"/>
              <w:rPr>
                <w:sz w:val="20"/>
                <w:szCs w:val="20"/>
                <w:color w:val="auto"/>
              </w:rPr>
            </w:pPr>
            <w:r>
              <w:rPr>
                <w:rFonts w:ascii="Arial" w:cs="Arial" w:eastAsia="Arial" w:hAnsi="Arial"/>
                <w:sz w:val="22"/>
                <w:szCs w:val="22"/>
                <w:color w:val="auto"/>
              </w:rPr>
              <w:t>(i)</w:t>
            </w:r>
          </w:p>
        </w:tc>
        <w:tc>
          <w:tcPr>
            <w:tcW w:w="240" w:type="dxa"/>
            <w:vAlign w:val="bottom"/>
          </w:tcPr>
          <w:p>
            <w:pPr>
              <w:ind w:left="100"/>
              <w:spacing w:after="0"/>
              <w:rPr>
                <w:sz w:val="20"/>
                <w:szCs w:val="20"/>
                <w:color w:val="auto"/>
              </w:rPr>
            </w:pPr>
            <w:r>
              <w:rPr>
                <w:rFonts w:ascii="Arial" w:cs="Arial" w:eastAsia="Arial" w:hAnsi="Arial"/>
                <w:sz w:val="22"/>
                <w:szCs w:val="22"/>
                <w:color w:val="auto"/>
              </w:rPr>
              <w:t>[</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200" w:type="dxa"/>
            <w:vAlign w:val="bottom"/>
          </w:tcPr>
          <w:p>
            <w:pPr>
              <w:ind w:left="140"/>
              <w:spacing w:after="0"/>
              <w:rPr>
                <w:sz w:val="20"/>
                <w:szCs w:val="20"/>
                <w:color w:val="auto"/>
              </w:rPr>
            </w:pPr>
            <w:r>
              <w:rPr>
                <w:rFonts w:ascii="Arial" w:cs="Arial" w:eastAsia="Arial" w:hAnsi="Arial"/>
                <w:sz w:val="22"/>
                <w:szCs w:val="22"/>
                <w:color w:val="auto"/>
                <w:w w:val="91"/>
              </w:rPr>
              <w:t>A church plan that is excluded from the definition of an investment company under section 3(c)(14) of</w:t>
            </w:r>
          </w:p>
        </w:tc>
      </w:tr>
      <w:tr>
        <w:trPr>
          <w:trHeight w:val="275"/>
        </w:trPr>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0" w:type="dxa"/>
            <w:vAlign w:val="bottom"/>
          </w:tcPr>
          <w:p>
            <w:pPr>
              <w:ind w:left="140"/>
              <w:spacing w:after="0"/>
              <w:rPr>
                <w:sz w:val="20"/>
                <w:szCs w:val="20"/>
                <w:color w:val="auto"/>
              </w:rPr>
            </w:pPr>
            <w:r>
              <w:rPr>
                <w:rFonts w:ascii="Arial" w:cs="Arial" w:eastAsia="Arial" w:hAnsi="Arial"/>
                <w:sz w:val="22"/>
                <w:szCs w:val="22"/>
                <w:color w:val="auto"/>
              </w:rPr>
              <w:t>the Investment Company Act of 1940 (15 U.S.C. 80a-3);</w:t>
            </w:r>
          </w:p>
        </w:tc>
      </w:tr>
      <w:tr>
        <w:trPr>
          <w:trHeight w:val="392"/>
        </w:trPr>
        <w:tc>
          <w:tcPr>
            <w:tcW w:w="360" w:type="dxa"/>
            <w:vAlign w:val="bottom"/>
          </w:tcPr>
          <w:p>
            <w:pPr>
              <w:spacing w:after="0"/>
              <w:rPr>
                <w:sz w:val="20"/>
                <w:szCs w:val="20"/>
                <w:color w:val="auto"/>
              </w:rPr>
            </w:pPr>
            <w:r>
              <w:rPr>
                <w:rFonts w:ascii="Arial" w:cs="Arial" w:eastAsia="Arial" w:hAnsi="Arial"/>
                <w:sz w:val="22"/>
                <w:szCs w:val="22"/>
                <w:color w:val="auto"/>
              </w:rPr>
              <w:t>(j)</w:t>
            </w:r>
          </w:p>
        </w:tc>
        <w:tc>
          <w:tcPr>
            <w:tcW w:w="240" w:type="dxa"/>
            <w:vAlign w:val="bottom"/>
          </w:tcPr>
          <w:p>
            <w:pPr>
              <w:ind w:left="100"/>
              <w:spacing w:after="0"/>
              <w:rPr>
                <w:sz w:val="20"/>
                <w:szCs w:val="20"/>
                <w:color w:val="auto"/>
              </w:rPr>
            </w:pPr>
            <w:r>
              <w:rPr>
                <w:rFonts w:ascii="Arial" w:cs="Arial" w:eastAsia="Arial" w:hAnsi="Arial"/>
                <w:sz w:val="22"/>
                <w:szCs w:val="22"/>
                <w:color w:val="auto"/>
              </w:rPr>
              <w:t>[</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200" w:type="dxa"/>
            <w:vAlign w:val="bottom"/>
          </w:tcPr>
          <w:p>
            <w:pPr>
              <w:ind w:left="140"/>
              <w:spacing w:after="0"/>
              <w:rPr>
                <w:sz w:val="20"/>
                <w:szCs w:val="20"/>
                <w:color w:val="auto"/>
              </w:rPr>
            </w:pPr>
            <w:r>
              <w:rPr>
                <w:rFonts w:ascii="Arial" w:cs="Arial" w:eastAsia="Arial" w:hAnsi="Arial"/>
                <w:sz w:val="22"/>
                <w:szCs w:val="22"/>
                <w:color w:val="auto"/>
              </w:rPr>
              <w:t>Group, in accordance with §240.13d-1(b)(1)(ii)(J).</w:t>
            </w:r>
          </w:p>
        </w:tc>
      </w:tr>
    </w:tbl>
    <w:p>
      <w:pPr>
        <w:spacing w:after="0" w:line="26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Ownership.</w:t>
      </w:r>
    </w:p>
    <w:p>
      <w:pPr>
        <w:spacing w:after="0" w:line="139"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106" w:lineRule="exact"/>
        <w:rPr>
          <w:sz w:val="20"/>
          <w:szCs w:val="20"/>
          <w:color w:val="auto"/>
        </w:rPr>
      </w:pPr>
    </w:p>
    <w:p>
      <w:pPr>
        <w:ind w:left="2320" w:right="6740" w:hanging="1015"/>
        <w:spacing w:after="0" w:line="430" w:lineRule="auto"/>
        <w:tabs>
          <w:tab w:leader="none" w:pos="1753" w:val="left"/>
        </w:tabs>
        <w:numPr>
          <w:ilvl w:val="0"/>
          <w:numId w:val="10"/>
        </w:numPr>
        <w:rPr>
          <w:rFonts w:ascii="Arial" w:cs="Arial" w:eastAsia="Arial" w:hAnsi="Arial"/>
          <w:sz w:val="19"/>
          <w:szCs w:val="19"/>
          <w:color w:val="auto"/>
        </w:rPr>
      </w:pPr>
      <w:r>
        <w:rPr>
          <w:rFonts w:ascii="Arial" w:cs="Arial" w:eastAsia="Arial" w:hAnsi="Arial"/>
          <w:sz w:val="19"/>
          <w:szCs w:val="19"/>
          <w:color w:val="auto"/>
        </w:rPr>
        <w:t>Amount beneficially owned: 2,425,578 **see Note 1**</w:t>
      </w:r>
    </w:p>
    <w:p>
      <w:pPr>
        <w:ind w:left="1760" w:hanging="455"/>
        <w:spacing w:after="0"/>
        <w:tabs>
          <w:tab w:leader="none" w:pos="17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39"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5.77%</w:t>
      </w:r>
    </w:p>
    <w:p>
      <w:pPr>
        <w:spacing w:after="0" w:line="139" w:lineRule="exact"/>
        <w:rPr>
          <w:sz w:val="20"/>
          <w:szCs w:val="20"/>
          <w:color w:val="auto"/>
        </w:rPr>
      </w:pPr>
    </w:p>
    <w:p>
      <w:pPr>
        <w:ind w:left="1760" w:hanging="455"/>
        <w:spacing w:after="0"/>
        <w:tabs>
          <w:tab w:leader="none" w:pos="17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138" w:lineRule="exact"/>
        <w:rPr>
          <w:rFonts w:ascii="Arial" w:cs="Arial" w:eastAsia="Arial" w:hAnsi="Arial"/>
          <w:sz w:val="22"/>
          <w:szCs w:val="22"/>
          <w:color w:val="auto"/>
        </w:rPr>
      </w:pPr>
    </w:p>
    <w:p>
      <w:pPr>
        <w:ind w:left="2760" w:right="5620" w:hanging="1010"/>
        <w:spacing w:after="0" w:line="371" w:lineRule="auto"/>
        <w:tabs>
          <w:tab w:leader="none" w:pos="2314"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vote or to direct the vote: 2,425,578 **see Note 1**</w:t>
      </w:r>
    </w:p>
    <w:p>
      <w:pPr>
        <w:spacing w:after="0" w:line="1" w:lineRule="exact"/>
        <w:rPr>
          <w:rFonts w:ascii="Arial" w:cs="Arial" w:eastAsia="Arial" w:hAnsi="Arial"/>
          <w:sz w:val="22"/>
          <w:szCs w:val="22"/>
          <w:color w:val="auto"/>
        </w:rPr>
      </w:pPr>
    </w:p>
    <w:p>
      <w:pPr>
        <w:ind w:left="2760" w:right="5420" w:hanging="1010"/>
        <w:spacing w:after="0" w:line="371" w:lineRule="auto"/>
        <w:tabs>
          <w:tab w:leader="none" w:pos="2314"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1" w:lineRule="exact"/>
        <w:rPr>
          <w:rFonts w:ascii="Arial" w:cs="Arial" w:eastAsia="Arial" w:hAnsi="Arial"/>
          <w:sz w:val="22"/>
          <w:szCs w:val="22"/>
          <w:color w:val="auto"/>
        </w:rPr>
      </w:pPr>
    </w:p>
    <w:p>
      <w:pPr>
        <w:ind w:left="2760" w:right="4540" w:hanging="1010"/>
        <w:spacing w:after="0" w:line="371" w:lineRule="auto"/>
        <w:tabs>
          <w:tab w:leader="none" w:pos="2314"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2,425,578 **see Note 1**</w:t>
      </w:r>
    </w:p>
    <w:p>
      <w:pPr>
        <w:spacing w:after="0" w:line="1" w:lineRule="exact"/>
        <w:rPr>
          <w:rFonts w:ascii="Arial" w:cs="Arial" w:eastAsia="Arial" w:hAnsi="Arial"/>
          <w:sz w:val="22"/>
          <w:szCs w:val="22"/>
          <w:color w:val="auto"/>
        </w:rPr>
      </w:pPr>
    </w:p>
    <w:p>
      <w:pPr>
        <w:ind w:left="2760" w:right="4320" w:hanging="1010"/>
        <w:spacing w:after="0" w:line="392" w:lineRule="auto"/>
        <w:tabs>
          <w:tab w:leader="none" w:pos="2314"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106" w:lineRule="exact"/>
        <w:rPr>
          <w:sz w:val="20"/>
          <w:szCs w:val="20"/>
          <w:color w:val="auto"/>
        </w:rPr>
      </w:pPr>
    </w:p>
    <w:p>
      <w:pPr>
        <w:ind w:left="1300" w:firstLine="5"/>
        <w:spacing w:after="0" w:line="273" w:lineRule="auto"/>
        <w:tabs>
          <w:tab w:leader="none" w:pos="1570" w:val="left"/>
        </w:tabs>
        <w:numPr>
          <w:ilvl w:val="0"/>
          <w:numId w:val="12"/>
        </w:numPr>
        <w:rPr>
          <w:rFonts w:ascii="Arial" w:cs="Arial" w:eastAsia="Arial" w:hAnsi="Arial"/>
          <w:sz w:val="19"/>
          <w:szCs w:val="19"/>
          <w:color w:val="auto"/>
        </w:rPr>
      </w:pPr>
      <w:r>
        <w:rPr>
          <w:rFonts w:ascii="Arial" w:cs="Arial" w:eastAsia="Arial" w:hAnsi="Arial"/>
          <w:sz w:val="19"/>
          <w:szCs w:val="19"/>
          <w:color w:val="auto"/>
        </w:rPr>
        <w:t>Note 1 **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voting and/or investment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24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35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w:t>
      </w:r>
    </w:p>
    <w:p>
      <w:pPr>
        <w:spacing w:after="0" w:line="287" w:lineRule="exact"/>
        <w:rPr>
          <w:sz w:val="20"/>
          <w:szCs w:val="20"/>
          <w:color w:val="auto"/>
        </w:rPr>
      </w:pPr>
    </w:p>
    <w:p>
      <w:pPr>
        <w:jc w:val="both"/>
        <w:ind w:left="1300" w:right="80"/>
        <w:spacing w:after="0"/>
        <w:rPr>
          <w:sz w:val="20"/>
          <w:szCs w:val="20"/>
          <w:color w:val="auto"/>
        </w:rPr>
      </w:pPr>
      <w:r>
        <w:rPr>
          <w:rFonts w:ascii="Arial" w:cs="Arial" w:eastAsia="Arial" w:hAnsi="Arial"/>
          <w:sz w:val="22"/>
          <w:szCs w:val="22"/>
          <w:color w:val="auto"/>
        </w:rPr>
        <w:t>All securities reported in this schedule are owned by advisory clients of Dimensional Fund Advisors Inc., no one of which, to the knowledge of Dimensional Fund Advisors, Inc., owns more than 5% of the class. Dimensional Fund Advisors Inc. disclaims beneficial ownership of all such securities.</w:t>
      </w:r>
    </w:p>
    <w:p>
      <w:pPr>
        <w:sectPr>
          <w:pgSz w:w="11900" w:h="16838" w:orient="portrait"/>
          <w:cols w:equalWidth="0" w:num="1">
            <w:col w:w="11380"/>
          </w:cols>
          <w:pgMar w:left="240" w:top="267" w:right="279" w:bottom="0" w:gutter="0" w:footer="0" w:header="0"/>
        </w:sectPr>
      </w:pPr>
    </w:p>
    <w:bookmarkStart w:id="3" w:name="page4"/>
    <w:bookmarkEnd w:id="3"/>
    <w:p>
      <w:pPr>
        <w:ind w:left="1300" w:right="280" w:hanging="1296"/>
        <w:spacing w:after="0" w:line="251" w:lineRule="auto"/>
        <w:tabs>
          <w:tab w:leader="none" w:pos="128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Identification and Classification of the Subsidiary Which Acquired the Security Being Reported on By the Parent Holding Company or Control Person.</w:t>
      </w:r>
    </w:p>
    <w:p>
      <w:pPr>
        <w:spacing w:after="0" w:line="1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w:t>
      </w:r>
    </w:p>
    <w:p>
      <w:pPr>
        <w:spacing w:after="0" w:line="28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color w:val="auto"/>
        </w:rPr>
        <w:t>Identification and Classification of Members of the Group</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w:t>
      </w:r>
    </w:p>
    <w:p>
      <w:pPr>
        <w:spacing w:after="0" w:line="28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color w:val="auto"/>
        </w:rPr>
        <w:t>Notice of Dissolution of Group</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w:t>
      </w:r>
    </w:p>
    <w:p>
      <w:pPr>
        <w:spacing w:after="0" w:line="28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Certification</w:t>
      </w:r>
    </w:p>
    <w:p>
      <w:pPr>
        <w:spacing w:after="0" w:line="139" w:lineRule="exact"/>
        <w:rPr>
          <w:sz w:val="20"/>
          <w:szCs w:val="20"/>
          <w:color w:val="auto"/>
        </w:rPr>
      </w:pPr>
    </w:p>
    <w:p>
      <w:pPr>
        <w:ind w:left="156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DIMENSIONAL FUND ADVISORS INC.</w:t>
      </w:r>
    </w:p>
    <w:p>
      <w:pPr>
        <w:spacing w:after="0" w:line="139" w:lineRule="exact"/>
        <w:rPr>
          <w:sz w:val="20"/>
          <w:szCs w:val="20"/>
          <w:color w:val="auto"/>
        </w:rPr>
      </w:pPr>
    </w:p>
    <w:p>
      <w:pPr>
        <w:ind w:left="5720"/>
        <w:spacing w:after="0"/>
        <w:rPr>
          <w:sz w:val="20"/>
          <w:szCs w:val="20"/>
          <w:color w:val="auto"/>
        </w:rPr>
      </w:pPr>
      <w:r>
        <w:rPr>
          <w:rFonts w:ascii="Arial" w:cs="Arial" w:eastAsia="Arial" w:hAnsi="Arial"/>
          <w:sz w:val="22"/>
          <w:szCs w:val="22"/>
          <w:u w:val="single" w:color="auto"/>
          <w:color w:val="auto"/>
        </w:rPr>
        <w:t>February 6, 2004</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Date</w:t>
      </w:r>
    </w:p>
    <w:p>
      <w:pPr>
        <w:spacing w:after="0" w:line="121" w:lineRule="exact"/>
        <w:rPr>
          <w:sz w:val="20"/>
          <w:szCs w:val="20"/>
          <w:color w:val="auto"/>
        </w:rPr>
      </w:pPr>
    </w:p>
    <w:p>
      <w:pPr>
        <w:ind w:left="5720"/>
        <w:spacing w:after="0"/>
        <w:rPr>
          <w:sz w:val="20"/>
          <w:szCs w:val="20"/>
          <w:color w:val="auto"/>
        </w:rPr>
      </w:pPr>
      <w:r>
        <w:rPr>
          <w:rFonts w:ascii="Arial" w:cs="Arial" w:eastAsia="Arial" w:hAnsi="Arial"/>
          <w:sz w:val="22"/>
          <w:szCs w:val="22"/>
          <w:u w:val="single" w:color="auto"/>
          <w:color w:val="auto"/>
        </w:rPr>
        <w:t>/s/ Catherine L. Newell</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Signature</w:t>
      </w:r>
    </w:p>
    <w:p>
      <w:pPr>
        <w:spacing w:after="0" w:line="121" w:lineRule="exact"/>
        <w:rPr>
          <w:sz w:val="20"/>
          <w:szCs w:val="20"/>
          <w:color w:val="auto"/>
        </w:rPr>
      </w:pPr>
    </w:p>
    <w:p>
      <w:pPr>
        <w:ind w:left="5720"/>
        <w:spacing w:after="0"/>
        <w:rPr>
          <w:sz w:val="20"/>
          <w:szCs w:val="20"/>
          <w:color w:val="auto"/>
        </w:rPr>
      </w:pPr>
      <w:r>
        <w:rPr>
          <w:rFonts w:ascii="Arial" w:cs="Arial" w:eastAsia="Arial" w:hAnsi="Arial"/>
          <w:sz w:val="22"/>
          <w:szCs w:val="22"/>
          <w:u w:val="single" w:color="auto"/>
          <w:color w:val="auto"/>
        </w:rPr>
        <w:t>Vice President and Secretary</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Title</w:t>
      </w:r>
    </w:p>
    <w:sectPr>
      <w:pgSz w:w="11900" w:h="16838" w:orient="portrait"/>
      <w:cols w:equalWidth="0" w:num="1">
        <w:col w:w="11380"/>
      </w:cols>
      <w:pgMar w:left="240" w:top="41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2"/>
    </w:lvl>
    <w:lvl w:ilvl="1">
      <w:lvlJc w:val="left"/>
      <w:lvlText w:val="(%2)"/>
      <w:numFmt w:val="lowerLetter"/>
      <w:start w:val="1"/>
    </w:lvl>
  </w:abstractNum>
  <w:abstractNum w:abstractNumId="3">
    <w:nsid w:val="7545E146"/>
    <w:multiLevelType w:val="hybridMultilevel"/>
    <w:lvl w:ilvl="0">
      <w:lvlJc w:val="left"/>
      <w:lvlText w:val="%1"/>
      <w:numFmt w:val="decimal"/>
      <w:start w:val="1"/>
    </w:lvl>
    <w:lvl w:ilvl="1">
      <w:lvlJc w:val="left"/>
      <w:lvlText w:val="%2."/>
      <w:numFmt w:val="decimal"/>
      <w:start w:val="8"/>
    </w:lvl>
  </w:abstractNum>
  <w:abstractNum w:abstractNumId="4">
    <w:nsid w:val="515F007C"/>
    <w:multiLevelType w:val="hybridMultilevel"/>
    <w:lvl w:ilvl="0">
      <w:lvlJc w:val="left"/>
      <w:lvlText w:val="%1."/>
      <w:numFmt w:val="decimal"/>
      <w:start w:val="9"/>
    </w:lvl>
    <w:lvl w:ilvl="1">
      <w:lvlJc w:val="left"/>
      <w:lvlText w:val="%2"/>
      <w:numFmt w:val="decimal"/>
      <w:start w:val="1"/>
    </w:lvl>
  </w:abstractNum>
  <w:abstractNum w:abstractNumId="5">
    <w:nsid w:val="5BD062C2"/>
    <w:multiLevelType w:val="hybridMultilevel"/>
    <w:lvl w:ilvl="0">
      <w:lvlJc w:val="left"/>
      <w:lvlText w:val="%1."/>
      <w:numFmt w:val="decimal"/>
      <w:start w:val="10"/>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lowerLetter"/>
      <w:start w:val="4"/>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lvl w:ilvl="1">
      <w:lvlJc w:val="left"/>
      <w:lvlText w:val="(%2)"/>
      <w:numFmt w:val="lowerRoman"/>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2019-12-14T17:59:16Z</dcterms:created>
  <dcterms:modified xsi:type="dcterms:W3CDTF">2019-12-14T17:59:16Z</dcterms:modified>
</cp:coreProperties>
</file>