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5895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8959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Gehl Jeff Patrick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11/18/2021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jc w:val="center"/>
        <w:ind w:right="184"/>
        <w:spacing w:after="0"/>
        <w:rPr>
          <w:sz w:val="20"/>
          <w:szCs w:val="20"/>
          <w:color w:val="auto"/>
        </w:rPr>
      </w:pPr>
      <w:r>
        <w:rPr>
          <w:rFonts w:ascii="Arial" w:cs="Arial" w:eastAsia="Arial" w:hAnsi="Arial"/>
          <w:sz w:val="16"/>
          <w:szCs w:val="16"/>
          <w:color w:val="0000FF"/>
        </w:rPr>
        <w:t xml:space="preserve">Head Marketing &amp; Distribution </w:t>
      </w:r>
      <w:r>
        <w:rPr>
          <w:rFonts w:ascii="Arial" w:cs="Arial" w:eastAsia="Arial" w:hAnsi="Arial"/>
          <w:sz w:val="19"/>
          <w:szCs w:val="19"/>
          <w:color w:val="000000"/>
        </w:rPr>
        <w:t>/</w:t>
      </w:r>
      <w:r>
        <w:rPr>
          <w:rFonts w:ascii="Arial" w:cs="Arial" w:eastAsia="Arial" w:hAnsi="Arial"/>
          <w:sz w:val="16"/>
          <w:szCs w:val="16"/>
          <w:color w:val="0000FF"/>
        </w:rPr>
        <w:t xml:space="preserve"> See</w:t>
      </w:r>
    </w:p>
    <w:p>
      <w:pPr>
        <w:spacing w:after="0" w:line="37" w:lineRule="exact"/>
        <w:rPr>
          <w:sz w:val="24"/>
          <w:szCs w:val="24"/>
          <w:color w:val="auto"/>
        </w:rPr>
      </w:pPr>
    </w:p>
    <w:p>
      <w:pPr>
        <w:jc w:val="center"/>
        <w:ind w:right="184"/>
        <w:spacing w:after="0"/>
        <w:rPr>
          <w:sz w:val="20"/>
          <w:szCs w:val="20"/>
          <w:color w:val="auto"/>
        </w:rPr>
      </w:pPr>
      <w:r>
        <w:rPr>
          <w:rFonts w:ascii="Arial" w:cs="Arial" w:eastAsia="Arial" w:hAnsi="Arial"/>
          <w:sz w:val="17"/>
          <w:szCs w:val="17"/>
          <w:color w:val="0000FF"/>
        </w:rPr>
        <w:t>Footnote 1</w:t>
      </w:r>
    </w:p>
    <w:p>
      <w:pPr>
        <w:spacing w:after="0" w:line="285"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75205</w:t>
            </w:r>
          </w:p>
        </w:tc>
      </w:tr>
      <w:tr>
        <w:trPr>
          <w:trHeight w:val="148"/>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66"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line="124" w:lineRule="exact"/>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3"/>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Jeff P.</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tcPr>
          <w:p>
            <w:pPr>
              <w:ind w:left="60"/>
              <w:spacing w:after="0" w:line="204" w:lineRule="exact"/>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(1)</w:t>
            </w:r>
          </w:p>
        </w:tc>
        <w:tc>
          <w:tcPr>
            <w:tcW w:w="1840" w:type="dxa"/>
            <w:vAlign w:val="bottom"/>
            <w:gridSpan w:val="2"/>
          </w:tcPr>
          <w:p>
            <w:pPr>
              <w:jc w:val="center"/>
              <w:ind w:left="693"/>
              <w:spacing w:after="0"/>
              <w:rPr>
                <w:sz w:val="20"/>
                <w:szCs w:val="20"/>
                <w:color w:val="auto"/>
              </w:rPr>
            </w:pPr>
            <w:r>
              <w:rPr>
                <w:rFonts w:ascii="Arial" w:cs="Arial" w:eastAsia="Arial" w:hAnsi="Arial"/>
                <w:sz w:val="17"/>
                <w:szCs w:val="17"/>
                <w:color w:val="0000FF"/>
                <w:w w:val="89"/>
              </w:rPr>
              <w:t>11/18/2021</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right="120"/>
              <w:spacing w:after="0"/>
              <w:rPr>
                <w:sz w:val="20"/>
                <w:szCs w:val="20"/>
                <w:color w:val="auto"/>
              </w:rPr>
            </w:pPr>
            <w:r>
              <w:rPr>
                <w:rFonts w:ascii="Arial" w:cs="Arial" w:eastAsia="Arial" w:hAnsi="Arial"/>
                <w:sz w:val="13"/>
                <w:szCs w:val="13"/>
                <w:color w:val="0000FF"/>
                <w:w w:val="84"/>
              </w:rPr>
              <w:t>C</w:t>
            </w:r>
          </w:p>
        </w:tc>
        <w:tc>
          <w:tcPr>
            <w:tcW w:w="200" w:type="dxa"/>
            <w:vAlign w:val="bottom"/>
          </w:tcPr>
          <w:p>
            <w:pPr>
              <w:spacing w:after="0"/>
              <w:rPr>
                <w:sz w:val="17"/>
                <w:szCs w:val="17"/>
                <w:color w:val="auto"/>
              </w:rPr>
            </w:pPr>
          </w:p>
        </w:tc>
        <w:tc>
          <w:tcPr>
            <w:tcW w:w="640" w:type="dxa"/>
            <w:vAlign w:val="bottom"/>
            <w:gridSpan w:val="2"/>
          </w:tcPr>
          <w:p>
            <w:pPr>
              <w:ind w:left="100"/>
              <w:spacing w:after="0"/>
              <w:rPr>
                <w:sz w:val="20"/>
                <w:szCs w:val="20"/>
                <w:color w:val="auto"/>
              </w:rPr>
            </w:pPr>
            <w:r>
              <w:rPr>
                <w:rFonts w:ascii="Arial" w:cs="Arial" w:eastAsia="Arial" w:hAnsi="Arial"/>
                <w:sz w:val="17"/>
                <w:szCs w:val="17"/>
                <w:color w:val="0000FF"/>
                <w:w w:val="84"/>
              </w:rPr>
              <w:t>168,795</w:t>
            </w:r>
          </w:p>
        </w:tc>
        <w:tc>
          <w:tcPr>
            <w:tcW w:w="520" w:type="dxa"/>
            <w:vAlign w:val="bottom"/>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7"/>
              <w:spacing w:after="0"/>
              <w:rPr>
                <w:sz w:val="20"/>
                <w:szCs w:val="20"/>
                <w:color w:val="auto"/>
              </w:rPr>
            </w:pPr>
            <w:r>
              <w:rPr>
                <w:rFonts w:ascii="Arial" w:cs="Arial" w:eastAsia="Arial" w:hAnsi="Arial"/>
                <w:sz w:val="11"/>
                <w:szCs w:val="11"/>
                <w:color w:val="008000"/>
              </w:rPr>
              <w:t>(2)(3)</w:t>
            </w:r>
          </w:p>
        </w:tc>
        <w:tc>
          <w:tcPr>
            <w:tcW w:w="40" w:type="dxa"/>
            <w:vAlign w:val="bottom"/>
          </w:tcPr>
          <w:p>
            <w:pPr>
              <w:spacing w:after="0"/>
              <w:rPr>
                <w:sz w:val="17"/>
                <w:szCs w:val="17"/>
                <w:color w:val="auto"/>
              </w:rPr>
            </w:pPr>
          </w:p>
        </w:tc>
        <w:tc>
          <w:tcPr>
            <w:tcW w:w="1260" w:type="dxa"/>
            <w:vAlign w:val="bottom"/>
            <w:gridSpan w:val="3"/>
          </w:tcPr>
          <w:p>
            <w:pPr>
              <w:jc w:val="right"/>
              <w:ind w:right="302"/>
              <w:spacing w:after="0"/>
              <w:rPr>
                <w:sz w:val="20"/>
                <w:szCs w:val="20"/>
                <w:color w:val="auto"/>
              </w:rPr>
            </w:pPr>
            <w:r>
              <w:rPr>
                <w:rFonts w:ascii="Arial" w:cs="Arial" w:eastAsia="Arial" w:hAnsi="Arial"/>
                <w:sz w:val="17"/>
                <w:szCs w:val="17"/>
                <w:color w:val="0000FF"/>
              </w:rPr>
              <w:t>168,795</w:t>
            </w:r>
          </w:p>
        </w:tc>
        <w:tc>
          <w:tcPr>
            <w:tcW w:w="280" w:type="dxa"/>
            <w:vAlign w:val="bottom"/>
          </w:tcPr>
          <w:p>
            <w:pPr>
              <w:spacing w:after="0"/>
              <w:rPr>
                <w:sz w:val="17"/>
                <w:szCs w:val="17"/>
                <w:color w:val="auto"/>
              </w:rPr>
            </w:pPr>
          </w:p>
        </w:tc>
        <w:tc>
          <w:tcPr>
            <w:tcW w:w="660" w:type="dxa"/>
            <w:vAlign w:val="bottom"/>
          </w:tcPr>
          <w:p>
            <w:pPr>
              <w:ind w:left="40"/>
              <w:spacing w:after="0" w:line="203"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820" w:type="dxa"/>
            <w:vAlign w:val="bottom"/>
            <w:gridSpan w:val="3"/>
          </w:tcPr>
          <w:p>
            <w:pPr>
              <w:spacing w:after="0"/>
              <w:rPr>
                <w:sz w:val="20"/>
                <w:szCs w:val="20"/>
                <w:color w:val="auto"/>
              </w:rPr>
            </w:pPr>
            <w:r>
              <w:rPr>
                <w:rFonts w:ascii="Arial" w:cs="Arial" w:eastAsia="Arial" w:hAnsi="Arial"/>
                <w:sz w:val="17"/>
                <w:szCs w:val="17"/>
                <w:color w:val="0000FF"/>
              </w:rPr>
              <w:t>Gehl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Jeff P.</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tcPr>
          <w:p>
            <w:pPr>
              <w:ind w:left="60"/>
              <w:spacing w:after="0" w:line="204" w:lineRule="exact"/>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(1)</w:t>
            </w:r>
          </w:p>
        </w:tc>
        <w:tc>
          <w:tcPr>
            <w:tcW w:w="1840" w:type="dxa"/>
            <w:vAlign w:val="bottom"/>
            <w:gridSpan w:val="2"/>
          </w:tcPr>
          <w:p>
            <w:pPr>
              <w:jc w:val="center"/>
              <w:ind w:left="693"/>
              <w:spacing w:after="0"/>
              <w:rPr>
                <w:sz w:val="20"/>
                <w:szCs w:val="20"/>
                <w:color w:val="auto"/>
              </w:rPr>
            </w:pPr>
            <w:r>
              <w:rPr>
                <w:rFonts w:ascii="Arial" w:cs="Arial" w:eastAsia="Arial" w:hAnsi="Arial"/>
                <w:sz w:val="17"/>
                <w:szCs w:val="17"/>
                <w:color w:val="0000FF"/>
                <w:w w:val="89"/>
              </w:rPr>
              <w:t>11/18/2021</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right="120"/>
              <w:spacing w:after="0"/>
              <w:rPr>
                <w:sz w:val="20"/>
                <w:szCs w:val="20"/>
                <w:color w:val="auto"/>
              </w:rPr>
            </w:pPr>
            <w:r>
              <w:rPr>
                <w:rFonts w:ascii="Arial" w:cs="Arial" w:eastAsia="Arial" w:hAnsi="Arial"/>
                <w:sz w:val="13"/>
                <w:szCs w:val="13"/>
                <w:color w:val="0000FF"/>
                <w:w w:val="91"/>
              </w:rPr>
              <w:t>S</w:t>
            </w:r>
          </w:p>
        </w:tc>
        <w:tc>
          <w:tcPr>
            <w:tcW w:w="200" w:type="dxa"/>
            <w:vAlign w:val="bottom"/>
          </w:tcPr>
          <w:p>
            <w:pPr>
              <w:spacing w:after="0"/>
              <w:rPr>
                <w:sz w:val="17"/>
                <w:szCs w:val="17"/>
                <w:color w:val="auto"/>
              </w:rPr>
            </w:pPr>
          </w:p>
        </w:tc>
        <w:tc>
          <w:tcPr>
            <w:tcW w:w="640" w:type="dxa"/>
            <w:vAlign w:val="bottom"/>
            <w:gridSpan w:val="2"/>
          </w:tcPr>
          <w:p>
            <w:pPr>
              <w:ind w:left="100"/>
              <w:spacing w:after="0"/>
              <w:rPr>
                <w:sz w:val="20"/>
                <w:szCs w:val="20"/>
                <w:color w:val="auto"/>
              </w:rPr>
            </w:pPr>
            <w:r>
              <w:rPr>
                <w:rFonts w:ascii="Arial" w:cs="Arial" w:eastAsia="Arial" w:hAnsi="Arial"/>
                <w:sz w:val="17"/>
                <w:szCs w:val="17"/>
                <w:color w:val="0000FF"/>
                <w:w w:val="84"/>
              </w:rPr>
              <w:t>168,795</w:t>
            </w:r>
          </w:p>
        </w:tc>
        <w:tc>
          <w:tcPr>
            <w:tcW w:w="52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jc w:val="right"/>
              <w:ind w:right="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ind w:left="40"/>
              <w:spacing w:after="0" w:line="203"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820" w:type="dxa"/>
            <w:vAlign w:val="bottom"/>
            <w:gridSpan w:val="3"/>
          </w:tcPr>
          <w:p>
            <w:pPr>
              <w:spacing w:after="0"/>
              <w:rPr>
                <w:sz w:val="20"/>
                <w:szCs w:val="20"/>
                <w:color w:val="auto"/>
              </w:rPr>
            </w:pPr>
            <w:r>
              <w:rPr>
                <w:rFonts w:ascii="Arial" w:cs="Arial" w:eastAsia="Arial" w:hAnsi="Arial"/>
                <w:sz w:val="17"/>
                <w:szCs w:val="17"/>
                <w:color w:val="0000FF"/>
              </w:rPr>
              <w:t>Gehl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rPr>
              <w:t>By the Jeff</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7"/>
                <w:szCs w:val="17"/>
                <w:color w:val="0000FF"/>
                <w:w w:val="84"/>
              </w:rPr>
              <w:t>168,795</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30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(4)</w:t>
            </w: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Arial" w:cs="Arial" w:eastAsia="Arial" w:hAnsi="Arial"/>
                <w:sz w:val="13"/>
                <w:szCs w:val="13"/>
                <w:color w:val="0000FF"/>
              </w:rPr>
              <w:t>P. Gehl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(2)(3)</w:t>
            </w:r>
          </w:p>
        </w:tc>
        <w:tc>
          <w:tcPr>
            <w:tcW w:w="1060" w:type="dxa"/>
            <w:vAlign w:val="bottom"/>
            <w:vMerge w:val="restart"/>
          </w:tcPr>
          <w:p>
            <w:pPr>
              <w:jc w:val="right"/>
              <w:ind w:right="181"/>
              <w:spacing w:after="0"/>
              <w:rPr>
                <w:sz w:val="20"/>
                <w:szCs w:val="20"/>
                <w:color w:val="auto"/>
              </w:rPr>
            </w:pPr>
            <w:r>
              <w:rPr>
                <w:rFonts w:ascii="Arial" w:cs="Arial" w:eastAsia="Arial" w:hAnsi="Arial"/>
                <w:sz w:val="13"/>
                <w:szCs w:val="13"/>
                <w:color w:val="0000FF"/>
              </w:rPr>
              <w:t>11/18/2021</w:t>
            </w:r>
          </w:p>
        </w:tc>
        <w:tc>
          <w:tcPr>
            <w:tcW w:w="1080" w:type="dxa"/>
            <w:vAlign w:val="bottom"/>
          </w:tcPr>
          <w:p>
            <w:pPr>
              <w:spacing w:after="0"/>
              <w:rPr>
                <w:sz w:val="7"/>
                <w:szCs w:val="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940" w:type="dxa"/>
            <w:vAlign w:val="bottom"/>
            <w:vMerge w:val="restart"/>
          </w:tcPr>
          <w:p>
            <w:pPr>
              <w:ind w:left="400"/>
              <w:spacing w:after="0"/>
              <w:rPr>
                <w:sz w:val="20"/>
                <w:szCs w:val="20"/>
                <w:color w:val="auto"/>
              </w:rPr>
            </w:pPr>
            <w:r>
              <w:rPr>
                <w:rFonts w:ascii="Arial" w:cs="Arial" w:eastAsia="Arial" w:hAnsi="Arial"/>
                <w:sz w:val="13"/>
                <w:szCs w:val="13"/>
                <w:color w:val="0000FF"/>
              </w:rPr>
              <w:t>168,795</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9"/>
              </w:rPr>
              <w:t>(2)(3)</w:t>
            </w:r>
          </w:p>
        </w:tc>
        <w:tc>
          <w:tcPr>
            <w:tcW w:w="20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color w:val="008000"/>
              </w:rPr>
              <w:t>(2)(3)</w:t>
            </w: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color w:val="008000"/>
              </w:rPr>
              <w:t>(2)(3)</w:t>
            </w: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4,261,939</w:t>
            </w: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Living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(1)</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right w:val="single" w:sz="8" w:color="2C2C2C"/>
            </w:tcBorders>
            <w:gridSpan w:val="3"/>
          </w:tcPr>
          <w:p>
            <w:pPr>
              <w:ind w:left="140"/>
              <w:spacing w:after="0" w:line="140" w:lineRule="exact"/>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-1831340</wp:posOffset>
            </wp:positionV>
            <wp:extent cx="28575" cy="1836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64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60"/>
        <w:spacing w:after="0" w:line="287"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Form 4 is being filed by Jeff P. Gehl and the Jeff P. Gehl Living Trust (the "Gehl Trust" and together with Mr. Gehl, the "Reporting Persons"). The Reporting Persons are members of a Section 13(d) group that collectively beneficially owns more than 10% of the Issuer's outstanding Common Stock. The securities reported herein do not include any securities held by any group member other than the Reporting Persons, as such securities are being reported in separate Form 4 filings. The Reporting Persons disclaim beneficial ownership of the securities of the Issuer reported herein, except to the extent of his or its pecuniary interest therein, and the filing of this Form 4 shall not be construed as an admission that the Reporting Persons are the beneficial owners of the securities of the Issuer reported herein.</w:t>
      </w:r>
    </w:p>
    <w:p>
      <w:pPr>
        <w:spacing w:after="0" w:line="6" w:lineRule="exact"/>
        <w:rPr>
          <w:rFonts w:ascii="Arial" w:cs="Arial" w:eastAsia="Arial" w:hAnsi="Arial"/>
          <w:sz w:val="11"/>
          <w:szCs w:val="11"/>
          <w:color w:val="008000"/>
        </w:rPr>
      </w:pPr>
    </w:p>
    <w:p>
      <w:pPr>
        <w:ind w:left="40" w:right="30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7" w:lineRule="exact"/>
        <w:rPr>
          <w:rFonts w:ascii="Arial" w:cs="Arial" w:eastAsia="Arial" w:hAnsi="Arial"/>
          <w:sz w:val="13"/>
          <w:szCs w:val="13"/>
          <w:color w:val="008000"/>
        </w:rPr>
      </w:pPr>
    </w:p>
    <w:p>
      <w:pPr>
        <w:ind w:left="40" w:right="160"/>
        <w:spacing w:after="0" w:line="23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18, 2021, each Reporting Person directed the sale of shares of Class B Common Stock, as reported herein, resulting in the automatic conversion of the shares into Class A Common Stock upon execution of the sale.</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securities of the Issuer owned directly by the Gehl Trust. As trustee of the Gehl Trust, Mr. Gehl may be deemed to beneficially own the securities of the Issuer owned directly by the Gehl Trust.</w:t>
      </w:r>
    </w:p>
    <w:p>
      <w:pPr>
        <w:spacing w:after="0" w:line="79"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-12700</wp:posOffset>
            </wp:positionV>
            <wp:extent cx="1019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4"/>
          <w:szCs w:val="14"/>
          <w:color w:val="0000FF"/>
        </w:rPr>
        <w:t>11/22/2021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873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773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52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2021-11-22T18:22:14Z</dcterms:created>
  <dcterms:modified xsi:type="dcterms:W3CDTF">2021-11-22T18:22:14Z</dcterms:modified>
</cp:coreProperties>
</file>