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45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Poston Edwin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03/08/2025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76"/>
        <w:spacing w:after="0"/>
        <w:rPr>
          <w:sz w:val="20"/>
          <w:szCs w:val="20"/>
          <w:color w:val="auto"/>
        </w:rPr>
      </w:pPr>
      <w:r>
        <w:rPr>
          <w:rFonts w:ascii="Times New Roman" w:cs="Times New Roman" w:eastAsia="Times New Roman" w:hAnsi="Times New Roman"/>
          <w:sz w:val="17"/>
          <w:szCs w:val="17"/>
          <w:color w:val="0000FF"/>
        </w:rPr>
        <w:t>See remarks</w:t>
      </w:r>
    </w:p>
    <w:p>
      <w:pPr>
        <w:spacing w:after="0" w:line="441"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16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608"/>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608"/>
              <w:spacing w:after="0"/>
              <w:rPr>
                <w:sz w:val="20"/>
                <w:szCs w:val="20"/>
                <w:color w:val="auto"/>
              </w:rPr>
            </w:pPr>
            <w:r>
              <w:rPr>
                <w:rFonts w:ascii="Times New Roman" w:cs="Times New Roman" w:eastAsia="Times New Roman" w:hAnsi="Times New Roman"/>
                <w:sz w:val="17"/>
                <w:szCs w:val="17"/>
                <w:color w:val="0000FF"/>
                <w:w w:val="95"/>
              </w:rPr>
              <w:t>03/08/2025</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107,948</w:t>
            </w:r>
          </w:p>
        </w:tc>
        <w:tc>
          <w:tcPr>
            <w:tcW w:w="5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107,948</w:t>
            </w:r>
          </w:p>
        </w:tc>
        <w:tc>
          <w:tcPr>
            <w:tcW w:w="920" w:type="dxa"/>
            <w:vAlign w:val="bottom"/>
            <w:tcBorders>
              <w:bottom w:val="single" w:sz="8" w:color="2C2C2C"/>
            </w:tcBorders>
          </w:tcPr>
          <w:p>
            <w:pPr>
              <w:jc w:val="center"/>
              <w:ind w:left="6"/>
              <w:spacing w:after="0" w:line="306"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(2)</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608"/>
              <w:spacing w:after="0"/>
              <w:rPr>
                <w:sz w:val="20"/>
                <w:szCs w:val="20"/>
                <w:color w:val="auto"/>
              </w:rPr>
            </w:pPr>
            <w:r>
              <w:rPr>
                <w:rFonts w:ascii="Times New Roman" w:cs="Times New Roman" w:eastAsia="Times New Roman" w:hAnsi="Times New Roman"/>
                <w:sz w:val="17"/>
                <w:szCs w:val="17"/>
                <w:color w:val="0000FF"/>
                <w:w w:val="95"/>
              </w:rPr>
              <w:t>03/08/2025</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47,446</w:t>
            </w:r>
          </w:p>
        </w:tc>
        <w:tc>
          <w:tcPr>
            <w:tcW w:w="5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12.61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60,502</w:t>
            </w:r>
          </w:p>
        </w:tc>
        <w:tc>
          <w:tcPr>
            <w:tcW w:w="920" w:type="dxa"/>
            <w:vAlign w:val="bottom"/>
            <w:tcBorders>
              <w:bottom w:val="single" w:sz="8" w:color="2C2C2C"/>
            </w:tcBorders>
          </w:tcPr>
          <w:p>
            <w:pPr>
              <w:jc w:val="center"/>
              <w:ind w:left="6"/>
              <w:spacing w:after="0" w:line="306"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(2)</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TrueBridge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1,521,522</w:t>
            </w:r>
          </w:p>
        </w:tc>
        <w:tc>
          <w:tcPr>
            <w:tcW w:w="920" w:type="dxa"/>
            <w:vAlign w:val="bottom"/>
            <w:vMerge w:val="restart"/>
          </w:tcPr>
          <w:p>
            <w:pPr>
              <w:jc w:val="center"/>
              <w:ind w:left="6"/>
              <w:spacing w:after="0" w:line="369" w:lineRule="exact"/>
              <w:rPr>
                <w:sz w:val="20"/>
                <w:szCs w:val="20"/>
                <w:color w:val="auto"/>
              </w:rPr>
            </w:pPr>
            <w:r>
              <w:rPr>
                <w:rFonts w:ascii="Times New Roman" w:cs="Times New Roman" w:eastAsia="Times New Roman" w:hAnsi="Times New Roman"/>
                <w:sz w:val="33"/>
                <w:szCs w:val="33"/>
                <w:color w:val="0000FF"/>
                <w:w w:val="89"/>
                <w:vertAlign w:val="subscript"/>
              </w:rPr>
              <w:t>I</w:t>
            </w:r>
            <w:r>
              <w:rPr>
                <w:rFonts w:ascii="Times New Roman" w:cs="Times New Roman" w:eastAsia="Times New Roman" w:hAnsi="Times New Roman"/>
                <w:sz w:val="11"/>
                <w:szCs w:val="11"/>
                <w:color w:val="008000"/>
                <w:w w:val="89"/>
              </w:rPr>
              <w:t>(3)</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Colonial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Fund, U/A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11/15/2015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Edwin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521,664</w:t>
            </w:r>
          </w:p>
        </w:tc>
        <w:tc>
          <w:tcPr>
            <w:tcW w:w="920" w:type="dxa"/>
            <w:vAlign w:val="bottom"/>
            <w:vMerge w:val="restart"/>
          </w:tcPr>
          <w:p>
            <w:pPr>
              <w:jc w:val="center"/>
              <w:ind w:left="6"/>
              <w:spacing w:after="0" w:line="369" w:lineRule="exact"/>
              <w:rPr>
                <w:sz w:val="20"/>
                <w:szCs w:val="20"/>
                <w:color w:val="auto"/>
              </w:rPr>
            </w:pPr>
            <w:r>
              <w:rPr>
                <w:rFonts w:ascii="Times New Roman" w:cs="Times New Roman" w:eastAsia="Times New Roman" w:hAnsi="Times New Roman"/>
                <w:sz w:val="33"/>
                <w:szCs w:val="33"/>
                <w:color w:val="0000FF"/>
                <w:w w:val="89"/>
                <w:vertAlign w:val="subscript"/>
              </w:rPr>
              <w:t>I</w:t>
            </w:r>
            <w:r>
              <w:rPr>
                <w:rFonts w:ascii="Times New Roman" w:cs="Times New Roman" w:eastAsia="Times New Roman" w:hAnsi="Times New Roman"/>
                <w:sz w:val="11"/>
                <w:szCs w:val="11"/>
                <w:color w:val="008000"/>
                <w:w w:val="89"/>
              </w:rPr>
              <w:t>(4)</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 Poston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608"/>
              <w:spacing w:after="0"/>
              <w:rPr>
                <w:sz w:val="20"/>
                <w:szCs w:val="20"/>
                <w:color w:val="auto"/>
              </w:rPr>
            </w:pPr>
            <w:r>
              <w:rPr>
                <w:rFonts w:ascii="Times New Roman" w:cs="Times New Roman" w:eastAsia="Times New Roman" w:hAnsi="Times New Roman"/>
                <w:sz w:val="17"/>
                <w:szCs w:val="17"/>
                <w:color w:val="0000FF"/>
                <w:w w:val="95"/>
              </w:rPr>
              <w:t>03/08/2025</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71,965</w:t>
            </w:r>
          </w:p>
        </w:tc>
        <w:tc>
          <w:tcPr>
            <w:tcW w:w="5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126,149</w:t>
            </w:r>
          </w:p>
        </w:tc>
        <w:tc>
          <w:tcPr>
            <w:tcW w:w="920" w:type="dxa"/>
            <w:vAlign w:val="bottom"/>
            <w:tcBorders>
              <w:bottom w:val="single" w:sz="8" w:color="2C2C2C"/>
            </w:tcBorders>
          </w:tcPr>
          <w:p>
            <w:pPr>
              <w:jc w:val="center"/>
              <w:ind w:left="6"/>
              <w:spacing w:after="0" w:line="306"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(5)</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608"/>
              <w:spacing w:after="0"/>
              <w:rPr>
                <w:sz w:val="20"/>
                <w:szCs w:val="20"/>
                <w:color w:val="auto"/>
              </w:rPr>
            </w:pPr>
            <w:r>
              <w:rPr>
                <w:rFonts w:ascii="Times New Roman" w:cs="Times New Roman" w:eastAsia="Times New Roman" w:hAnsi="Times New Roman"/>
                <w:sz w:val="17"/>
                <w:szCs w:val="17"/>
                <w:color w:val="0000FF"/>
                <w:w w:val="95"/>
              </w:rPr>
              <w:t>03/08/2025</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31,631</w:t>
            </w:r>
          </w:p>
        </w:tc>
        <w:tc>
          <w:tcPr>
            <w:tcW w:w="5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12.61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94,518</w:t>
            </w:r>
          </w:p>
        </w:tc>
        <w:tc>
          <w:tcPr>
            <w:tcW w:w="920" w:type="dxa"/>
            <w:vAlign w:val="bottom"/>
            <w:tcBorders>
              <w:bottom w:val="single" w:sz="8" w:color="2C2C2C"/>
            </w:tcBorders>
          </w:tcPr>
          <w:p>
            <w:pPr>
              <w:jc w:val="center"/>
              <w:ind w:left="6"/>
              <w:spacing w:after="0" w:line="306"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(5)</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Mel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Williams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4,294,857</w:t>
            </w:r>
          </w:p>
        </w:tc>
        <w:tc>
          <w:tcPr>
            <w:tcW w:w="920" w:type="dxa"/>
            <w:vAlign w:val="bottom"/>
          </w:tcPr>
          <w:p>
            <w:pPr>
              <w:jc w:val="center"/>
              <w:ind w:left="6"/>
              <w:spacing w:after="0" w:line="20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(6)</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 u/a/d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August 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107,948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03/08/2025</w:t>
            </w:r>
          </w:p>
        </w:tc>
        <w:tc>
          <w:tcPr>
            <w:tcW w:w="1060" w:type="dxa"/>
            <w:vAlign w:val="bottom"/>
          </w:tcPr>
          <w:p>
            <w:pPr>
              <w:spacing w:after="0"/>
              <w:rPr>
                <w:sz w:val="12"/>
                <w:szCs w:val="12"/>
                <w:color w:val="auto"/>
              </w:rPr>
            </w:pPr>
          </w:p>
        </w:tc>
        <w:tc>
          <w:tcPr>
            <w:tcW w:w="780" w:type="dxa"/>
            <w:vAlign w:val="bottom"/>
            <w:gridSpan w:val="2"/>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860" w:type="dxa"/>
            <w:vAlign w:val="bottom"/>
          </w:tcPr>
          <w:p>
            <w:pPr>
              <w:jc w:val="right"/>
              <w:ind w:right="1"/>
              <w:spacing w:after="0" w:line="140" w:lineRule="exact"/>
              <w:rPr>
                <w:sz w:val="20"/>
                <w:szCs w:val="20"/>
                <w:color w:val="auto"/>
              </w:rPr>
            </w:pPr>
            <w:r>
              <w:rPr>
                <w:rFonts w:ascii="Times New Roman" w:cs="Times New Roman" w:eastAsia="Times New Roman" w:hAnsi="Times New Roman"/>
                <w:sz w:val="13"/>
                <w:szCs w:val="13"/>
                <w:color w:val="0000FF"/>
              </w:rPr>
              <w:t>107,948</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4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71,965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03/08/2025</w:t>
            </w:r>
          </w:p>
        </w:tc>
        <w:tc>
          <w:tcPr>
            <w:tcW w:w="1060" w:type="dxa"/>
            <w:vAlign w:val="bottom"/>
          </w:tcPr>
          <w:p>
            <w:pPr>
              <w:spacing w:after="0"/>
              <w:rPr>
                <w:sz w:val="12"/>
                <w:szCs w:val="12"/>
                <w:color w:val="auto"/>
              </w:rPr>
            </w:pPr>
          </w:p>
        </w:tc>
        <w:tc>
          <w:tcPr>
            <w:tcW w:w="780" w:type="dxa"/>
            <w:vAlign w:val="bottom"/>
            <w:gridSpan w:val="2"/>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860" w:type="dxa"/>
            <w:vAlign w:val="bottom"/>
          </w:tcPr>
          <w:p>
            <w:pPr>
              <w:jc w:val="right"/>
              <w:ind w:right="41"/>
              <w:spacing w:after="0" w:line="140" w:lineRule="exact"/>
              <w:rPr>
                <w:sz w:val="20"/>
                <w:szCs w:val="20"/>
                <w:color w:val="auto"/>
              </w:rPr>
            </w:pPr>
            <w:r>
              <w:rPr>
                <w:rFonts w:ascii="Times New Roman" w:cs="Times New Roman" w:eastAsia="Times New Roman" w:hAnsi="Times New Roman"/>
                <w:sz w:val="13"/>
                <w:szCs w:val="13"/>
                <w:color w:val="0000FF"/>
              </w:rPr>
              <w:t>71,965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4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808080"/>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Poston Edwin A.</w:t>
        </w:r>
      </w:hyperlink>
    </w:p>
    <w:p>
      <w:pPr>
        <w:sectPr>
          <w:pgSz w:w="11900" w:h="16838" w:orient="portrait"/>
          <w:cols w:equalWidth="0" w:num="1">
            <w:col w:w="11080"/>
          </w:cols>
          <w:pgMar w:left="460" w:top="216" w:right="359" w:bottom="0" w:gutter="0" w:footer="0" w:header="0"/>
          <w:type w:val="continuous"/>
        </w:sectPr>
      </w:pPr>
    </w:p>
    <w:p>
      <w:pPr>
        <w:spacing w:after="0" w:line="295"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C/O 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-115570</wp:posOffset>
            </wp:positionV>
            <wp:extent cx="2806700" cy="2778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6700" cy="2778125"/>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2"/>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1280" w:type="dxa"/>
            <w:vAlign w:val="bottom"/>
            <w:gridSpan w:val="3"/>
          </w:tcPr>
          <w:p>
            <w:pPr>
              <w:ind w:left="20"/>
              <w:spacing w:after="0" w:line="216"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Williams Mel</w:t>
              </w:r>
            </w:hyperlink>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1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5"/>
        </w:trPr>
        <w:tc>
          <w:tcPr>
            <w:tcW w:w="80" w:type="dxa"/>
            <w:vAlign w:val="bottom"/>
          </w:tcPr>
          <w:p>
            <w:pPr>
              <w:spacing w:after="0"/>
              <w:rPr>
                <w:sz w:val="22"/>
                <w:szCs w:val="22"/>
                <w:color w:val="auto"/>
              </w:rPr>
            </w:pPr>
          </w:p>
        </w:tc>
        <w:tc>
          <w:tcPr>
            <w:tcW w:w="2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Poston.</w:t>
      </w:r>
    </w:p>
    <w:p>
      <w:pPr>
        <w:spacing w:after="0" w:line="41" w:lineRule="exact"/>
        <w:rPr>
          <w:rFonts w:ascii="Times New Roman" w:cs="Times New Roman" w:eastAsia="Times New Roman" w:hAnsi="Times New Roman"/>
          <w:sz w:val="13"/>
          <w:szCs w:val="13"/>
          <w:color w:val="008000"/>
        </w:rPr>
      </w:pPr>
    </w:p>
    <w:p>
      <w:pPr>
        <w:ind w:left="20" w:right="60"/>
        <w:spacing w:after="0" w:line="267" w:lineRule="auto"/>
        <w:tabs>
          <w:tab w:leader="none" w:pos="1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of the Issuer owned indirectly by TrueBridge Colonial Fund, U/A dated 11/15/2015 ("TrueBridge Colonial"). First Republic Trust Company of Delaware, as trustee of TrueBridge Colonial, may be deemed to beneficially own the securities of the Issuer owned indirectly by TrueBridge Colonial. Mr. Poston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0" w:lineRule="exact"/>
        <w:rPr>
          <w:rFonts w:ascii="Times New Roman" w:cs="Times New Roman" w:eastAsia="Times New Roman" w:hAnsi="Times New Roman"/>
          <w:sz w:val="12"/>
          <w:szCs w:val="12"/>
          <w:color w:val="008000"/>
        </w:rPr>
      </w:pPr>
    </w:p>
    <w:p>
      <w:pPr>
        <w:ind w:left="2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Edwin A. Poston Revocable Trust (the "Poston Trust"). Mr. Poston, as sole trustee of the Poston Trust, may be deemed to beneficially own the securities of the Issuer owned indirectly by TrueBridge Colonial. Mr. Poston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6"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Williams.</w:t>
      </w:r>
    </w:p>
    <w:p>
      <w:pPr>
        <w:spacing w:after="0" w:line="41" w:lineRule="exact"/>
        <w:rPr>
          <w:rFonts w:ascii="Times New Roman" w:cs="Times New Roman" w:eastAsia="Times New Roman" w:hAnsi="Times New Roman"/>
          <w:sz w:val="13"/>
          <w:szCs w:val="13"/>
          <w:color w:val="008000"/>
        </w:rPr>
      </w:pPr>
    </w:p>
    <w:p>
      <w:pPr>
        <w:ind w:left="20" w:right="2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Mel Williams Irrevocable Trust u/a/d August 12, 2015 (The "Mel Trust"). Alliance Trust Company, as trustee of the Mel Trust, may be deemed to beneficially own the securities of the Issuer owned directly by the Mel Trust. Mr. Williams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6"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8, 2024, Mr. Poston was granted a total of 107,948 RSUs, all of which vested on the first anniversary of the grant date.</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8, 2024, Mr. Williams was granted a total of 71,965 RSUs, all of which vested on the first anniversary of the grant date.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20" w:right="20"/>
        <w:spacing w:after="0" w:line="235" w:lineRule="auto"/>
        <w:rPr>
          <w:sz w:val="20"/>
          <w:szCs w:val="20"/>
          <w:color w:val="auto"/>
        </w:rPr>
      </w:pPr>
      <w:r>
        <w:rPr>
          <w:rFonts w:ascii="Times New Roman" w:cs="Times New Roman" w:eastAsia="Times New Roman" w:hAnsi="Times New Roman"/>
          <w:sz w:val="13"/>
          <w:szCs w:val="13"/>
          <w:color w:val="008000"/>
        </w:rPr>
        <w:t>This Form 4 is being filed by Edwin Poston and Mel Williams (collectively, the "Reporting Persons"). The Reporting Persons are members of a Section 13(d) group that collectively beneficially owns more than 10% of the Issuer's common stock. Each of the Reporting Persons disclaims beneficial ownership of the securities of the Issuer reported herein, except to the extent of his pecuniary interest therein, and the filing of this Form 4 shall not be construed as an admission that the Reporting Persons are beneficial owners of the securities of the Issuer reported herein. In addition, Mr. Poston serves as a director on the Board of Directors of the Issuer.</w:t>
      </w:r>
    </w:p>
    <w:p>
      <w:pPr>
        <w:sectPr>
          <w:pgSz w:w="11900" w:h="16838" w:orient="portrait"/>
          <w:cols w:equalWidth="0" w:num="1">
            <w:col w:w="10900"/>
          </w:cols>
          <w:pgMar w:left="480" w:top="127" w:right="519" w:bottom="1440" w:gutter="0" w:footer="0" w:header="0"/>
        </w:sectPr>
      </w:pPr>
    </w:p>
    <w:p>
      <w:pPr>
        <w:spacing w:after="0" w:line="5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-10160</wp:posOffset>
            </wp:positionV>
            <wp:extent cx="946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1009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Reporting Persons, /s/ Dominic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319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-17780</wp:posOffset>
            </wp:positionV>
            <wp:extent cx="233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4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660" w:space="120"/>
            <w:col w:w="2120"/>
          </w:cols>
          <w:pgMar w:left="480" w:top="127" w:right="5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540"/>
        <w:spacing w:after="0" w:line="332"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890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2025-03-11T10:21:37Z</dcterms:created>
  <dcterms:modified xsi:type="dcterms:W3CDTF">2025-03-11T10:21:37Z</dcterms:modified>
</cp:coreProperties>
</file>