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480"/>
        <w:spacing w:after="0" w:line="238" w:lineRule="auto"/>
        <w:rPr>
          <w:sz w:val="20"/>
          <w:szCs w:val="20"/>
          <w:color w:val="auto"/>
        </w:rPr>
      </w:pPr>
      <w:r>
        <w:rPr>
          <w:rFonts w:ascii="Courier New" w:cs="Courier New" w:eastAsia="Courier New" w:hAnsi="Courier New"/>
          <w:sz w:val="18"/>
          <w:szCs w:val="18"/>
          <w:color w:val="auto"/>
        </w:rPr>
        <w:t>Final Amendment</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Active Power, Inc.</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00504W100</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31, 2000</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|X|</w:t>
            </w:r>
          </w:p>
        </w:tc>
        <w:tc>
          <w:tcPr>
            <w:tcW w:w="148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6"/>
              </w:rPr>
              <w:t>Rule 13d-1(b)</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13d-1(c)</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13d-1(d)</w:t>
            </w:r>
          </w:p>
        </w:tc>
      </w:tr>
    </w:tbl>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6 Pages</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CUSIP No. 00504W100</w:t>
      </w:r>
      <w:r>
        <w:rPr>
          <w:sz w:val="20"/>
          <w:szCs w:val="20"/>
          <w:color w:val="auto"/>
        </w:rPr>
        <w:tab/>
      </w:r>
      <w:r>
        <w:rPr>
          <w:rFonts w:ascii="Courier New" w:cs="Courier New" w:eastAsia="Courier New" w:hAnsi="Courier New"/>
          <w:sz w:val="16"/>
          <w:szCs w:val="16"/>
          <w:color w:val="auto"/>
        </w:rPr>
        <w:t>Page 2 of 6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1160" w:hanging="1152"/>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Gilder, Gagnon, Howe &amp; Co. LLC</w:t>
      </w:r>
    </w:p>
    <w:p>
      <w:pPr>
        <w:ind w:left="1160"/>
        <w:spacing w:after="0" w:line="238" w:lineRule="auto"/>
        <w:rPr>
          <w:sz w:val="20"/>
          <w:szCs w:val="20"/>
          <w:color w:val="auto"/>
        </w:rPr>
      </w:pPr>
      <w:r>
        <w:rPr>
          <w:rFonts w:ascii="Courier New" w:cs="Courier New" w:eastAsia="Courier New" w:hAnsi="Courier New"/>
          <w:sz w:val="18"/>
          <w:szCs w:val="18"/>
          <w:color w:val="auto"/>
        </w:rPr>
        <w:t>13-3174112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1140" w:val="left"/>
          <w:tab w:leader="none" w:pos="7040" w:val="left"/>
          <w:tab w:leader="none" w:pos="76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7060"/>
        <w:spacing w:after="0" w:line="238" w:lineRule="auto"/>
        <w:tabs>
          <w:tab w:leader="none" w:pos="76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|_|</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160" w:hanging="1152"/>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160" w:hanging="1152"/>
        <w:spacing w:after="0"/>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160"/>
        <w:spacing w:after="0"/>
        <w:tabs>
          <w:tab w:leader="none" w:pos="3880" w:val="left"/>
          <w:tab w:leader="none" w:pos="462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SOLE VOTING POWER</w:t>
      </w:r>
    </w:p>
    <w:p>
      <w:pPr>
        <w:sectPr>
          <w:pgSz w:w="11900" w:h="16838" w:orient="portrait"/>
          <w:cols w:equalWidth="0" w:num="1">
            <w:col w:w="10219"/>
          </w:cols>
          <w:pgMar w:left="240" w:top="447" w:right="1440" w:bottom="0" w:gutter="0" w:footer="0" w:header="0"/>
        </w:sectPr>
      </w:pPr>
    </w:p>
    <w:bookmarkStart w:id="1" w:name="page2"/>
    <w:bookmarkEnd w:id="1"/>
    <w:tbl>
      <w:tblPr>
        <w:tblLayout w:type="fixed"/>
        <w:tblInd w:w="116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158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5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5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w:t>
            </w:r>
          </w:p>
        </w:tc>
      </w:tr>
    </w:tbl>
    <w:p>
      <w:pPr>
        <w:spacing w:after="0" w:line="4" w:lineRule="exact"/>
        <w:rPr>
          <w:sz w:val="20"/>
          <w:szCs w:val="20"/>
          <w:color w:val="auto"/>
        </w:rPr>
      </w:pPr>
    </w:p>
    <w:p>
      <w:pPr>
        <w:ind w:left="4640" w:right="3039" w:hanging="734"/>
        <w:spacing w:after="0" w:line="235" w:lineRule="auto"/>
        <w:tabs>
          <w:tab w:leader="none" w:pos="46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1,887,419</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hanging="1152"/>
        <w:spacing w:after="0"/>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1,887,419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hanging="1152"/>
        <w:spacing w:after="0"/>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hanging="1152"/>
        <w:spacing w:after="0"/>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4.9%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hanging="1152"/>
        <w:spacing w:after="0"/>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BD</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0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11525 Stonehollow Drive</w:t>
      </w:r>
    </w:p>
    <w:p>
      <w:pPr>
        <w:spacing w:after="0" w:line="238" w:lineRule="auto"/>
        <w:rPr>
          <w:sz w:val="20"/>
          <w:szCs w:val="20"/>
          <w:color w:val="auto"/>
        </w:rPr>
      </w:pPr>
      <w:r>
        <w:rPr>
          <w:rFonts w:ascii="Courier New" w:cs="Courier New" w:eastAsia="Courier New" w:hAnsi="Courier New"/>
          <w:sz w:val="18"/>
          <w:szCs w:val="18"/>
          <w:color w:val="auto"/>
        </w:rPr>
        <w:t>Suite 110</w:t>
      </w:r>
    </w:p>
    <w:p>
      <w:pPr>
        <w:spacing w:after="0"/>
        <w:tabs>
          <w:tab w:leader="none" w:pos="1260" w:val="left"/>
        </w:tabs>
        <w:rPr>
          <w:sz w:val="20"/>
          <w:szCs w:val="20"/>
          <w:color w:val="auto"/>
        </w:rPr>
      </w:pPr>
      <w:r>
        <w:rPr>
          <w:rFonts w:ascii="Courier New" w:cs="Courier New" w:eastAsia="Courier New" w:hAnsi="Courier New"/>
          <w:sz w:val="18"/>
          <w:szCs w:val="18"/>
          <w:color w:val="auto"/>
        </w:rPr>
        <w:t>Austin, TX</w:t>
      </w:r>
      <w:r>
        <w:rPr>
          <w:sz w:val="20"/>
          <w:szCs w:val="20"/>
          <w:color w:val="auto"/>
        </w:rPr>
        <w:tab/>
      </w:r>
      <w:r>
        <w:rPr>
          <w:rFonts w:ascii="Courier New" w:cs="Courier New" w:eastAsia="Courier New" w:hAnsi="Courier New"/>
          <w:sz w:val="16"/>
          <w:szCs w:val="16"/>
          <w:color w:val="auto"/>
        </w:rPr>
        <w:t>78758</w:t>
      </w:r>
    </w:p>
    <w:p>
      <w:pPr>
        <w:spacing w:after="0" w:line="20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Gilder, Gagnon, Howe &amp; Co. LLC</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1775 Broadway, 26th Floor</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10019</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6960" w:type="dxa"/>
            <w:vAlign w:val="bottom"/>
          </w:tcPr>
          <w:p>
            <w:pPr>
              <w:ind w:left="42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00504W100</w:t>
            </w:r>
          </w:p>
        </w:tc>
        <w:tc>
          <w:tcPr>
            <w:tcW w:w="6960" w:type="dxa"/>
            <w:vAlign w:val="bottom"/>
          </w:tcPr>
          <w:p>
            <w:pPr>
              <w:spacing w:after="0"/>
              <w:rPr>
                <w:sz w:val="24"/>
                <w:szCs w:val="24"/>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6960" w:type="dxa"/>
            <w:vAlign w:val="bottom"/>
          </w:tcPr>
          <w:p>
            <w:pPr>
              <w:ind w:left="420"/>
              <w:spacing w:after="0"/>
              <w:rPr>
                <w:sz w:val="20"/>
                <w:szCs w:val="20"/>
                <w:color w:val="auto"/>
              </w:rPr>
            </w:pPr>
            <w:r>
              <w:rPr>
                <w:rFonts w:ascii="Courier New" w:cs="Courier New" w:eastAsia="Courier New" w:hAnsi="Courier New"/>
                <w:sz w:val="18"/>
                <w:szCs w:val="18"/>
                <w:color w:val="auto"/>
                <w:w w:val="97"/>
              </w:rPr>
              <w:t>If this statement is filed pursuant  toss.ss.240.13d-1(b),  or</w:t>
            </w:r>
          </w:p>
        </w:tc>
      </w:tr>
      <w:tr>
        <w:trPr>
          <w:trHeight w:val="203"/>
        </w:trPr>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860" w:right="1779" w:hanging="956"/>
        <w:spacing w:after="0" w:line="235" w:lineRule="auto"/>
        <w:tabs>
          <w:tab w:leader="none" w:pos="233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860" w:right="1779" w:hanging="956"/>
        <w:spacing w:after="0" w:line="235" w:lineRule="auto"/>
        <w:tabs>
          <w:tab w:leader="none" w:pos="233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 78c)</w:t>
      </w:r>
    </w:p>
    <w:p>
      <w:pPr>
        <w:spacing w:after="0" w:line="208" w:lineRule="exact"/>
        <w:rPr>
          <w:rFonts w:ascii="Courier New" w:cs="Courier New" w:eastAsia="Courier New" w:hAnsi="Courier New"/>
          <w:sz w:val="18"/>
          <w:szCs w:val="18"/>
          <w:color w:val="auto"/>
        </w:rPr>
      </w:pPr>
    </w:p>
    <w:p>
      <w:pPr>
        <w:ind w:left="2860" w:right="1779" w:hanging="956"/>
        <w:spacing w:after="0" w:line="235" w:lineRule="auto"/>
        <w:tabs>
          <w:tab w:leader="none" w:pos="233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Investment  Company registered under section 8 of the</w:t>
      </w:r>
    </w:p>
    <w:p>
      <w:pPr>
        <w:spacing w:after="0" w:line="16"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Investment Company Act of 1940 (15 U.S.C. 80a-8)</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(e) |_|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6"/>
          <w:szCs w:val="16"/>
          <w:color w:val="auto"/>
        </w:rPr>
        <w:t>Investment</w:t>
      </w:r>
      <w:r>
        <w:rPr>
          <w:sz w:val="20"/>
          <w:szCs w:val="20"/>
          <w:color w:val="auto"/>
        </w:rPr>
        <w:tab/>
      </w:r>
      <w:r>
        <w:rPr>
          <w:rFonts w:ascii="Courier New" w:cs="Courier New" w:eastAsia="Courier New" w:hAnsi="Courier New"/>
          <w:sz w:val="16"/>
          <w:szCs w:val="16"/>
          <w:color w:val="auto"/>
        </w:rPr>
        <w:t>Adviser</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in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accordance</w:t>
      </w:r>
    </w:p>
    <w:p>
      <w:pPr>
        <w:spacing w:after="0" w:line="20" w:lineRule="exact"/>
        <w:rPr>
          <w:sz w:val="20"/>
          <w:szCs w:val="20"/>
          <w:color w:val="auto"/>
        </w:rPr>
      </w:pPr>
    </w:p>
    <w:p>
      <w:pPr>
        <w:sectPr>
          <w:pgSz w:w="11900" w:h="16838" w:orient="portrait"/>
          <w:cols w:equalWidth="0" w:num="4">
            <w:col w:w="2640" w:space="220"/>
            <w:col w:w="2740" w:space="720"/>
            <w:col w:w="340" w:space="720"/>
            <w:col w:w="2839"/>
          </w:cols>
          <w:pgMar w:left="240" w:top="717"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6"/>
          <w:szCs w:val="16"/>
          <w:color w:val="auto"/>
        </w:rPr>
        <w:t>withss.240.13d-1(b)(1)(ii)(E)</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left="2860" w:right="1779" w:hanging="956"/>
        <w:spacing w:after="0" w:line="235" w:lineRule="auto"/>
        <w:tabs>
          <w:tab w:leader="none" w:pos="23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withss.240.13d-1(b)(1)(ii)(F)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type w:val="continuous"/>
        </w:sectPr>
      </w:pPr>
    </w:p>
    <w:bookmarkStart w:id="3" w:name="page4"/>
    <w:bookmarkEnd w:id="3"/>
    <w:p>
      <w:pPr>
        <w:ind w:left="2860" w:right="1779" w:hanging="956"/>
        <w:spacing w:after="0" w:line="235" w:lineRule="auto"/>
        <w:tabs>
          <w:tab w:leader="none" w:pos="23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Parent Holding Company or control person in accordance withss.240.13d-1(b)(ii)(G)</w:t>
      </w:r>
    </w:p>
    <w:p>
      <w:pPr>
        <w:spacing w:after="0" w:line="208" w:lineRule="exact"/>
        <w:rPr>
          <w:rFonts w:ascii="Courier New" w:cs="Courier New" w:eastAsia="Courier New" w:hAnsi="Courier New"/>
          <w:sz w:val="18"/>
          <w:szCs w:val="18"/>
          <w:color w:val="auto"/>
        </w:rPr>
      </w:pPr>
    </w:p>
    <w:p>
      <w:pPr>
        <w:ind w:left="2860" w:right="1779" w:hanging="956"/>
        <w:spacing w:after="0" w:line="235" w:lineRule="auto"/>
        <w:tabs>
          <w:tab w:leader="none" w:pos="23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Savings Association as defined inss.3(b) of the Federal Deposit Insurance Act (12 U.S.C. 1813)</w:t>
      </w:r>
    </w:p>
    <w:p>
      <w:pPr>
        <w:spacing w:after="0" w:line="208" w:lineRule="exact"/>
        <w:rPr>
          <w:rFonts w:ascii="Courier New" w:cs="Courier New" w:eastAsia="Courier New" w:hAnsi="Courier New"/>
          <w:sz w:val="18"/>
          <w:szCs w:val="18"/>
          <w:color w:val="auto"/>
        </w:rPr>
      </w:pPr>
    </w:p>
    <w:p>
      <w:pPr>
        <w:ind w:left="2860" w:right="1779" w:hanging="956"/>
        <w:spacing w:after="0" w:line="236" w:lineRule="auto"/>
        <w:tabs>
          <w:tab w:leader="none" w:pos="23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Church plan that is excluded from the definition of an investment company under ss.3(c)(15) of the Investment Company Act of 1940 (15 U.S.C. 80a-3)</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withss.240.13d-1(b)(ii)(J)</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860" w:hanging="956"/>
        <w:spacing w:after="0"/>
        <w:tabs>
          <w:tab w:leader="none" w:pos="2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1,887,419</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4.9%</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3800" w:right="1779" w:hanging="948"/>
        <w:spacing w:after="0" w:line="235" w:lineRule="auto"/>
        <w:tabs>
          <w:tab w:leader="none" w:pos="38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208" w:lineRule="exact"/>
        <w:rPr>
          <w:rFonts w:ascii="Courier New" w:cs="Courier New" w:eastAsia="Courier New" w:hAnsi="Courier New"/>
          <w:sz w:val="18"/>
          <w:szCs w:val="18"/>
          <w:color w:val="auto"/>
        </w:rPr>
      </w:pPr>
    </w:p>
    <w:p>
      <w:pPr>
        <w:ind w:left="3800" w:right="1779" w:hanging="948"/>
        <w:spacing w:after="0" w:line="235" w:lineRule="auto"/>
        <w:tabs>
          <w:tab w:leader="none" w:pos="38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208" w:lineRule="exact"/>
        <w:rPr>
          <w:rFonts w:ascii="Courier New" w:cs="Courier New" w:eastAsia="Courier New" w:hAnsi="Courier New"/>
          <w:sz w:val="18"/>
          <w:szCs w:val="18"/>
          <w:color w:val="auto"/>
        </w:rPr>
      </w:pPr>
    </w:p>
    <w:p>
      <w:pPr>
        <w:ind w:left="3800" w:right="1779" w:hanging="948"/>
        <w:spacing w:after="0" w:line="235" w:lineRule="auto"/>
        <w:tabs>
          <w:tab w:leader="none" w:pos="38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None</w:t>
      </w:r>
    </w:p>
    <w:p>
      <w:pPr>
        <w:spacing w:after="0" w:line="208" w:lineRule="exact"/>
        <w:rPr>
          <w:rFonts w:ascii="Courier New" w:cs="Courier New" w:eastAsia="Courier New" w:hAnsi="Courier New"/>
          <w:sz w:val="18"/>
          <w:szCs w:val="18"/>
          <w:color w:val="auto"/>
        </w:rPr>
      </w:pPr>
    </w:p>
    <w:p>
      <w:pPr>
        <w:ind w:left="3800" w:right="1779" w:hanging="948"/>
        <w:spacing w:after="0" w:line="235" w:lineRule="auto"/>
        <w:tabs>
          <w:tab w:leader="none" w:pos="38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1,887,419</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This statement is being filed to report the fact that as of the date hereof the reporting person has ceased to be beneficial owner of more than five percent of the class of securities.</w:t>
      </w:r>
    </w:p>
    <w:p>
      <w:pPr>
        <w:spacing w:after="0" w:line="209" w:lineRule="exact"/>
        <w:rPr>
          <w:sz w:val="20"/>
          <w:szCs w:val="20"/>
          <w:color w:val="auto"/>
        </w:rPr>
      </w:pPr>
    </w:p>
    <w:p>
      <w:pPr>
        <w:jc w:val="both"/>
        <w:ind w:left="1900" w:right="177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jc w:val="both"/>
        <w:ind w:left="1900" w:right="177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 w:name="page5"/>
    <w:bookmarkEnd w:id="4"/>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1779" w:firstLine="1369"/>
        <w:spacing w:after="0" w:line="236" w:lineRule="auto"/>
        <w:rPr>
          <w:sz w:val="20"/>
          <w:szCs w:val="20"/>
          <w:color w:val="auto"/>
        </w:rPr>
      </w:pPr>
      <w:r>
        <w:rPr>
          <w:rFonts w:ascii="Courier New" w:cs="Courier New" w:eastAsia="Courier New" w:hAnsi="Courier New"/>
          <w:sz w:val="18"/>
          <w:szCs w:val="18"/>
          <w:color w:val="auto"/>
        </w:rPr>
        <w:t>After reasonable inquiry and to the best knowledge and belief of the undersigned,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February 5, 2001</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ind w:left="62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3"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 Walter Weadock</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ind w:left="6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Walter Weadock, Member</w:t>
      </w:r>
    </w:p>
    <w:p>
      <w:pPr>
        <w:ind w:left="622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3"/>
    </w:lvl>
  </w:abstractNum>
  <w:abstractNum w:abstractNumId="2">
    <w:nsid w:val="7545E146"/>
    <w:multiLevelType w:val="hybridMultilevel"/>
    <w:lvl w:ilvl="0">
      <w:lvlJc w:val="left"/>
      <w:lvlText w:val="%1)"/>
      <w:numFmt w:val="decimal"/>
      <w:start w:val="4"/>
    </w:lvl>
  </w:abstractNum>
  <w:abstractNum w:abstractNumId="3">
    <w:nsid w:val="515F007C"/>
    <w:multiLevelType w:val="hybridMultilevel"/>
    <w:lvl w:ilvl="0">
      <w:lvlJc w:val="left"/>
      <w:lvlText w:val="-"/>
      <w:numFmt w:val="bullet"/>
      <w:start w:val="1"/>
    </w:lvl>
    <w:lvl w:ilvl="1">
      <w:lvlJc w:val="left"/>
      <w:lvlText w:val="%2)"/>
      <w:numFmt w:val="decimal"/>
      <w:start w:val="8"/>
    </w:lvl>
  </w:abstractNum>
  <w:abstractNum w:abstractNumId="4">
    <w:nsid w:val="5BD062C2"/>
    <w:multiLevelType w:val="hybridMultilevel"/>
    <w:lvl w:ilvl="0">
      <w:lvlJc w:val="left"/>
      <w:lvlText w:val="%1)"/>
      <w:numFmt w:val="decimal"/>
      <w:start w:val="9"/>
    </w:lvl>
  </w:abstractNum>
  <w:abstractNum w:abstractNumId="5">
    <w:nsid w:val="12200854"/>
    <w:multiLevelType w:val="hybridMultilevel"/>
    <w:lvl w:ilvl="0">
      <w:lvlJc w:val="left"/>
      <w:lvlText w:val="%1)"/>
      <w:numFmt w:val="decimal"/>
      <w:start w:val="10"/>
    </w:lvl>
  </w:abstractNum>
  <w:abstractNum w:abstractNumId="6">
    <w:nsid w:val="4DB127F8"/>
    <w:multiLevelType w:val="hybridMultilevel"/>
    <w:lvl w:ilvl="0">
      <w:lvlJc w:val="left"/>
      <w:lvlText w:val="%1)"/>
      <w:numFmt w:val="decimal"/>
      <w:start w:val="11"/>
    </w:lvl>
  </w:abstractNum>
  <w:abstractNum w:abstractNumId="7">
    <w:nsid w:val="216231B"/>
    <w:multiLevelType w:val="hybridMultilevel"/>
    <w:lvl w:ilvl="0">
      <w:lvlJc w:val="left"/>
      <w:lvlText w:val="%1)"/>
      <w:numFmt w:val="decimal"/>
      <w:start w:val="12"/>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6"/>
    </w:lvl>
  </w:abstractNum>
  <w:abstractNum w:abstractNumId="11">
    <w:nsid w:val="140E0F76"/>
    <w:multiLevelType w:val="hybridMultilevel"/>
    <w:lvl w:ilvl="0">
      <w:lvlJc w:val="left"/>
      <w:lvlText w:val="(%1)"/>
      <w:numFmt w:val="lowerLetter"/>
      <w:start w:val="7"/>
    </w:lvl>
  </w:abstractNum>
  <w:abstractNum w:abstractNumId="12">
    <w:nsid w:val="335225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2019-12-14T18:18:07Z</dcterms:created>
  <dcterms:modified xsi:type="dcterms:W3CDTF">2019-12-14T18:18:07Z</dcterms:modified>
</cp:coreProperties>
</file>