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126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P10,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5"/>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300"/>
              <w:spacing w:after="0"/>
              <w:rPr>
                <w:sz w:val="20"/>
                <w:szCs w:val="20"/>
                <w:color w:val="auto"/>
              </w:rPr>
            </w:pPr>
            <w:r>
              <w:rPr>
                <w:rFonts w:ascii="Arial" w:cs="Arial" w:eastAsia="Arial" w:hAnsi="Arial"/>
                <w:sz w:val="13"/>
                <w:szCs w:val="13"/>
                <w:color w:val="auto"/>
                <w:w w:val="93"/>
              </w:rPr>
              <w:t>below)</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12/16/2024</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See Remarks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2120" w:type="dxa"/>
            <w:vAlign w:val="bottom"/>
            <w:tcBorders>
              <w:bottom w:val="single" w:sz="8" w:color="808080"/>
            </w:tcBorders>
            <w:gridSpan w:val="4"/>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2900" w:type="dxa"/>
            <w:vAlign w:val="bottom"/>
            <w:tcBorders>
              <w:bottom w:val="single" w:sz="8" w:color="808080"/>
            </w:tcBorders>
            <w:gridSpan w:val="7"/>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Borders>
              <w:top w:val="single" w:sz="8" w:color="2C2C2C"/>
            </w:tcBorders>
          </w:tcPr>
          <w:p>
            <w:pPr>
              <w:spacing w:after="0"/>
              <w:rPr>
                <w:sz w:val="13"/>
                <w:szCs w:val="13"/>
                <w:color w:val="auto"/>
              </w:rPr>
            </w:pPr>
          </w:p>
        </w:tc>
        <w:tc>
          <w:tcPr>
            <w:tcW w:w="330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gridSpan w:val="5"/>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jc w:val="right"/>
              <w:ind w:right="1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gridSpan w:val="4"/>
          </w:tcPr>
          <w:p>
            <w:pPr>
              <w:ind w:left="580"/>
              <w:spacing w:after="0"/>
              <w:rPr>
                <w:sz w:val="20"/>
                <w:szCs w:val="20"/>
                <w:color w:val="auto"/>
              </w:rPr>
            </w:pPr>
            <w:r>
              <w:rPr>
                <w:rFonts w:ascii="Arial" w:cs="Arial" w:eastAsia="Arial" w:hAnsi="Arial"/>
                <w:sz w:val="11"/>
                <w:szCs w:val="11"/>
                <w:b w:val="1"/>
                <w:bCs w:val="1"/>
                <w:color w:val="auto"/>
              </w:rPr>
              <w:t>2. Transaction</w:t>
            </w:r>
          </w:p>
        </w:tc>
        <w:tc>
          <w:tcPr>
            <w:tcW w:w="1280" w:type="dxa"/>
            <w:vAlign w:val="bottom"/>
            <w:gridSpan w:val="5"/>
          </w:tcPr>
          <w:p>
            <w:pPr>
              <w:ind w:left="2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tcPr>
          <w:p>
            <w:pPr>
              <w:ind w:left="2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(D) (Instr. 3, 4 and 5)</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60" w:type="dxa"/>
            <w:vAlign w:val="bottom"/>
            <w:gridSpan w:val="9"/>
          </w:tcPr>
          <w:p>
            <w:pPr>
              <w:ind w:left="580"/>
              <w:spacing w:after="0" w:line="125" w:lineRule="exact"/>
              <w:rPr>
                <w:sz w:val="20"/>
                <w:szCs w:val="20"/>
                <w:color w:val="auto"/>
              </w:rPr>
            </w:pPr>
            <w:r>
              <w:rPr>
                <w:rFonts w:ascii="Arial" w:cs="Arial" w:eastAsia="Arial" w:hAnsi="Arial"/>
                <w:sz w:val="11"/>
                <w:szCs w:val="11"/>
                <w:b w:val="1"/>
                <w:bCs w:val="1"/>
                <w:color w:val="auto"/>
              </w:rPr>
              <w:t>(Month/Day/Year)  if any</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tcPr>
          <w:p>
            <w:pPr>
              <w:ind w:left="2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gridSpan w:val="5"/>
            <w:vMerge w:val="restart"/>
          </w:tcPr>
          <w:p>
            <w:pPr>
              <w:ind w:left="680"/>
              <w:spacing w:after="0"/>
              <w:rPr>
                <w:sz w:val="20"/>
                <w:szCs w:val="20"/>
                <w:color w:val="auto"/>
              </w:rPr>
            </w:pPr>
            <w:r>
              <w:rPr>
                <w:rFonts w:ascii="Times New Roman" w:cs="Times New Roman" w:eastAsia="Times New Roman" w:hAnsi="Times New Roman"/>
                <w:sz w:val="16"/>
                <w:szCs w:val="16"/>
                <w:color w:val="0000FF"/>
              </w:rPr>
              <w:t>12/16/2024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50,000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13.2571</w:t>
            </w:r>
            <w:r>
              <w:rPr>
                <w:rFonts w:ascii="Times New Roman" w:cs="Times New Roman" w:eastAsia="Times New Roman" w:hAnsi="Times New Roman"/>
                <w:sz w:val="20"/>
                <w:szCs w:val="20"/>
                <w:color w:val="008000"/>
                <w:w w:val="99"/>
                <w:vertAlign w:val="superscript"/>
              </w:rPr>
              <w:t>(3)</w:t>
            </w:r>
          </w:p>
        </w:tc>
        <w:tc>
          <w:tcPr>
            <w:tcW w:w="40" w:type="dxa"/>
            <w:vAlign w:val="bottom"/>
          </w:tcPr>
          <w:p>
            <w:pPr>
              <w:spacing w:after="0"/>
              <w:rPr>
                <w:sz w:val="20"/>
                <w:szCs w:val="20"/>
                <w:color w:val="auto"/>
              </w:rPr>
            </w:pPr>
          </w:p>
        </w:tc>
        <w:tc>
          <w:tcPr>
            <w:tcW w:w="700" w:type="dxa"/>
            <w:vAlign w:val="bottom"/>
            <w:vMerge w:val="restart"/>
          </w:tcPr>
          <w:p>
            <w:pPr>
              <w:jc w:val="center"/>
              <w:ind w:left="357"/>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8"/>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gridSpan w:val="5"/>
            <w:vMerge w:val="restart"/>
          </w:tcPr>
          <w:p>
            <w:pPr>
              <w:ind w:left="680"/>
              <w:spacing w:after="0"/>
              <w:rPr>
                <w:sz w:val="20"/>
                <w:szCs w:val="20"/>
                <w:color w:val="auto"/>
              </w:rPr>
            </w:pPr>
            <w:r>
              <w:rPr>
                <w:rFonts w:ascii="Times New Roman" w:cs="Times New Roman" w:eastAsia="Times New Roman" w:hAnsi="Times New Roman"/>
                <w:sz w:val="16"/>
                <w:szCs w:val="16"/>
                <w:color w:val="0000FF"/>
              </w:rPr>
              <w:t>12/18/2024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4,967,397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86"/>
              </w:rPr>
              <w:t>A</w:t>
            </w:r>
          </w:p>
        </w:tc>
        <w:tc>
          <w:tcPr>
            <w:tcW w:w="800" w:type="dxa"/>
            <w:vAlign w:val="bottom"/>
            <w:gridSpan w:val="2"/>
            <w:vMerge w:val="restart"/>
          </w:tcPr>
          <w:p>
            <w:pPr>
              <w:jc w:val="right"/>
              <w:ind w:right="217"/>
              <w:spacing w:after="0"/>
              <w:rPr>
                <w:sz w:val="20"/>
                <w:szCs w:val="20"/>
                <w:color w:val="auto"/>
              </w:rPr>
            </w:pPr>
            <w:r>
              <w:rPr>
                <w:rFonts w:ascii="Times New Roman" w:cs="Times New Roman" w:eastAsia="Times New Roman" w:hAnsi="Times New Roman"/>
                <w:sz w:val="10"/>
                <w:szCs w:val="10"/>
                <w:color w:val="008000"/>
              </w:rPr>
              <w:t>(5)(6)</w:t>
            </w:r>
          </w:p>
        </w:tc>
        <w:tc>
          <w:tcPr>
            <w:tcW w:w="4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4,967,397</w:t>
            </w:r>
          </w:p>
        </w:tc>
        <w:tc>
          <w:tcPr>
            <w:tcW w:w="260" w:type="dxa"/>
            <w:vAlign w:val="bottom"/>
          </w:tcPr>
          <w:p>
            <w:pPr>
              <w:spacing w:after="0"/>
              <w:rPr>
                <w:sz w:val="20"/>
                <w:szCs w:val="20"/>
                <w:color w:val="auto"/>
              </w:rPr>
            </w:pPr>
          </w:p>
        </w:tc>
        <w:tc>
          <w:tcPr>
            <w:tcW w:w="6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8"/>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0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left="357"/>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ind w:right="299"/>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(7)</w:t>
            </w: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0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57"/>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9"/>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jc w:val="right"/>
              <w:ind w:right="27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6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V</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4,967,397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(5)(6)</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12/18/2024</w:t>
            </w:r>
          </w:p>
        </w:tc>
        <w:tc>
          <w:tcPr>
            <w:tcW w:w="1020" w:type="dxa"/>
            <w:vAlign w:val="bottom"/>
          </w:tcPr>
          <w:p>
            <w:pPr>
              <w:spacing w:after="0"/>
              <w:rPr>
                <w:sz w:val="5"/>
                <w:szCs w:val="5"/>
                <w:color w:val="auto"/>
              </w:rPr>
            </w:pPr>
          </w:p>
        </w:tc>
        <w:tc>
          <w:tcPr>
            <w:tcW w:w="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color w:val="0000FF"/>
                <w:w w:val="92"/>
              </w:rPr>
              <w:t>4,967,397</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(5)(6)</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5"/>
                <w:szCs w:val="5"/>
                <w:color w:val="auto"/>
              </w:rPr>
            </w:pP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I</w:t>
            </w:r>
          </w:p>
        </w:tc>
        <w:tc>
          <w:tcPr>
            <w:tcW w:w="18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2C2C2C"/>
            </w:tcBorders>
            <w:gridSpan w:val="3"/>
          </w:tcPr>
          <w:p>
            <w:pPr>
              <w:ind w:left="480"/>
              <w:spacing w:after="0" w:line="105" w:lineRule="exact"/>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5"/>
        </w:trPr>
        <w:tc>
          <w:tcPr>
            <w:tcW w:w="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gridSpan w:val="3"/>
          </w:tcPr>
          <w:p>
            <w:pPr>
              <w:ind w:left="60"/>
              <w:spacing w:after="0" w:line="200" w:lineRule="exact"/>
              <w:rPr>
                <w:sz w:val="20"/>
                <w:szCs w:val="20"/>
                <w:color w:val="auto"/>
              </w:rPr>
            </w:pPr>
            <w:r>
              <w:rPr>
                <w:rFonts w:ascii="Times New Roman" w:cs="Times New Roman" w:eastAsia="Times New Roman" w:hAnsi="Times New Roman"/>
                <w:sz w:val="23"/>
                <w:szCs w:val="23"/>
                <w:color w:val="0000FF"/>
                <w:w w:val="99"/>
                <w:vertAlign w:val="subscript"/>
              </w:rPr>
              <w:t>Stock</w:t>
            </w:r>
            <w:r>
              <w:rPr>
                <w:rFonts w:ascii="Times New Roman" w:cs="Times New Roman" w:eastAsia="Times New Roman" w:hAnsi="Times New Roman"/>
                <w:sz w:val="10"/>
                <w:szCs w:val="10"/>
                <w:color w:val="008000"/>
                <w:w w:val="99"/>
              </w:rPr>
              <w:t>(1)(2)</w:t>
            </w:r>
          </w:p>
        </w:tc>
        <w:tc>
          <w:tcPr>
            <w:tcW w:w="6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Alpert Robert H</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-4699000</wp:posOffset>
            </wp:positionV>
            <wp:extent cx="28575" cy="1653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65354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4" w:right="359" w:bottom="0" w:gutter="0" w:footer="0" w:header="0"/>
          <w:type w:val="continuous"/>
        </w:sectPr>
      </w:pPr>
    </w:p>
    <w:p>
      <w:pPr>
        <w:ind w:left="12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Webb C Clark</w:t>
        </w:r>
      </w:hyperlink>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38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r>
      <w:tr>
        <w:trPr>
          <w:trHeight w:val="25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38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-985520</wp:posOffset>
            </wp:positionV>
            <wp:extent cx="2812415" cy="5706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570674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COVENANT RHA PARTNERS, L.P.</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CCW/LAW Holdings,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RHA Investments,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40" w:hanging="2"/>
        <w:spacing w:after="0" w:line="231"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1) Each Reporting Person disclaims beneficial ownership of the securities of the Issuer reported herein, except to the extent of his or its pecuniary interest therein, and the filing of this Form</w:t>
      </w:r>
    </w:p>
    <w:p>
      <w:pPr>
        <w:spacing w:after="0" w:line="25" w:lineRule="exact"/>
        <w:rPr>
          <w:rFonts w:ascii="Times New Roman" w:cs="Times New Roman" w:eastAsia="Times New Roman" w:hAnsi="Times New Roman"/>
          <w:sz w:val="11"/>
          <w:szCs w:val="11"/>
          <w:color w:val="008000"/>
        </w:rPr>
      </w:pPr>
    </w:p>
    <w:p>
      <w:pPr>
        <w:ind w:left="20"/>
        <w:spacing w:after="0"/>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4 shall not be construed as an admission that such persons are beneficial owners of the securities of the Issuer reported herein.</w:t>
      </w:r>
    </w:p>
    <w:p>
      <w:pPr>
        <w:spacing w:after="0" w:line="24" w:lineRule="exact"/>
        <w:rPr>
          <w:rFonts w:ascii="Times New Roman" w:cs="Times New Roman" w:eastAsia="Times New Roman" w:hAnsi="Times New Roman"/>
          <w:sz w:val="11"/>
          <w:szCs w:val="11"/>
          <w:color w:val="008000"/>
        </w:rPr>
      </w:pPr>
    </w:p>
    <w:p>
      <w:pPr>
        <w:ind w:left="20" w:right="2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$13.25 to $13.315,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0" w:right="24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22" w:lineRule="exact"/>
        <w:rPr>
          <w:rFonts w:ascii="Times New Roman" w:cs="Times New Roman" w:eastAsia="Times New Roman" w:hAnsi="Times New Roman"/>
          <w:sz w:val="13"/>
          <w:szCs w:val="13"/>
          <w:color w:val="008000"/>
        </w:rPr>
      </w:pPr>
    </w:p>
    <w:p>
      <w:pPr>
        <w:ind w:left="20" w:right="36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ind w:left="20" w:hanging="2"/>
        <w:spacing w:after="0" w:line="229"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18, 2024, the Reporting Persons elected to convert their remaining 4,967,397 shares of Class B Common Stock into an equivalent number of shares of Class A Common Stock.</w:t>
      </w:r>
    </w:p>
    <w:p>
      <w:pPr>
        <w:spacing w:after="0" w:line="24"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76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in-Fact for the Reporting</w:t>
      </w:r>
      <w:r>
        <w:rPr>
          <w:sz w:val="20"/>
          <w:szCs w:val="20"/>
          <w:color w:val="auto"/>
        </w:rPr>
        <w:tab/>
      </w:r>
      <w:r>
        <w:rPr>
          <w:rFonts w:ascii="Times New Roman" w:cs="Times New Roman" w:eastAsia="Times New Roman" w:hAnsi="Times New Roman"/>
          <w:sz w:val="16"/>
          <w:szCs w:val="16"/>
          <w:color w:val="0000FF"/>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3213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80" w:hanging="2"/>
        <w:spacing w:after="0" w:line="355"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2024-12-18T18:54:36Z</dcterms:created>
  <dcterms:modified xsi:type="dcterms:W3CDTF">2024-12-18T18:54:36Z</dcterms:modified>
</cp:coreProperties>
</file>