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001-40937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4514 Cole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1600</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6"/>
              </w:rPr>
              <w:t>Dallas, Texas</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34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85"/>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PX</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Series A Junior Participating Preferred Stock Purchase Rights</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4"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20" w:firstLine="751"/>
        <w:spacing w:after="0" w:line="254" w:lineRule="auto"/>
        <w:rPr>
          <w:sz w:val="20"/>
          <w:szCs w:val="20"/>
          <w:color w:val="auto"/>
        </w:rPr>
      </w:pPr>
      <w:r>
        <w:rPr>
          <w:rFonts w:ascii="Times New Roman" w:cs="Times New Roman" w:eastAsia="Times New Roman" w:hAnsi="Times New Roman"/>
          <w:sz w:val="16"/>
          <w:szCs w:val="16"/>
          <w:color w:val="auto"/>
        </w:rPr>
        <w:t>On September 19, 2024, P10, Inc. (the “Company”) issued a press release announcing that it will host an Investor Day in New York today, beginning at 8:30 a.m. Eastern Time, where P10’s management team and strategy leadership will provide an in-depth presentation of the Company’s strategic vision, investment strategies, growth levers, and financial outlook. The formal presentations will be followed by a Q&amp;A session, with the webcast portion of the event concluding by approximately 12:30 p.m. Eastern Time. The live webcast and supporting materials will be available on the Company’s investor relations web page. A copy of the press release and Investor Day presentation are furnished as Exhibit 99.1 and Exhibit 99.2, respectively, to this Current Report on Form 8-K, and are incorporated herein by reference.</w:t>
      </w:r>
    </w:p>
    <w:p>
      <w:pPr>
        <w:spacing w:after="0" w:line="67"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The information furnished by the Company pursuant to this Item 7.01, including Exhibits 99.1 and 99.2, shall not be deemed “filed” for purposes of Section 18 of the Exchange Act or otherwise subject to the liability of that section, and shall not be deemed to be incorporated by reference into any Company filing under the Securities Act or the Exchange Act, regardless of any general incorporation language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5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1"/>
        </w:trPr>
        <w:tc>
          <w:tcPr>
            <w:tcW w:w="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4920" w:type="dxa"/>
            <w:vAlign w:val="bottom"/>
          </w:tcPr>
          <w:p>
            <w:pPr>
              <w:spacing w:after="0"/>
              <w:rPr>
                <w:sz w:val="15"/>
                <w:szCs w:val="15"/>
                <w:color w:val="auto"/>
              </w:rPr>
            </w:pPr>
          </w:p>
        </w:tc>
        <w:tc>
          <w:tcPr>
            <w:tcW w:w="56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of P10, Inc. dated September 19, 2024</w:t>
            </w:r>
          </w:p>
        </w:tc>
      </w:tr>
      <w:tr>
        <w:trPr>
          <w:trHeight w:val="20"/>
        </w:trPr>
        <w:tc>
          <w:tcPr>
            <w:tcW w:w="74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33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1"/>
        </w:trPr>
        <w:tc>
          <w:tcPr>
            <w:tcW w:w="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4920" w:type="dxa"/>
            <w:vAlign w:val="bottom"/>
          </w:tcPr>
          <w:p>
            <w:pPr>
              <w:spacing w:after="0"/>
              <w:rPr>
                <w:sz w:val="15"/>
                <w:szCs w:val="15"/>
                <w:color w:val="auto"/>
              </w:rPr>
            </w:pPr>
          </w:p>
        </w:tc>
        <w:tc>
          <w:tcPr>
            <w:tcW w:w="56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Investor Day Presentation Materials dated September 19, 2024</w:t>
            </w:r>
          </w:p>
        </w:tc>
      </w:tr>
      <w:tr>
        <w:trPr>
          <w:trHeight w:val="20"/>
        </w:trPr>
        <w:tc>
          <w:tcPr>
            <w:tcW w:w="74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9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Date File (formatted as inline XBRL)</w:t>
            </w:r>
          </w:p>
        </w:tc>
      </w:tr>
      <w:tr>
        <w:trPr>
          <w:trHeight w:val="866"/>
        </w:trPr>
        <w:tc>
          <w:tcPr>
            <w:tcW w:w="7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P10,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September 19,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Amanda Coussens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479425</wp:posOffset>
            </wp:positionV>
            <wp:extent cx="1006475" cy="473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479425</wp:posOffset>
            </wp:positionV>
            <wp:extent cx="1201420" cy="278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19"/>
          <w:szCs w:val="19"/>
          <w:b w:val="1"/>
          <w:bCs w:val="1"/>
          <w:color w:val="2F2F45"/>
        </w:rPr>
        <w:t>P10 Hosts Investor Day</w:t>
      </w:r>
    </w:p>
    <w:p>
      <w:pPr>
        <w:spacing w:after="0" w:line="247" w:lineRule="exact"/>
        <w:rPr>
          <w:sz w:val="20"/>
          <w:szCs w:val="20"/>
          <w:color w:val="auto"/>
        </w:rPr>
      </w:pPr>
    </w:p>
    <w:p>
      <w:pPr>
        <w:spacing w:after="0" w:line="239" w:lineRule="auto"/>
        <w:rPr>
          <w:sz w:val="20"/>
          <w:szCs w:val="20"/>
          <w:color w:val="auto"/>
        </w:rPr>
      </w:pPr>
      <w:r>
        <w:rPr>
          <w:rFonts w:ascii="Calibri" w:cs="Calibri" w:eastAsia="Calibri" w:hAnsi="Calibri"/>
          <w:sz w:val="19"/>
          <w:szCs w:val="19"/>
          <w:color w:val="2F2F45"/>
        </w:rPr>
        <w:t xml:space="preserve">DALLAS, September 19, 2024 -- </w:t>
      </w:r>
      <w:r>
        <w:rPr>
          <w:rFonts w:ascii="Calibri" w:cs="Calibri" w:eastAsia="Calibri" w:hAnsi="Calibri"/>
          <w:sz w:val="19"/>
          <w:szCs w:val="19"/>
          <w:color w:val="000000"/>
        </w:rPr>
        <w:t>P10, Inc.</w:t>
      </w:r>
      <w:r>
        <w:rPr>
          <w:rFonts w:ascii="Calibri" w:cs="Calibri" w:eastAsia="Calibri" w:hAnsi="Calibri"/>
          <w:sz w:val="19"/>
          <w:szCs w:val="19"/>
          <w:color w:val="2F2F45"/>
        </w:rPr>
        <w:t xml:space="preserve"> (NYSE: PX) (the “Company”), a leading private markets solutons provider, will host an Investor Day in New York today, beginning at 8:30 a.m. Eastern Time.</w:t>
      </w:r>
    </w:p>
    <w:p>
      <w:pPr>
        <w:spacing w:after="0" w:line="248" w:lineRule="exact"/>
        <w:rPr>
          <w:sz w:val="20"/>
          <w:szCs w:val="20"/>
          <w:color w:val="auto"/>
        </w:rPr>
      </w:pPr>
    </w:p>
    <w:p>
      <w:pPr>
        <w:ind w:right="100"/>
        <w:spacing w:after="0" w:line="241" w:lineRule="auto"/>
        <w:rPr>
          <w:sz w:val="20"/>
          <w:szCs w:val="20"/>
          <w:color w:val="auto"/>
        </w:rPr>
      </w:pPr>
      <w:r>
        <w:rPr>
          <w:rFonts w:ascii="Calibri" w:cs="Calibri" w:eastAsia="Calibri" w:hAnsi="Calibri"/>
          <w:sz w:val="19"/>
          <w:szCs w:val="19"/>
          <w:color w:val="2F2F45"/>
        </w:rPr>
        <w:t>During the event, P10’s management team and strategy leadership will provide an in-depth presentaton of the Company’s strategic vision, investment strategies, growth levers, and fnancial outlook. The formal presentatons will be followed by a Q&amp;A session, with the webcast porton of the event concluding by approximately 12:30 p.m. Eastern Time.</w:t>
      </w:r>
    </w:p>
    <w:p>
      <w:pPr>
        <w:spacing w:after="0" w:line="247" w:lineRule="exact"/>
        <w:rPr>
          <w:sz w:val="20"/>
          <w:szCs w:val="20"/>
          <w:color w:val="auto"/>
        </w:rPr>
      </w:pPr>
    </w:p>
    <w:p>
      <w:pPr>
        <w:ind w:right="60"/>
        <w:spacing w:after="0" w:line="239" w:lineRule="auto"/>
        <w:rPr>
          <w:sz w:val="20"/>
          <w:szCs w:val="20"/>
          <w:color w:val="auto"/>
        </w:rPr>
      </w:pPr>
      <w:r>
        <w:rPr>
          <w:rFonts w:ascii="Calibri" w:cs="Calibri" w:eastAsia="Calibri" w:hAnsi="Calibri"/>
          <w:sz w:val="19"/>
          <w:szCs w:val="19"/>
          <w:color w:val="2F2F45"/>
        </w:rPr>
        <w:t xml:space="preserve">The live webcast and supportng materials will be available through the following link: </w:t>
      </w:r>
      <w:r>
        <w:rPr>
          <w:rFonts w:ascii="Calibri" w:cs="Calibri" w:eastAsia="Calibri" w:hAnsi="Calibri"/>
          <w:sz w:val="19"/>
          <w:szCs w:val="19"/>
          <w:color w:val="000000"/>
        </w:rPr>
        <w:t>2024 Investor Day</w:t>
      </w:r>
      <w:r>
        <w:rPr>
          <w:rFonts w:ascii="Calibri" w:cs="Calibri" w:eastAsia="Calibri" w:hAnsi="Calibri"/>
          <w:sz w:val="19"/>
          <w:szCs w:val="19"/>
          <w:color w:val="2F2F45"/>
        </w:rPr>
        <w:t xml:space="preserve">. A replay will be made available following the conclusion of the event on Company’s investor relatons page at </w:t>
      </w:r>
      <w:r>
        <w:rPr>
          <w:rFonts w:ascii="Calibri" w:cs="Calibri" w:eastAsia="Calibri" w:hAnsi="Calibri"/>
          <w:sz w:val="19"/>
          <w:szCs w:val="19"/>
          <w:color w:val="000000"/>
        </w:rPr>
        <w:t>www.p10alts.com</w:t>
      </w:r>
      <w:r>
        <w:rPr>
          <w:rFonts w:ascii="Calibri" w:cs="Calibri" w:eastAsia="Calibri" w:hAnsi="Calibri"/>
          <w:sz w:val="19"/>
          <w:szCs w:val="19"/>
          <w:color w:val="2F2F45"/>
        </w:rPr>
        <w:t>.</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About P10</w:t>
      </w:r>
    </w:p>
    <w:p>
      <w:pPr>
        <w:spacing w:after="0" w:line="11" w:lineRule="exact"/>
        <w:rPr>
          <w:sz w:val="20"/>
          <w:szCs w:val="20"/>
          <w:color w:val="auto"/>
        </w:rPr>
      </w:pPr>
    </w:p>
    <w:p>
      <w:pPr>
        <w:ind w:right="100"/>
        <w:spacing w:after="0" w:line="242" w:lineRule="auto"/>
        <w:rPr>
          <w:sz w:val="20"/>
          <w:szCs w:val="20"/>
          <w:color w:val="auto"/>
        </w:rPr>
      </w:pPr>
      <w:r>
        <w:rPr>
          <w:rFonts w:ascii="Calibri" w:cs="Calibri" w:eastAsia="Calibri" w:hAnsi="Calibri"/>
          <w:sz w:val="19"/>
          <w:szCs w:val="19"/>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June 30, 2024, P10 has a global investor base of more than 3,700 investors across 50 states, 60 countries, and six contnents, which includes some of the world’s largest pension funds, endowments, foundatons, corporate pensions, and fnancial insttutons. Visit </w:t>
      </w:r>
      <w:r>
        <w:rPr>
          <w:rFonts w:ascii="Calibri" w:cs="Calibri" w:eastAsia="Calibri" w:hAnsi="Calibri"/>
          <w:sz w:val="19"/>
          <w:szCs w:val="19"/>
          <w:color w:val="000000"/>
        </w:rPr>
        <w:t>www.p10alts.com</w:t>
      </w:r>
      <w:r>
        <w:rPr>
          <w:rFonts w:ascii="Calibri" w:cs="Calibri" w:eastAsia="Calibri" w:hAnsi="Calibri"/>
          <w:sz w:val="19"/>
          <w:szCs w:val="19"/>
          <w:color w:val="302C45"/>
        </w:rPr>
        <w: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Forward-Looking Statements</w:t>
      </w:r>
    </w:p>
    <w:p>
      <w:pPr>
        <w:spacing w:after="0" w:line="11" w:lineRule="exact"/>
        <w:rPr>
          <w:sz w:val="20"/>
          <w:szCs w:val="20"/>
          <w:color w:val="auto"/>
        </w:rPr>
      </w:pPr>
    </w:p>
    <w:p>
      <w:pPr>
        <w:spacing w:after="0" w:line="244" w:lineRule="auto"/>
        <w:rPr>
          <w:sz w:val="20"/>
          <w:szCs w:val="20"/>
          <w:color w:val="auto"/>
        </w:rPr>
      </w:pPr>
      <w:r>
        <w:rPr>
          <w:rFonts w:ascii="Calibri" w:cs="Calibri" w:eastAsia="Calibri" w:hAnsi="Calibri"/>
          <w:sz w:val="19"/>
          <w:szCs w:val="19"/>
          <w:color w:val="2F2F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783590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276860</wp:posOffset>
            </wp:positionV>
            <wp:extent cx="1006475" cy="473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ind w:right="20"/>
        <w:spacing w:after="0" w:line="242" w:lineRule="auto"/>
        <w:rPr>
          <w:sz w:val="20"/>
          <w:szCs w:val="20"/>
          <w:color w:val="auto"/>
        </w:rPr>
      </w:pPr>
      <w:r>
        <w:rPr>
          <w:rFonts w:ascii="Calibri" w:cs="Calibri" w:eastAsia="Calibri" w:hAnsi="Calibri"/>
          <w:sz w:val="19"/>
          <w:szCs w:val="19"/>
          <w:color w:val="2F2F45"/>
        </w:rPr>
        <w:t>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Use of Non-GAAP Financial Measures by P10</w:t>
      </w:r>
    </w:p>
    <w:p>
      <w:pPr>
        <w:spacing w:after="0" w:line="11" w:lineRule="exact"/>
        <w:rPr>
          <w:sz w:val="20"/>
          <w:szCs w:val="20"/>
          <w:color w:val="auto"/>
        </w:rPr>
      </w:pPr>
    </w:p>
    <w:p>
      <w:pPr>
        <w:spacing w:after="0" w:line="244" w:lineRule="auto"/>
        <w:rPr>
          <w:sz w:val="20"/>
          <w:szCs w:val="20"/>
          <w:color w:val="auto"/>
        </w:rPr>
      </w:pPr>
      <w:r>
        <w:rPr>
          <w:rFonts w:ascii="Calibri" w:cs="Calibri" w:eastAsia="Calibri" w:hAnsi="Calibri"/>
          <w:sz w:val="19"/>
          <w:szCs w:val="19"/>
          <w:color w:val="2F2F45"/>
        </w:rPr>
        <w:t>The non-GAAP fnancial measures contained in this press release (including, without limitaton, Adjusted EBITDA, Adjusted EBITDA Margin, Fee-Related Revenue (“FRR”), Fee-Related Earnings (“FRE”), Fee-Related Earnings Margin, Adjusted Net Income (“ANI”), Fully Diluted ANI EPS and fee-paying assets under management are not GAAP measures of the Company’s fnancial performance or liquidity and should not be considered as alternatves to net income (loss) as a measure of fnancial performance or cash fows from operatons as measures of liquidity, or any other performance measure derived in accordance with GAAP. A reconciliaton of such non-GAAP measures to their most directly comparable GAAP measure is included later in this press release. The Company believes the presentaton of these non-GAAP measures provide useful additonal informaton to investors because it provides beter comparability of ongoing operatng performance to prior periods. It is reasonable to expect that one or more excluded items will occur in future periods, but the amounts recognized can vary signifcantly from period to period. These non-GAAP measures should not be considered substtutes for net income or cash fows from operatng, investng, or fnancing actvites. You are encouraged to evaluate each adjustment to non-GAAP fnancial measures and the reasons management considers it appropriate for supplemental analysis. Our presentaton of these measures should not be construed as an inference that our future results will be unafected by unusual or non-recurring items.</w:t>
      </w:r>
    </w:p>
    <w:p>
      <w:pPr>
        <w:spacing w:after="0" w:line="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Key Financial &amp; Operatng Metrics</w:t>
      </w:r>
    </w:p>
    <w:p>
      <w:pPr>
        <w:spacing w:after="0" w:line="11" w:lineRule="exact"/>
        <w:rPr>
          <w:sz w:val="20"/>
          <w:szCs w:val="20"/>
          <w:color w:val="auto"/>
        </w:rPr>
      </w:pPr>
    </w:p>
    <w:p>
      <w:pPr>
        <w:ind w:right="120"/>
        <w:spacing w:after="0" w:line="241" w:lineRule="auto"/>
        <w:rPr>
          <w:sz w:val="20"/>
          <w:szCs w:val="20"/>
          <w:color w:val="auto"/>
        </w:rPr>
      </w:pPr>
      <w:r>
        <w:rPr>
          <w:rFonts w:ascii="Calibri" w:cs="Calibri" w:eastAsia="Calibri" w:hAnsi="Calibri"/>
          <w:sz w:val="19"/>
          <w:szCs w:val="19"/>
          <w:color w:val="2F2F45"/>
        </w:rPr>
        <w:t>Fee-paying assets under management refects the assets from which we earn management and advisory fees. Our vehicles typically earn management and advisory fees based on commited capital, and in certain cases, net invested capital, depending on the fee terms. Management and advisory fees based on commited capital are not afected by market appreciaton or depreciaton.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Ownership Limitatons</w:t>
      </w:r>
    </w:p>
    <w:p>
      <w:pPr>
        <w:spacing w:after="0" w:line="11" w:lineRule="exact"/>
        <w:rPr>
          <w:sz w:val="20"/>
          <w:szCs w:val="20"/>
          <w:color w:val="auto"/>
        </w:rPr>
      </w:pPr>
    </w:p>
    <w:p>
      <w:pPr>
        <w:ind w:right="740"/>
        <w:spacing w:after="0" w:line="241" w:lineRule="auto"/>
        <w:rPr>
          <w:sz w:val="20"/>
          <w:szCs w:val="20"/>
          <w:color w:val="auto"/>
        </w:rPr>
      </w:pPr>
      <w:r>
        <w:rPr>
          <w:rFonts w:ascii="Calibri" w:cs="Calibri" w:eastAsia="Calibri" w:hAnsi="Calibri"/>
          <w:sz w:val="19"/>
          <w:szCs w:val="19"/>
          <w:color w:val="2F2F45"/>
        </w:rPr>
        <w:t>P10’s Certfcate of Incorporaton contains certain provisions for the protecton of tax benefts relatng to P10’s net operatng losses. Such provisions generally void transfers of shares that would result in the creaton of a new 4.99% shareholder or result in an existng 4.99% shareholder acquiring additonal shares of P10, and it expires at the third anniversary of the IPO, October 2024.</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Investor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0563C1"/>
        </w:rPr>
        <w:t>info@p10alts.com</w:t>
      </w:r>
    </w:p>
    <w:p>
      <w:pPr>
        <w:spacing w:after="0" w:line="2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2F2F45"/>
        </w:rPr>
        <w:t>P10 Media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2F2F45"/>
        </w:rPr>
        <w:t>Taylor Donahue</w:t>
      </w:r>
    </w:p>
    <w:p>
      <w:pPr>
        <w:spacing w:after="0" w:line="20" w:lineRule="exact"/>
        <w:rPr>
          <w:sz w:val="20"/>
          <w:szCs w:val="20"/>
          <w:color w:val="auto"/>
        </w:rPr>
      </w:pPr>
    </w:p>
    <w:p>
      <w:pPr>
        <w:spacing w:after="0"/>
        <w:rPr>
          <w:sz w:val="20"/>
          <w:szCs w:val="20"/>
          <w:color w:val="auto"/>
        </w:rPr>
      </w:pPr>
      <w:r>
        <w:rPr>
          <w:rFonts w:ascii="Verdana" w:cs="Verdana" w:eastAsia="Verdana" w:hAnsi="Verdana"/>
          <w:sz w:val="16"/>
          <w:szCs w:val="16"/>
          <w:color w:val="0563C1"/>
        </w:rPr>
        <w:t>pro-p10@prosek.com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888365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1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6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2024-09-19T06:13:23Z</dcterms:created>
  <dcterms:modified xsi:type="dcterms:W3CDTF">2024-09-19T06:13:23Z</dcterms:modified>
</cp:coreProperties>
</file>